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E740FB">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13 nameLen</w:t>
            </w:r>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1CD9F1A4" w14:textId="77777777" w:rsidR="000464C2" w:rsidRDefault="00B23C71">
      <w:r>
        <w:br w:type="page"/>
      </w:r>
    </w:p>
    <w:p w14:paraId="323069E1" w14:textId="77777777" w:rsidR="000464C2" w:rsidRDefault="000464C2"/>
    <w:p w14:paraId="5D6DB7CA" w14:textId="77777777" w:rsidR="000464C2" w:rsidRDefault="000464C2"/>
    <w:tbl>
      <w:tblPr>
        <w:tblStyle w:val="TableGrid"/>
        <w:tblW w:w="0" w:type="auto"/>
        <w:tblLook w:val="04A0" w:firstRow="1" w:lastRow="0" w:firstColumn="1" w:lastColumn="0" w:noHBand="0" w:noVBand="1"/>
      </w:tblPr>
      <w:tblGrid>
        <w:gridCol w:w="2189"/>
        <w:gridCol w:w="7161"/>
      </w:tblGrid>
      <w:tr w:rsidR="00316080" w14:paraId="13392204" w14:textId="77777777" w:rsidTr="000464C2">
        <w:tc>
          <w:tcPr>
            <w:tcW w:w="2263" w:type="dxa"/>
          </w:tcPr>
          <w:p w14:paraId="5193F43E" w14:textId="6E09761B" w:rsidR="000464C2" w:rsidRDefault="000464C2">
            <w:r>
              <w:t>Understand data</w:t>
            </w:r>
          </w:p>
        </w:tc>
        <w:tc>
          <w:tcPr>
            <w:tcW w:w="7087"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w:t>
            </w:r>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0464C2">
        <w:tc>
          <w:tcPr>
            <w:tcW w:w="2263" w:type="dxa"/>
          </w:tcPr>
          <w:p w14:paraId="4C786394" w14:textId="7B222632" w:rsidR="00305A95" w:rsidRDefault="00305A95">
            <w:r>
              <w:t>See correlation</w:t>
            </w:r>
          </w:p>
        </w:tc>
        <w:tc>
          <w:tcPr>
            <w:tcW w:w="7087"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correlation(df, col, abs):</w:t>
            </w:r>
            <w:r w:rsidR="0043756A">
              <w:rPr>
                <w:rFonts w:ascii="Menlo" w:hAnsi="Menlo" w:cs="Menlo"/>
                <w:color w:val="000000"/>
                <w:sz w:val="18"/>
                <w:szCs w:val="18"/>
              </w:rPr>
              <w:t xml:space="preserve">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0F09942D" w:rsidR="0043756A" w:rsidRDefault="0043756A" w:rsidP="0043756A">
            <w:pPr>
              <w:pStyle w:val="HTMLPreformatted"/>
              <w:shd w:val="clear" w:color="auto" w:fill="FFFFFF"/>
              <w:rPr>
                <w:rFonts w:ascii="Menlo" w:hAnsi="Menlo" w:cs="Menlo"/>
                <w:color w:val="000000"/>
                <w:sz w:val="18"/>
                <w:szCs w:val="18"/>
              </w:rPr>
            </w:pPr>
            <w:r>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0464C2">
        <w:tc>
          <w:tcPr>
            <w:tcW w:w="2263" w:type="dxa"/>
          </w:tcPr>
          <w:p w14:paraId="65056136" w14:textId="77777777" w:rsidR="000464C2" w:rsidRDefault="000464C2">
            <w:r>
              <w:t>Feature Engineering ([train, test] array is passed by reference, it will update array itself, train, test)</w:t>
            </w:r>
          </w:p>
          <w:p w14:paraId="11DAAF8C" w14:textId="46F22718" w:rsidR="000464C2" w:rsidRDefault="000464C2">
            <w:r>
              <w:t>(train/test is passed by copy, no update)</w:t>
            </w:r>
          </w:p>
        </w:tc>
        <w:tc>
          <w:tcPr>
            <w:tcW w:w="7087"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7777777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0D8D5B44" w14:textId="237C8B25" w:rsidR="00FD3407" w:rsidRPr="000464C2" w:rsidRDefault="00FD3407">
            <w:pPr>
              <w:rPr>
                <w:lang w:val="en-CA"/>
              </w:rPr>
            </w:pPr>
            <w:bookmarkStart w:id="1" w:name="_GoBack"/>
            <w:bookmarkEnd w:id="1"/>
          </w:p>
        </w:tc>
      </w:tr>
      <w:tr w:rsidR="00316080" w14:paraId="61136C95" w14:textId="77777777" w:rsidTr="000464C2">
        <w:tc>
          <w:tcPr>
            <w:tcW w:w="2263" w:type="dxa"/>
          </w:tcPr>
          <w:p w14:paraId="3B4E7591" w14:textId="03902ECB" w:rsidR="000464C2" w:rsidRDefault="00316080">
            <w:r>
              <w:t>Stacking</w:t>
            </w:r>
          </w:p>
        </w:tc>
        <w:tc>
          <w:tcPr>
            <w:tcW w:w="7087"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0464C2">
        <w:tc>
          <w:tcPr>
            <w:tcW w:w="2263" w:type="dxa"/>
          </w:tcPr>
          <w:p w14:paraId="41397F8C" w14:textId="77777777" w:rsidR="000464C2" w:rsidRDefault="000464C2"/>
        </w:tc>
        <w:tc>
          <w:tcPr>
            <w:tcW w:w="7087" w:type="dxa"/>
          </w:tcPr>
          <w:p w14:paraId="55DEFB85" w14:textId="77777777" w:rsidR="000464C2" w:rsidRDefault="000464C2"/>
        </w:tc>
      </w:tr>
      <w:tr w:rsidR="00316080" w14:paraId="5AF074A7" w14:textId="77777777" w:rsidTr="000464C2">
        <w:tc>
          <w:tcPr>
            <w:tcW w:w="2263" w:type="dxa"/>
          </w:tcPr>
          <w:p w14:paraId="245847D8" w14:textId="77777777" w:rsidR="000464C2" w:rsidRDefault="000464C2"/>
        </w:tc>
        <w:tc>
          <w:tcPr>
            <w:tcW w:w="7087" w:type="dxa"/>
          </w:tcPr>
          <w:p w14:paraId="69C8E46F" w14:textId="77777777" w:rsidR="000464C2" w:rsidRDefault="000464C2"/>
        </w:tc>
      </w:tr>
      <w:tr w:rsidR="00316080" w14:paraId="2C4A2F2B" w14:textId="77777777" w:rsidTr="000464C2">
        <w:tc>
          <w:tcPr>
            <w:tcW w:w="2263" w:type="dxa"/>
          </w:tcPr>
          <w:p w14:paraId="55B80DF2" w14:textId="25AA6C61" w:rsidR="000464C2" w:rsidRDefault="0043756A">
            <w:r>
              <w:t>Post analysis</w:t>
            </w:r>
          </w:p>
        </w:tc>
        <w:tc>
          <w:tcPr>
            <w:tcW w:w="7087"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70A47920" w14:textId="065A9E0B"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E740FB" w:rsidP="00B23C71">
      <w:pPr>
        <w:rPr>
          <w:lang w:val="en-CA" w:eastAsia="zh-CN"/>
        </w:rPr>
      </w:pPr>
      <w:hyperlink r:id="rId13" w:history="1">
        <w:r w:rsidR="00B23C71">
          <w:rPr>
            <w:rStyle w:val="Hyperlink"/>
          </w:rPr>
          <w:t>https://www.youtube.com/watch?v=RxTfc4JLYKs</w:t>
        </w:r>
      </w:hyperlink>
    </w:p>
    <w:p w14:paraId="6B109AEC" w14:textId="01C22E93" w:rsidR="00B20B1B" w:rsidRDefault="00E740FB"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DD87" w14:textId="77777777" w:rsidR="00E740FB" w:rsidRDefault="00E740FB">
      <w:r>
        <w:separator/>
      </w:r>
    </w:p>
  </w:endnote>
  <w:endnote w:type="continuationSeparator" w:id="0">
    <w:p w14:paraId="0A65536B" w14:textId="77777777" w:rsidR="00E740FB" w:rsidRDefault="00E7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DC7C0" w14:textId="77777777" w:rsidR="00E740FB" w:rsidRDefault="00E740FB">
      <w:r>
        <w:separator/>
      </w:r>
    </w:p>
  </w:footnote>
  <w:footnote w:type="continuationSeparator" w:id="0">
    <w:p w14:paraId="4BE0E461" w14:textId="77777777" w:rsidR="00E740FB" w:rsidRDefault="00E74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1B6B2F"/>
    <w:rsid w:val="00305A95"/>
    <w:rsid w:val="00316080"/>
    <w:rsid w:val="00361671"/>
    <w:rsid w:val="00396C2F"/>
    <w:rsid w:val="003A3E46"/>
    <w:rsid w:val="0043756A"/>
    <w:rsid w:val="004A7C2D"/>
    <w:rsid w:val="004C2585"/>
    <w:rsid w:val="004D3A47"/>
    <w:rsid w:val="004F79E2"/>
    <w:rsid w:val="005A769D"/>
    <w:rsid w:val="00643BC1"/>
    <w:rsid w:val="0065439E"/>
    <w:rsid w:val="006C2782"/>
    <w:rsid w:val="007459E2"/>
    <w:rsid w:val="007D644B"/>
    <w:rsid w:val="008059F7"/>
    <w:rsid w:val="00B20B1B"/>
    <w:rsid w:val="00B23C71"/>
    <w:rsid w:val="00B82A26"/>
    <w:rsid w:val="00BA119E"/>
    <w:rsid w:val="00E30B8B"/>
    <w:rsid w:val="00E64455"/>
    <w:rsid w:val="00E740FB"/>
    <w:rsid w:val="00F20F6C"/>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68</cp:revision>
  <dcterms:created xsi:type="dcterms:W3CDTF">2019-12-04T16:38:00Z</dcterms:created>
  <dcterms:modified xsi:type="dcterms:W3CDTF">2020-03-03T05:01:00Z</dcterms:modified>
  <dc:language>en-CA</dc:language>
</cp:coreProperties>
</file>