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D10BB" w14:textId="77777777" w:rsidR="00520D10" w:rsidRPr="00520D10" w:rsidRDefault="00520D10" w:rsidP="00520D1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20D10">
        <w:rPr>
          <w:rFonts w:ascii="Arial" w:hAnsi="Arial" w:cs="Arial"/>
          <w:b/>
          <w:bCs/>
          <w:sz w:val="28"/>
          <w:szCs w:val="28"/>
        </w:rPr>
        <w:t>Estrategias de promoción</w:t>
      </w:r>
    </w:p>
    <w:p w14:paraId="18E00B27" w14:textId="77777777" w:rsidR="00520D10" w:rsidRPr="003D1A54" w:rsidRDefault="00520D10" w:rsidP="00520D1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D8F9382" w14:textId="3F7C268F" w:rsidR="00520D10" w:rsidRPr="00520D10" w:rsidRDefault="00520D10" w:rsidP="00520D1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20D10">
        <w:rPr>
          <w:rFonts w:ascii="Arial" w:hAnsi="Arial" w:cs="Arial"/>
          <w:b/>
          <w:bCs/>
          <w:sz w:val="24"/>
          <w:szCs w:val="24"/>
        </w:rPr>
        <w:t>Medios publicitarios que se utilizarán para la promoción</w:t>
      </w:r>
    </w:p>
    <w:p w14:paraId="781AA3A3" w14:textId="77777777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Para dar a conocer el producto y posicionarlo en el mercado, se implementará una estrategia de comunicación integral que combine distintos tipos de medios publicitarios, buscando alcanzar una audiencia amplia y diversa.</w:t>
      </w:r>
    </w:p>
    <w:p w14:paraId="0E6E846A" w14:textId="77777777" w:rsidR="00520D10" w:rsidRPr="003D1A54" w:rsidRDefault="00520D10" w:rsidP="00520D1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Medios tradicionales:</w:t>
      </w:r>
    </w:p>
    <w:p w14:paraId="31049402" w14:textId="179D73C1" w:rsidR="00520D10" w:rsidRPr="00520D10" w:rsidRDefault="00520D10" w:rsidP="00520D10">
      <w:pPr>
        <w:ind w:left="720"/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Se utilizarán canales convencionales como la radio local, la televisión regional y la distribución de folletos informativos en zonas estratégicas. Estos medios permitirán llegar a públicos que aún consumen información de manera tradicional, generando reconocimiento de marca y confianza.</w:t>
      </w:r>
    </w:p>
    <w:p w14:paraId="3AD2B5CE" w14:textId="77777777" w:rsidR="00520D10" w:rsidRPr="003D1A54" w:rsidRDefault="00520D10" w:rsidP="00520D1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Medios digitales:</w:t>
      </w:r>
    </w:p>
    <w:p w14:paraId="17AEEADE" w14:textId="1D89641F" w:rsidR="00520D10" w:rsidRPr="00520D10" w:rsidRDefault="00520D10" w:rsidP="00520D10">
      <w:pPr>
        <w:ind w:left="720"/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 xml:space="preserve">La mayor parte del presupuesto publicitario se destinará a medios digitales, principalmente redes sociales (Facebook, Instagram, TikTok y YouTube), donde se publicarán anuncios pagados, publicaciones orgánicas y videos promocionales. Además, se desarrollará un sitio web oficial optimizado para motores de búsqueda (SEO), y se emplearán campañas de Google </w:t>
      </w:r>
      <w:proofErr w:type="spellStart"/>
      <w:r w:rsidRPr="00520D10">
        <w:rPr>
          <w:rFonts w:ascii="Arial" w:hAnsi="Arial" w:cs="Arial"/>
          <w:sz w:val="24"/>
          <w:szCs w:val="24"/>
        </w:rPr>
        <w:t>Ads</w:t>
      </w:r>
      <w:proofErr w:type="spellEnd"/>
      <w:r w:rsidRPr="00520D10">
        <w:rPr>
          <w:rFonts w:ascii="Arial" w:hAnsi="Arial" w:cs="Arial"/>
          <w:sz w:val="24"/>
          <w:szCs w:val="24"/>
        </w:rPr>
        <w:t xml:space="preserve"> para captar clientes potenciales mediante publicidad segmentada.</w:t>
      </w:r>
    </w:p>
    <w:p w14:paraId="5E172BD3" w14:textId="77777777" w:rsidR="00520D10" w:rsidRPr="003D1A54" w:rsidRDefault="00520D10" w:rsidP="00520D1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Medios alternativos:</w:t>
      </w:r>
    </w:p>
    <w:p w14:paraId="2C750DD5" w14:textId="4010C30A" w:rsidR="00520D10" w:rsidRPr="00520D10" w:rsidRDefault="00520D10" w:rsidP="00520D10">
      <w:pPr>
        <w:ind w:left="720"/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Se realizarán activaciones de marca en ferias locales, universidades y espacios públicos, donde los consumidores podrán interactuar directamente con el producto. También se buscarán alianzas con eventos o asociaciones que permitan difundir la marca de manera no convencional, generando experiencias memorables.</w:t>
      </w:r>
    </w:p>
    <w:p w14:paraId="1DBF4965" w14:textId="77777777" w:rsidR="00520D10" w:rsidRPr="003D1A54" w:rsidRDefault="00520D10" w:rsidP="00520D1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Medios pagados:</w:t>
      </w:r>
    </w:p>
    <w:p w14:paraId="21A06D49" w14:textId="270C4BA9" w:rsidR="00520D10" w:rsidRPr="00520D10" w:rsidRDefault="00520D10" w:rsidP="00520D10">
      <w:pPr>
        <w:ind w:left="720"/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Incluirán la contratación de espacios publicitarios en medios de comunicación (impresos, digitales y radiales), además de campañas de anuncios en redes sociales y plataformas de video. Esto asegurará un alcance inmediato y medible.</w:t>
      </w:r>
    </w:p>
    <w:p w14:paraId="7F4F8A7B" w14:textId="77777777" w:rsidR="00520D10" w:rsidRPr="003D1A54" w:rsidRDefault="00520D10" w:rsidP="00520D1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Medios ganados:</w:t>
      </w:r>
    </w:p>
    <w:p w14:paraId="228D593F" w14:textId="22E67CD4" w:rsidR="00520D10" w:rsidRPr="00520D10" w:rsidRDefault="00520D10" w:rsidP="00520D10">
      <w:pPr>
        <w:ind w:left="720"/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Se fomentará la obtención de menciones orgánicas a través de la satisfacción de los clientes. Reseñas positivas, publicaciones espontáneas en redes sociales y recomendaciones serán los principales impulsores de este tipo de publicidad, fortaleciendo la credibilidad y reputación de la marca.</w:t>
      </w:r>
    </w:p>
    <w:p w14:paraId="15F61207" w14:textId="77777777" w:rsidR="00520D10" w:rsidRPr="003D1A54" w:rsidRDefault="00520D10" w:rsidP="00520D1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Medios propios:</w:t>
      </w:r>
    </w:p>
    <w:p w14:paraId="23A5838E" w14:textId="4617B135" w:rsidR="00520D10" w:rsidRPr="00520D10" w:rsidRDefault="00520D10" w:rsidP="00520D10">
      <w:pPr>
        <w:ind w:left="720"/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lastRenderedPageBreak/>
        <w:t>Comprenden los canales controlados directamente por la empresa, como el sitio web oficial, los perfiles en redes sociales, los catálogos digitales, blogs corporativos y el material impreso del punto de venta. Estos espacios permitirán mantener una comunicación constante y coherente con la audiencia.</w:t>
      </w:r>
    </w:p>
    <w:p w14:paraId="0E23AF40" w14:textId="77777777" w:rsidR="00520D10" w:rsidRPr="003D1A54" w:rsidRDefault="00520D10" w:rsidP="00520D10">
      <w:pPr>
        <w:jc w:val="both"/>
        <w:rPr>
          <w:rFonts w:ascii="Arial" w:hAnsi="Arial" w:cs="Arial"/>
          <w:sz w:val="24"/>
          <w:szCs w:val="24"/>
        </w:rPr>
      </w:pPr>
    </w:p>
    <w:p w14:paraId="7025C105" w14:textId="388CD712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b/>
          <w:bCs/>
          <w:sz w:val="24"/>
          <w:szCs w:val="24"/>
        </w:rPr>
        <w:t>Estrategias de introducción al mercado (promoción de ventas)</w:t>
      </w:r>
    </w:p>
    <w:p w14:paraId="736ADDFD" w14:textId="77777777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El lanzamiento del producto o servicio se basará en una serie de estrategias promocionales diseñadas para incentivar la compra, generar interés y construir lealtad desde el inicio.</w:t>
      </w:r>
    </w:p>
    <w:p w14:paraId="65D338CE" w14:textId="77777777" w:rsidR="00520D10" w:rsidRPr="00520D10" w:rsidRDefault="00520D10" w:rsidP="00520D1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Ofertas de lanzamiento: se aplicarán descuentos especiales durante el primer mes, tales como promociones de tipo “2x1”, cupones digitales y precios preferenciales para los primeros clientes.</w:t>
      </w:r>
    </w:p>
    <w:p w14:paraId="73372773" w14:textId="77777777" w:rsidR="00520D10" w:rsidRPr="00520D10" w:rsidRDefault="00520D10" w:rsidP="00520D1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Muestras gratuitas: se entregarán en puntos de venta y eventos locales, para que los consumidores experimenten directamente la calidad del producto.</w:t>
      </w:r>
    </w:p>
    <w:p w14:paraId="25F16735" w14:textId="77777777" w:rsidR="00520D10" w:rsidRPr="00520D10" w:rsidRDefault="00520D10" w:rsidP="00520D1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 xml:space="preserve">Colaboraciones con </w:t>
      </w:r>
      <w:proofErr w:type="spellStart"/>
      <w:r w:rsidRPr="00520D10">
        <w:rPr>
          <w:rFonts w:ascii="Arial" w:hAnsi="Arial" w:cs="Arial"/>
          <w:sz w:val="24"/>
          <w:szCs w:val="24"/>
        </w:rPr>
        <w:t>influencers</w:t>
      </w:r>
      <w:proofErr w:type="spellEnd"/>
      <w:r w:rsidRPr="00520D10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520D10">
        <w:rPr>
          <w:rFonts w:ascii="Arial" w:hAnsi="Arial" w:cs="Arial"/>
          <w:sz w:val="24"/>
          <w:szCs w:val="24"/>
        </w:rPr>
        <w:t>microcreadores</w:t>
      </w:r>
      <w:proofErr w:type="spellEnd"/>
      <w:r w:rsidRPr="00520D10">
        <w:rPr>
          <w:rFonts w:ascii="Arial" w:hAnsi="Arial" w:cs="Arial"/>
          <w:sz w:val="24"/>
          <w:szCs w:val="24"/>
        </w:rPr>
        <w:t xml:space="preserve"> de contenido: se seleccionarán personalidades afines al público meta que promuevan el producto mediante reseñas y demostraciones en redes sociales.</w:t>
      </w:r>
    </w:p>
    <w:p w14:paraId="39111C9E" w14:textId="77777777" w:rsidR="00520D10" w:rsidRPr="00520D10" w:rsidRDefault="00520D10" w:rsidP="00520D1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Programa de fidelización: se desarrollará un sistema de recompensas para clientes frecuentes, ofreciendo puntos, descuentos o regalos por recomendación.</w:t>
      </w:r>
    </w:p>
    <w:p w14:paraId="6083B45C" w14:textId="77777777" w:rsidR="00520D10" w:rsidRPr="00520D10" w:rsidRDefault="00520D10" w:rsidP="00520D1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Campañas de expectativa: se generará intriga y curiosidad antes del lanzamiento oficial, utilizando adelantos visuales y contenido exclusivo en redes sociales.</w:t>
      </w:r>
    </w:p>
    <w:p w14:paraId="37AB1AE5" w14:textId="77777777" w:rsidR="00520D10" w:rsidRPr="00520D10" w:rsidRDefault="00520D10" w:rsidP="00520D1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Promociones estacionales: se adaptarán las estrategias de promoción a fechas clave (como Navidad, Día de las Madres o temporadas de regreso a clases), aprovechando los picos de consumo.</w:t>
      </w:r>
    </w:p>
    <w:p w14:paraId="3A338521" w14:textId="77777777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Estas acciones combinadas permitirán una entrada gradual y sostenida en el mercado, fortaleciendo la presencia de la marca y aumentando la tasa de adopción del producto.</w:t>
      </w:r>
    </w:p>
    <w:p w14:paraId="42350103" w14:textId="77777777" w:rsidR="00520D10" w:rsidRPr="003D1A54" w:rsidRDefault="00520D10" w:rsidP="00520D10">
      <w:pPr>
        <w:jc w:val="both"/>
        <w:rPr>
          <w:rFonts w:ascii="Arial" w:hAnsi="Arial" w:cs="Arial"/>
          <w:sz w:val="24"/>
          <w:szCs w:val="24"/>
        </w:rPr>
      </w:pPr>
    </w:p>
    <w:p w14:paraId="0A83CD0A" w14:textId="3A2896FB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b/>
          <w:bCs/>
          <w:sz w:val="24"/>
          <w:szCs w:val="24"/>
        </w:rPr>
        <w:t>Información de la marca, logotipo y eslogan</w:t>
      </w:r>
    </w:p>
    <w:p w14:paraId="7D5D9C12" w14:textId="77777777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La marca representa los valores fundamentales del proyecto, tales como innovación, calidad, sostenibilidad y cercanía con el cliente. Su nombre fue elegido por su fácil recordación, pronunciación atractiva y relación directa con la propuesta de valor.</w:t>
      </w:r>
    </w:p>
    <w:p w14:paraId="0B395B86" w14:textId="77777777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lastRenderedPageBreak/>
        <w:t>El logotipo ha sido diseñado con un estilo moderno, equilibrado y visualmente limpio. Los colores empleados reflejan los principios de la empresa: tonos naturales que transmiten confianza, frescura y compromiso ambiental (en caso de un producto ecológico o saludable). La tipografía seleccionada es legible y contemporánea, con líneas suaves que refuerzan la identidad de marca.</w:t>
      </w:r>
    </w:p>
    <w:p w14:paraId="3278D642" w14:textId="77777777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El eslogan sintetiza el propósito del producto en una frase breve, creativa y emocional. Está diseñado para captar la atención del consumidor y reforzar el posicionamiento deseado en la mente del público objetivo. Por ejemplo, si el producto es sustentable, el eslogan podría centrarse en la idea de bienestar, naturaleza o equilibrio.</w:t>
      </w:r>
    </w:p>
    <w:p w14:paraId="044F0CBB" w14:textId="77777777" w:rsidR="00520D10" w:rsidRPr="003D1A54" w:rsidRDefault="00520D10" w:rsidP="00520D10">
      <w:pPr>
        <w:jc w:val="both"/>
        <w:rPr>
          <w:rFonts w:ascii="Arial" w:hAnsi="Arial" w:cs="Arial"/>
          <w:sz w:val="24"/>
          <w:szCs w:val="24"/>
        </w:rPr>
      </w:pPr>
    </w:p>
    <w:p w14:paraId="51190C97" w14:textId="131413FA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b/>
          <w:bCs/>
          <w:sz w:val="24"/>
          <w:szCs w:val="24"/>
        </w:rPr>
        <w:t>Información de la etiqueta</w:t>
      </w:r>
    </w:p>
    <w:p w14:paraId="4904ECF3" w14:textId="77777777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La etiqueta del producto cumple tanto una función informativa como estética. Incluye los elementos básicos exigidos por la normativa vigente:</w:t>
      </w:r>
    </w:p>
    <w:p w14:paraId="5D02F5ED" w14:textId="77777777" w:rsidR="00520D10" w:rsidRPr="00520D10" w:rsidRDefault="00520D10" w:rsidP="00520D1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Nombre comercial del producto y logotipo de la marca.</w:t>
      </w:r>
    </w:p>
    <w:p w14:paraId="55A16228" w14:textId="77777777" w:rsidR="00520D10" w:rsidRPr="00520D10" w:rsidRDefault="00520D10" w:rsidP="00520D1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Datos del fabricante o distribuidor.</w:t>
      </w:r>
    </w:p>
    <w:p w14:paraId="2B3F894D" w14:textId="77777777" w:rsidR="00520D10" w:rsidRPr="00520D10" w:rsidRDefault="00520D10" w:rsidP="00520D1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Número de lote, fecha de elaboración y de caducidad.</w:t>
      </w:r>
    </w:p>
    <w:p w14:paraId="3F83109C" w14:textId="77777777" w:rsidR="00520D10" w:rsidRPr="00520D10" w:rsidRDefault="00520D10" w:rsidP="00520D1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Código de barras y peso o contenido neto.</w:t>
      </w:r>
    </w:p>
    <w:p w14:paraId="22210F02" w14:textId="77777777" w:rsidR="00520D10" w:rsidRPr="00520D10" w:rsidRDefault="00520D10" w:rsidP="00520D1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Instrucciones de uso y advertencias, si aplica.</w:t>
      </w:r>
    </w:p>
    <w:p w14:paraId="69498D80" w14:textId="77777777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En cuanto al diseño, la etiqueta sigue la línea visual del logotipo, utilizando los mismos colores corporativos y tipografías. Está dispuesta de manera que la información sea clara, visible y atractiva. Además, se busca que refleje la esencia del producto, reforzando la conexión entre el consumidor y la marca.</w:t>
      </w:r>
    </w:p>
    <w:p w14:paraId="45C6562B" w14:textId="28525324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</w:p>
    <w:p w14:paraId="64E49453" w14:textId="48CEFF9B" w:rsidR="00520D10" w:rsidRPr="00520D10" w:rsidRDefault="00520D10" w:rsidP="00520D1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20D10">
        <w:rPr>
          <w:rFonts w:ascii="Arial" w:hAnsi="Arial" w:cs="Arial"/>
          <w:b/>
          <w:bCs/>
          <w:sz w:val="24"/>
          <w:szCs w:val="24"/>
        </w:rPr>
        <w:t>Información del embalaje</w:t>
      </w:r>
    </w:p>
    <w:p w14:paraId="301B12CA" w14:textId="77777777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El embalaje es considerado un elemento esencial dentro de la estrategia de marketing, ya que influye directamente en la percepción del valor y en la decisión de compra.</w:t>
      </w:r>
    </w:p>
    <w:p w14:paraId="19AC92AC" w14:textId="77777777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>El diseño propuesto combina funcionalidad y estética, garantizando la protección del producto durante el transporte y almacenamiento, sin descuidar la presentación visual. Se contempla el uso de materiales reciclables o biodegradables, con el fin de alinearse con prácticas sostenibles y generar un impacto positivo en el consumidor consciente.</w:t>
      </w:r>
    </w:p>
    <w:p w14:paraId="0C83884F" w14:textId="77777777" w:rsidR="00520D10" w:rsidRPr="00520D10" w:rsidRDefault="00520D10" w:rsidP="00520D10">
      <w:pPr>
        <w:jc w:val="both"/>
        <w:rPr>
          <w:rFonts w:ascii="Arial" w:hAnsi="Arial" w:cs="Arial"/>
          <w:sz w:val="24"/>
          <w:szCs w:val="24"/>
        </w:rPr>
      </w:pPr>
      <w:r w:rsidRPr="00520D10">
        <w:rPr>
          <w:rFonts w:ascii="Arial" w:hAnsi="Arial" w:cs="Arial"/>
          <w:sz w:val="24"/>
          <w:szCs w:val="24"/>
        </w:rPr>
        <w:t xml:space="preserve">Asimismo, el empaque incorporará elementos visuales de la marca (colores, logotipo, eslogan y tipografía), logrando coherencia entre todos los componentes de </w:t>
      </w:r>
      <w:r w:rsidRPr="00520D10">
        <w:rPr>
          <w:rFonts w:ascii="Arial" w:hAnsi="Arial" w:cs="Arial"/>
          <w:sz w:val="24"/>
          <w:szCs w:val="24"/>
        </w:rPr>
        <w:lastRenderedPageBreak/>
        <w:t>la identidad corporativa.</w:t>
      </w:r>
      <w:r w:rsidRPr="00520D10">
        <w:rPr>
          <w:rFonts w:ascii="Arial" w:hAnsi="Arial" w:cs="Arial"/>
          <w:sz w:val="24"/>
          <w:szCs w:val="24"/>
        </w:rPr>
        <w:br/>
        <w:t>El tamaño será adecuado al contenido, con una estructura práctica para el manejo y la exhibición. También se incluirán mensajes motivacionales o ambientales en el interior o exterior del empaque, con el objetivo de reforzar la conexión emocional con el cliente.</w:t>
      </w:r>
    </w:p>
    <w:p w14:paraId="0E3A25F2" w14:textId="77777777" w:rsidR="00A560D0" w:rsidRPr="003D1A54" w:rsidRDefault="00A560D0">
      <w:pPr>
        <w:rPr>
          <w:rFonts w:ascii="Arial" w:hAnsi="Arial" w:cs="Arial"/>
          <w:sz w:val="24"/>
          <w:szCs w:val="24"/>
        </w:rPr>
      </w:pPr>
    </w:p>
    <w:sectPr w:rsidR="00A560D0" w:rsidRPr="003D1A54" w:rsidSect="005A39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01921"/>
    <w:multiLevelType w:val="multilevel"/>
    <w:tmpl w:val="6AB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2445F"/>
    <w:multiLevelType w:val="multilevel"/>
    <w:tmpl w:val="7570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9466E6"/>
    <w:multiLevelType w:val="multilevel"/>
    <w:tmpl w:val="ACB6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771359">
    <w:abstractNumId w:val="1"/>
  </w:num>
  <w:num w:numId="2" w16cid:durableId="922834834">
    <w:abstractNumId w:val="2"/>
  </w:num>
  <w:num w:numId="3" w16cid:durableId="47738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0"/>
    <w:rsid w:val="00081CAA"/>
    <w:rsid w:val="000A69AB"/>
    <w:rsid w:val="001345CC"/>
    <w:rsid w:val="00224A63"/>
    <w:rsid w:val="003D1A54"/>
    <w:rsid w:val="00520D10"/>
    <w:rsid w:val="00561148"/>
    <w:rsid w:val="005A39EE"/>
    <w:rsid w:val="00810075"/>
    <w:rsid w:val="00832C95"/>
    <w:rsid w:val="00966BB7"/>
    <w:rsid w:val="00A560D0"/>
    <w:rsid w:val="00A61B35"/>
    <w:rsid w:val="00A9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37687"/>
  <w15:chartTrackingRefBased/>
  <w15:docId w15:val="{1F0E6F16-F69F-44B7-97BF-947F87C9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D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D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D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D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D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D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D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1F0E1-640F-4048-B21F-2E508B560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988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Acosta Calva Alin Citlaly</dc:creator>
  <cp:keywords/>
  <dc:description/>
  <cp:lastModifiedBy>Acosta Calva Alin Citlaly</cp:lastModifiedBy>
  <cp:revision>2</cp:revision>
  <cp:lastPrinted>2025-11-08T01:46:00Z</cp:lastPrinted>
  <dcterms:created xsi:type="dcterms:W3CDTF">2025-11-08T01:47:00Z</dcterms:created>
  <dcterms:modified xsi:type="dcterms:W3CDTF">2025-11-08T01:47:00Z</dcterms:modified>
</cp:coreProperties>
</file>