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1834" w14:textId="77777777" w:rsidR="00C66EBD" w:rsidRPr="00C66EBD" w:rsidRDefault="00C66EBD" w:rsidP="00C66EBD">
      <w:pPr>
        <w:spacing w:line="360" w:lineRule="auto"/>
        <w:jc w:val="both"/>
        <w:rPr>
          <w:rFonts w:ascii="Arial" w:hAnsi="Arial" w:cs="Arial"/>
          <w:b/>
          <w:bCs/>
          <w:sz w:val="28"/>
          <w:szCs w:val="28"/>
        </w:rPr>
      </w:pPr>
      <w:r w:rsidRPr="00C66EBD">
        <w:rPr>
          <w:rFonts w:ascii="Arial" w:hAnsi="Arial" w:cs="Arial"/>
          <w:b/>
          <w:bCs/>
          <w:sz w:val="28"/>
          <w:szCs w:val="28"/>
        </w:rPr>
        <w:t>Fuentes de información secundaria y tipo de información recolectada</w:t>
      </w:r>
    </w:p>
    <w:p w14:paraId="6EED487F"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Para el desarrollo del estudio de mercado del proyecto “Esencia de Café”, de la empresa Café Tenango, se hizo indispensable recurrir a fuentes de información secundaria, es decir, aquellos datos que ya habían sido recopilados, analizados y publicados previamente por instituciones gubernamentales, organismos especializados, universidades, cámaras empresariales y fuentes digitales. Este tipo de información permitió conocer el contexto general en el que se desenvuelve la industria cafetalera y el mercado de bebidas energizantes naturales, aportando una base sólida para la toma de decisiones estratégicas y la planeación del proyecto.</w:t>
      </w:r>
    </w:p>
    <w:p w14:paraId="20032687"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Las fuentes secundarias fueron esenciales porque proporcionaron información confiable y verificable sobre temas que de otra forma serían difíciles de obtener a través de la investigación primaria, como el tamaño del mercado, las tendencias nacionales e internacionales de consumo, la situación económica de la región y la evolución del sector agroindustrial. Gracias a su consulta fue posible contextualizar la propuesta de valor de Esencia de Café dentro de un entorno competitivo, sustentable y con oportunidades de crecimiento real.</w:t>
      </w:r>
    </w:p>
    <w:p w14:paraId="33E9BC38"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Entre las principales fuentes gubernamentales y estadísticas se utilizó información del Instituto Nacional de Estadística y Geografía (INEGI), que ofreció datos actualizados sobre la población, la estructura demográfica, los niveles de ingreso y la distribución territorial de los municipios que conforman la región de Orizaba–Córdoba. Estos datos fueron fundamentales para estimar el tamaño del mercado potencial, identificar los segmentos de consumidores con mayor poder adquisitivo y reconocer los hábitos de consumo locales.</w:t>
      </w:r>
    </w:p>
    <w:p w14:paraId="28E68C82"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 xml:space="preserve">Asimismo, se consultaron los informes del Servicio de Información Agroalimentaria y Pesquera (SIAP) de la Secretaría de Agricultura y Desarrollo Rural (SADER), los cuales proporcionaron información detallada sobre la superficie cultivada de café, los rendimientos por hectárea, la productividad promedio en Veracruz y los precios de venta del grano. Esta información permitió dimensionar la capacidad productiva </w:t>
      </w:r>
      <w:r w:rsidRPr="00C66EBD">
        <w:rPr>
          <w:rFonts w:ascii="Arial" w:hAnsi="Arial" w:cs="Arial"/>
          <w:sz w:val="24"/>
          <w:szCs w:val="24"/>
        </w:rPr>
        <w:lastRenderedPageBreak/>
        <w:t>de la región y sustentar la disponibilidad de materia prima necesaria para elaborar la “Esencia de Café”.</w:t>
      </w:r>
    </w:p>
    <w:p w14:paraId="2FA91ABD"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También se revisaron los reportes y boletines de la Secretaría de Desarrollo Económico y Portuario del Estado de Veracruz (SEDECOP), donde se presentan indicadores sobre la participación de las micro y pequeñas empresas en la economía regional, así como los programas de apoyo disponibles para emprendimientos agroindustriales. Estos datos sirvieron para evaluar la viabilidad de crecimiento del proyecto, considerando el respaldo institucional y las oportunidades de financiamiento estatal y federal.</w:t>
      </w:r>
    </w:p>
    <w:p w14:paraId="05739164"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En el ámbito académico, se consultaron diversas fuentes universitarias y científicas. Se analizaron investigaciones publicadas por la Universidad Veracruzana, el Instituto Tecnológico de Orizaba y otras instituciones de educación superior, que han desarrollado estudios sobre innovación agroindustrial, transformación de productos agrícolas, consumo de bebidas orgánicas y tendencias en el mercado del café. Estas referencias permitieron comprender el potencial de diversificación del café veracruzano, así como la importancia de los productos con identidad regional y prácticas sostenibles en el consumo actual.</w:t>
      </w:r>
    </w:p>
    <w:p w14:paraId="3D9D5CCE"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Del mismo modo, se tomaron en cuenta publicaciones del Consejo Nacional del Café (CONACAFE) y del Instituto Mexicano del Café (INMECAFÉ), que ofrecen información técnica sobre la calidad del café mexicano, las variedades más apreciadas en el mercado y las estrategias de promoción para el café de especialidad. Estos documentos fueron clave para sustentar la diferenciación del producto y su posicionamiento como un energizante orgánico premium de origen veracruzano.</w:t>
      </w:r>
    </w:p>
    <w:p w14:paraId="58FE1C82"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 xml:space="preserve">Por otra parte, se consultaron fuentes comerciales y de mercado, que permitieron conocer las características del consumo nacional de bebidas energéticas y naturales. Se revisaron reportes de consultoras especializadas como </w:t>
      </w:r>
      <w:proofErr w:type="spellStart"/>
      <w:r w:rsidRPr="00C66EBD">
        <w:rPr>
          <w:rFonts w:ascii="Arial" w:hAnsi="Arial" w:cs="Arial"/>
          <w:sz w:val="24"/>
          <w:szCs w:val="24"/>
        </w:rPr>
        <w:t>Euromonitor</w:t>
      </w:r>
      <w:proofErr w:type="spellEnd"/>
      <w:r w:rsidRPr="00C66EBD">
        <w:rPr>
          <w:rFonts w:ascii="Arial" w:hAnsi="Arial" w:cs="Arial"/>
          <w:sz w:val="24"/>
          <w:szCs w:val="24"/>
        </w:rPr>
        <w:t xml:space="preserve">, Kantar México y Statista, las cuales proporcionan estadísticas sobre el crecimiento del mercado de bebidas funcionales, las preferencias de los consumidores jóvenes y el aumento de la demanda por productos saludables y de origen natural. Estos </w:t>
      </w:r>
      <w:r w:rsidRPr="00C66EBD">
        <w:rPr>
          <w:rFonts w:ascii="Arial" w:hAnsi="Arial" w:cs="Arial"/>
          <w:sz w:val="24"/>
          <w:szCs w:val="24"/>
        </w:rPr>
        <w:lastRenderedPageBreak/>
        <w:t>estudios sirvieron para identificar una tendencia creciente hacia el consumo de alternativas sin aditivos químicos, lo cual coincide con la propuesta de valor de Esencia de Café.</w:t>
      </w:r>
    </w:p>
    <w:p w14:paraId="2798809E"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También se analizaron informes de la Cámara Nacional de la Industria de Transformación (CANACINTRA) y de la Asociación Nacional de Tiendas de Autoservicio y Departamentales (ANTAD), los cuales aportan información sobre los patrones de compra, los hábitos de consumo y la participación de productos orgánicos en el mercado mexicano. Esta información ayudó a definir la estrategia de precios, distribución y promoción del producto dentro del mercado local.</w:t>
      </w:r>
    </w:p>
    <w:p w14:paraId="208AFBA0"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 xml:space="preserve">Otro aspecto importante fue el uso de fuentes digitales y comerciales. Se revisaron los sitios web y redes sociales de las principales empresas competidoras, tanto nacionales como locales, incluyendo marcas como Red Bull, Monster, Vive 100, Volt, Finca La </w:t>
      </w:r>
      <w:proofErr w:type="spellStart"/>
      <w:r w:rsidRPr="00C66EBD">
        <w:rPr>
          <w:rFonts w:ascii="Arial" w:hAnsi="Arial" w:cs="Arial"/>
          <w:sz w:val="24"/>
          <w:szCs w:val="24"/>
        </w:rPr>
        <w:t>Cedrela</w:t>
      </w:r>
      <w:proofErr w:type="spellEnd"/>
      <w:r w:rsidRPr="00C66EBD">
        <w:rPr>
          <w:rFonts w:ascii="Arial" w:hAnsi="Arial" w:cs="Arial"/>
          <w:sz w:val="24"/>
          <w:szCs w:val="24"/>
        </w:rPr>
        <w:t>, Finca Monte Azul y Cafetalera San Felipe. Este análisis permitió conocer sus estrategias de marketing, los diseños de empaque, la comunicación visual y los mensajes publicitarios que utilizan para atraer a sus consumidores. A partir de esa observación, se identificaron vacíos de mercado, especialmente en el segmento de energizantes naturales, donde la oferta es muy reducida y no existe una marca posicionada con identidad regional.</w:t>
      </w:r>
    </w:p>
    <w:p w14:paraId="0EE3F4E1"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Además, se tomaron en cuenta fuentes normativas y legales, tales como los documentos emitidos por la Comisión Federal para la Protección contra Riesgos Sanitarios (COFEPRIS) y las Normas Oficiales Mexicanas (NOM) aplicables al procesamiento, envasado y etiquetado de alimentos y bebidas. Entre ellas, destacan la NOM-051-SCFI/SSA1-2010, relativa al etiquetado de alimentos y bebidas no alcohólicas preenvasadas, y la NOM-251-SSA1-2009, sobre las prácticas de higiene en el proceso de alimentos. Este tipo de información resultó esencial para garantizar que la producción y comercialización del producto cumpla con las normas sanitarias vigentes y con los requerimientos legales del sector alimentario.</w:t>
      </w:r>
    </w:p>
    <w:p w14:paraId="5A3627B7" w14:textId="77777777" w:rsidR="00C66EBD" w:rsidRPr="00C66EBD" w:rsidRDefault="00C66EBD" w:rsidP="00C66EBD">
      <w:pPr>
        <w:spacing w:line="360" w:lineRule="auto"/>
        <w:jc w:val="both"/>
        <w:rPr>
          <w:rFonts w:ascii="Arial" w:hAnsi="Arial" w:cs="Arial"/>
          <w:sz w:val="24"/>
          <w:szCs w:val="24"/>
        </w:rPr>
      </w:pPr>
      <w:r w:rsidRPr="00C66EBD">
        <w:rPr>
          <w:rFonts w:ascii="Arial" w:hAnsi="Arial" w:cs="Arial"/>
          <w:sz w:val="24"/>
          <w:szCs w:val="24"/>
        </w:rPr>
        <w:t xml:space="preserve">La información recolectada a partir de todas estas fuentes secundarias permitió obtener una comprensión integral del entorno de mercado y de las condiciones del </w:t>
      </w:r>
      <w:r w:rsidRPr="00C66EBD">
        <w:rPr>
          <w:rFonts w:ascii="Arial" w:hAnsi="Arial" w:cs="Arial"/>
          <w:sz w:val="24"/>
          <w:szCs w:val="24"/>
        </w:rPr>
        <w:lastRenderedPageBreak/>
        <w:t>sector cafetalero en Veracruz. Gracias a estos datos se pudo identificar el tamaño del mercado objetivo, las tendencias de consumo, los niveles de competencia y la magnitud de la demanda insatisfecha en la región Orizaba–Córdoba. También fue posible analizar los factores económicos, sociales y culturales que influyen en el consumo de productos naturales y orgánicos, lo que contribuyó directamente al diseño de la estrategia de marketing y posicionamiento de la marca.</w:t>
      </w:r>
    </w:p>
    <w:p w14:paraId="6A9E785C" w14:textId="70905929" w:rsidR="00C66EBD" w:rsidRPr="00C66EBD" w:rsidRDefault="00C66EBD" w:rsidP="00C66EBD">
      <w:pPr>
        <w:spacing w:line="360" w:lineRule="auto"/>
        <w:jc w:val="both"/>
        <w:rPr>
          <w:rFonts w:ascii="Arial" w:hAnsi="Arial" w:cs="Arial"/>
          <w:sz w:val="24"/>
          <w:szCs w:val="24"/>
        </w:rPr>
      </w:pPr>
      <w:r>
        <w:rPr>
          <w:rFonts w:ascii="Arial" w:hAnsi="Arial" w:cs="Arial"/>
          <w:sz w:val="24"/>
          <w:szCs w:val="24"/>
        </w:rPr>
        <w:t>L</w:t>
      </w:r>
      <w:r w:rsidRPr="00C66EBD">
        <w:rPr>
          <w:rFonts w:ascii="Arial" w:hAnsi="Arial" w:cs="Arial"/>
          <w:sz w:val="24"/>
          <w:szCs w:val="24"/>
        </w:rPr>
        <w:t>as fuentes de información secundaria consultadas sirvieron como base para sustentar técnicamente el proyecto de inversión, ya que ofrecieron un panorama claro, documentado y actual sobre el mercado y las oportunidades de crecimiento. Gracias a ellas se logró construir un diagnóstico realista del entorno competitivo y confirmar que el producto “Esencia de Café” se introduce en un nicho con un alto potencial de aceptación, respaldado por la tendencia hacia el consumo saludable, el reconocimiento del café veracruzano y el interés por productos de identidad local y sustentable.</w:t>
      </w:r>
    </w:p>
    <w:p w14:paraId="28C08C95" w14:textId="77777777" w:rsidR="003969C2" w:rsidRPr="00C66EBD" w:rsidRDefault="003969C2" w:rsidP="00C66EBD">
      <w:pPr>
        <w:spacing w:line="360" w:lineRule="auto"/>
        <w:jc w:val="both"/>
        <w:rPr>
          <w:rFonts w:ascii="Arial" w:hAnsi="Arial" w:cs="Arial"/>
          <w:sz w:val="24"/>
          <w:szCs w:val="24"/>
        </w:rPr>
      </w:pPr>
    </w:p>
    <w:sectPr w:rsidR="003969C2" w:rsidRPr="00C66EBD" w:rsidSect="00C66EBD">
      <w:pgSz w:w="12240" w:h="15840" w:code="1"/>
      <w:pgMar w:top="1474"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BD"/>
    <w:rsid w:val="00102B35"/>
    <w:rsid w:val="003930D9"/>
    <w:rsid w:val="003969C2"/>
    <w:rsid w:val="006D556C"/>
    <w:rsid w:val="00775DB3"/>
    <w:rsid w:val="007A4AD8"/>
    <w:rsid w:val="009539AA"/>
    <w:rsid w:val="009F106F"/>
    <w:rsid w:val="00BB3F18"/>
    <w:rsid w:val="00C66EBD"/>
    <w:rsid w:val="00DF1C20"/>
    <w:rsid w:val="00FA10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01DB4"/>
  <w15:chartTrackingRefBased/>
  <w15:docId w15:val="{79884235-E17E-4335-A06E-4F2A6160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6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6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6EB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6EB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6EB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6EB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6EB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6EB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6EB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6EB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6EB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6EB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6EB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6EB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6EB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6EB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6EB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6EBD"/>
    <w:rPr>
      <w:rFonts w:eastAsiaTheme="majorEastAsia" w:cstheme="majorBidi"/>
      <w:color w:val="272727" w:themeColor="text1" w:themeTint="D8"/>
    </w:rPr>
  </w:style>
  <w:style w:type="paragraph" w:styleId="Ttulo">
    <w:name w:val="Title"/>
    <w:basedOn w:val="Normal"/>
    <w:next w:val="Normal"/>
    <w:link w:val="TtuloCar"/>
    <w:uiPriority w:val="10"/>
    <w:qFormat/>
    <w:rsid w:val="00C66E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6EB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6EB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6EB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6EBD"/>
    <w:pPr>
      <w:spacing w:before="160"/>
      <w:jc w:val="center"/>
    </w:pPr>
    <w:rPr>
      <w:i/>
      <w:iCs/>
      <w:color w:val="404040" w:themeColor="text1" w:themeTint="BF"/>
    </w:rPr>
  </w:style>
  <w:style w:type="character" w:customStyle="1" w:styleId="CitaCar">
    <w:name w:val="Cita Car"/>
    <w:basedOn w:val="Fuentedeprrafopredeter"/>
    <w:link w:val="Cita"/>
    <w:uiPriority w:val="29"/>
    <w:rsid w:val="00C66EBD"/>
    <w:rPr>
      <w:i/>
      <w:iCs/>
      <w:color w:val="404040" w:themeColor="text1" w:themeTint="BF"/>
    </w:rPr>
  </w:style>
  <w:style w:type="paragraph" w:styleId="Prrafodelista">
    <w:name w:val="List Paragraph"/>
    <w:basedOn w:val="Normal"/>
    <w:uiPriority w:val="34"/>
    <w:qFormat/>
    <w:rsid w:val="00C66EBD"/>
    <w:pPr>
      <w:ind w:left="720"/>
      <w:contextualSpacing/>
    </w:pPr>
  </w:style>
  <w:style w:type="character" w:styleId="nfasisintenso">
    <w:name w:val="Intense Emphasis"/>
    <w:basedOn w:val="Fuentedeprrafopredeter"/>
    <w:uiPriority w:val="21"/>
    <w:qFormat/>
    <w:rsid w:val="00C66EBD"/>
    <w:rPr>
      <w:i/>
      <w:iCs/>
      <w:color w:val="0F4761" w:themeColor="accent1" w:themeShade="BF"/>
    </w:rPr>
  </w:style>
  <w:style w:type="paragraph" w:styleId="Citadestacada">
    <w:name w:val="Intense Quote"/>
    <w:basedOn w:val="Normal"/>
    <w:next w:val="Normal"/>
    <w:link w:val="CitadestacadaCar"/>
    <w:uiPriority w:val="30"/>
    <w:qFormat/>
    <w:rsid w:val="00C66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6EBD"/>
    <w:rPr>
      <w:i/>
      <w:iCs/>
      <w:color w:val="0F4761" w:themeColor="accent1" w:themeShade="BF"/>
    </w:rPr>
  </w:style>
  <w:style w:type="character" w:styleId="Referenciaintensa">
    <w:name w:val="Intense Reference"/>
    <w:basedOn w:val="Fuentedeprrafopredeter"/>
    <w:uiPriority w:val="32"/>
    <w:qFormat/>
    <w:rsid w:val="00C66E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1169</Words>
  <Characters>6434</Characters>
  <Application>Microsoft Office Word</Application>
  <DocSecurity>0</DocSecurity>
  <Lines>53</Lines>
  <Paragraphs>15</Paragraphs>
  <ScaleCrop>false</ScaleCrop>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Monterrubio Pelayo Saul</dc:creator>
  <cp:keywords/>
  <dc:description/>
  <cp:lastModifiedBy>Monterrubio Pelayo Saul</cp:lastModifiedBy>
  <cp:revision>1</cp:revision>
  <dcterms:created xsi:type="dcterms:W3CDTF">2025-11-08T01:55:00Z</dcterms:created>
  <dcterms:modified xsi:type="dcterms:W3CDTF">2025-11-08T01:58:00Z</dcterms:modified>
</cp:coreProperties>
</file>