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3450CB1" w:rsidP="3B0B2CC4" w:rsidRDefault="13450CB1" w14:paraId="0898DD1A" w14:textId="59686041">
      <w:pPr>
        <w:pStyle w:val="Normal"/>
        <w:suppressLineNumbers w:val="0"/>
        <w:bidi w:val="0"/>
        <w:spacing w:before="0" w:beforeAutospacing="off" w:after="160" w:afterAutospacing="off" w:line="279" w:lineRule="auto"/>
        <w:ind w:left="0" w:right="0"/>
        <w:jc w:val="both"/>
        <w:rPr>
          <w:rFonts w:ascii="Arial" w:hAnsi="Arial" w:eastAsia="Arial" w:cs="Arial"/>
          <w:b w:val="1"/>
          <w:bCs w:val="1"/>
          <w:sz w:val="28"/>
          <w:szCs w:val="28"/>
        </w:rPr>
      </w:pPr>
      <w:r w:rsidRPr="3B0B2CC4" w:rsidR="13450CB1">
        <w:rPr>
          <w:rFonts w:ascii="Arial" w:hAnsi="Arial" w:eastAsia="Arial" w:cs="Arial"/>
          <w:b w:val="1"/>
          <w:bCs w:val="1"/>
          <w:sz w:val="28"/>
          <w:szCs w:val="28"/>
        </w:rPr>
        <w:t>Análisis de los precios</w:t>
      </w:r>
    </w:p>
    <w:p w:rsidR="13450CB1" w:rsidP="3B0B2CC4" w:rsidRDefault="13450CB1" w14:paraId="69A33793" w14:textId="2ACAA93D">
      <w:pPr>
        <w:pStyle w:val="Normal"/>
        <w:suppressLineNumbers w:val="0"/>
        <w:bidi w:val="0"/>
        <w:spacing w:before="0" w:beforeAutospacing="off" w:after="160" w:afterAutospacing="off" w:line="279" w:lineRule="auto"/>
        <w:ind w:left="0" w:right="0"/>
        <w:jc w:val="both"/>
        <w:rPr>
          <w:rFonts w:ascii="Arial" w:hAnsi="Arial" w:eastAsia="Arial" w:cs="Arial"/>
          <w:b w:val="1"/>
          <w:bCs w:val="1"/>
        </w:rPr>
      </w:pPr>
      <w:r w:rsidRPr="3B0B2CC4" w:rsidR="13450CB1">
        <w:rPr>
          <w:rFonts w:ascii="Arial" w:hAnsi="Arial" w:eastAsia="Arial" w:cs="Arial"/>
          <w:b w:val="1"/>
          <w:bCs w:val="1"/>
        </w:rPr>
        <w:t>Tipo de precio</w:t>
      </w:r>
    </w:p>
    <w:p w:rsidR="7F2E8831" w:rsidP="3B0B2CC4" w:rsidRDefault="7F2E8831" w14:paraId="595DF02E" w14:textId="27E80AB5">
      <w:pPr>
        <w:pStyle w:val="Normal"/>
        <w:suppressLineNumbers w:val="0"/>
        <w:bidi w:val="0"/>
        <w:spacing w:before="0" w:beforeAutospacing="off" w:after="160" w:afterAutospacing="off" w:line="279" w:lineRule="auto"/>
        <w:ind w:left="0" w:right="0"/>
        <w:jc w:val="both"/>
        <w:rPr>
          <w:rFonts w:ascii="Arial" w:hAnsi="Arial" w:eastAsia="Arial" w:cs="Arial"/>
        </w:rPr>
      </w:pPr>
      <w:r w:rsidRPr="3B0B2CC4" w:rsidR="7F2E8831">
        <w:rPr>
          <w:rFonts w:ascii="Arial" w:hAnsi="Arial" w:eastAsia="Arial" w:cs="Arial"/>
        </w:rPr>
        <w:t>Para el nuevo producto “Esencia Café”, la empresa Café Tenango implementará una estrategia de penetración de mercado, la cual consiste en establecer un precio inicial bajo y competitivo con el objetivo de atraer rápidamente a los consumidores, ganar participación en el mercado y posicionar la marca frente a la competencia.</w:t>
      </w:r>
    </w:p>
    <w:p w:rsidR="7F2E8831" w:rsidP="3B0B2CC4" w:rsidRDefault="7F2E8831" w14:paraId="6453BAC6" w14:textId="5E2272F5">
      <w:pPr>
        <w:pStyle w:val="Normal"/>
        <w:bidi w:val="0"/>
        <w:spacing w:before="0" w:beforeAutospacing="off" w:after="160" w:afterAutospacing="off" w:line="279" w:lineRule="auto"/>
        <w:ind w:left="0" w:right="0"/>
        <w:jc w:val="both"/>
      </w:pPr>
      <w:r w:rsidRPr="3B0B2CC4" w:rsidR="7F2E8831">
        <w:rPr>
          <w:rFonts w:ascii="Arial" w:hAnsi="Arial" w:eastAsia="Arial" w:cs="Arial"/>
        </w:rPr>
        <w:t>Esta estrategia es adecuada debido a que “Esencia Café” se introduce en un segmento de mercado nuevo, donde actualmente la oferta de energizantes naturales es prácticamente inexistente, pero sí existe demanda por alternativas saludables, locales y de precio accesible.</w:t>
      </w:r>
    </w:p>
    <w:p w:rsidR="7F2E8831" w:rsidP="3B0B2CC4" w:rsidRDefault="7F2E8831" w14:paraId="629816C8" w14:textId="51923512">
      <w:pPr>
        <w:pStyle w:val="Normal"/>
        <w:bidi w:val="0"/>
        <w:spacing w:before="0" w:beforeAutospacing="off" w:after="160" w:afterAutospacing="off" w:line="279" w:lineRule="auto"/>
        <w:ind w:left="0" w:right="0"/>
        <w:jc w:val="both"/>
      </w:pPr>
      <w:r w:rsidRPr="3B0B2CC4" w:rsidR="7F2E8831">
        <w:rPr>
          <w:rFonts w:ascii="Arial" w:hAnsi="Arial" w:eastAsia="Arial" w:cs="Arial"/>
        </w:rPr>
        <w:t>El precio de introducción busca romper la barrera de compra, motivando a los consumidores a probar el producto y generar una base sólida de clientes recurrentes. Además, el esquema de precios incluye una modalidad de venta al mayoreo, lo que permitirá incentivar la compra en volumen por parte de gimnasios, cafeterías, tiendas naturistas, universidades o puntos de venta locales.</w:t>
      </w:r>
    </w:p>
    <w:p w:rsidR="7F2E8831" w:rsidP="3B0B2CC4" w:rsidRDefault="7F2E8831" w14:paraId="666D8112" w14:textId="5E5FD041">
      <w:pPr>
        <w:pStyle w:val="Normal"/>
        <w:bidi w:val="0"/>
        <w:spacing w:before="0" w:beforeAutospacing="off" w:after="160" w:afterAutospacing="off" w:line="279" w:lineRule="auto"/>
        <w:ind w:left="0" w:right="0"/>
        <w:jc w:val="both"/>
      </w:pPr>
      <w:r w:rsidRPr="3B0B2CC4" w:rsidR="7F2E8831">
        <w:rPr>
          <w:rFonts w:ascii="Arial" w:hAnsi="Arial" w:eastAsia="Arial" w:cs="Arial"/>
        </w:rPr>
        <w:t>De esta forma, la estrategia de precios de Café Tenango se basa en tres principios:</w:t>
      </w:r>
    </w:p>
    <w:p w:rsidR="7F2E8831" w:rsidP="3B0B2CC4" w:rsidRDefault="7F2E8831" w14:paraId="58EC7C83" w14:textId="7F3F1F05">
      <w:pPr>
        <w:pStyle w:val="Normal"/>
        <w:bidi w:val="0"/>
        <w:spacing w:before="0" w:beforeAutospacing="off" w:after="160" w:afterAutospacing="off" w:line="279" w:lineRule="auto"/>
        <w:ind w:left="0" w:right="0"/>
        <w:jc w:val="both"/>
      </w:pPr>
      <w:r w:rsidRPr="3B0B2CC4" w:rsidR="7F2E8831">
        <w:rPr>
          <w:rFonts w:ascii="Arial" w:hAnsi="Arial" w:eastAsia="Arial" w:cs="Arial"/>
        </w:rPr>
        <w:t>Accesibilidad: Ofrecer un precio menor al promedio de bebidas energéticas tradicionales.</w:t>
      </w:r>
    </w:p>
    <w:p w:rsidR="7F2E8831" w:rsidP="3B0B2CC4" w:rsidRDefault="7F2E8831" w14:paraId="6B58A24A" w14:textId="2E5E44AB">
      <w:pPr>
        <w:pStyle w:val="Normal"/>
        <w:bidi w:val="0"/>
        <w:spacing w:before="0" w:beforeAutospacing="off" w:after="160" w:afterAutospacing="off" w:line="279" w:lineRule="auto"/>
        <w:ind w:left="0" w:right="0"/>
        <w:jc w:val="both"/>
      </w:pPr>
      <w:r w:rsidRPr="3B0B2CC4" w:rsidR="7F2E8831">
        <w:rPr>
          <w:rFonts w:ascii="Arial" w:hAnsi="Arial" w:eastAsia="Arial" w:cs="Arial"/>
        </w:rPr>
        <w:t>Competitividad: Atraer a consumidores de distintos segmentos (fitness, estudiantes, trabajadores, transportistas).</w:t>
      </w:r>
    </w:p>
    <w:p w:rsidR="7F2E8831" w:rsidP="3B0B2CC4" w:rsidRDefault="7F2E8831" w14:paraId="6370FC3A" w14:textId="257EFC13">
      <w:pPr>
        <w:pStyle w:val="Normal"/>
        <w:bidi w:val="0"/>
        <w:spacing w:before="0" w:beforeAutospacing="off" w:after="160" w:afterAutospacing="off" w:line="279" w:lineRule="auto"/>
        <w:ind w:left="0" w:right="0"/>
        <w:jc w:val="both"/>
      </w:pPr>
      <w:r w:rsidRPr="3B0B2CC4" w:rsidR="7F2E8831">
        <w:rPr>
          <w:rFonts w:ascii="Arial" w:hAnsi="Arial" w:eastAsia="Arial" w:cs="Arial"/>
        </w:rPr>
        <w:t>Penetración progresiva: Establecer una posición firme en el mercado local antes de realizar incrementos graduales en el precio conforme aumente el reconocimiento de marca y la demanda.</w:t>
      </w:r>
    </w:p>
    <w:p w:rsidR="13450CB1" w:rsidP="3B0B2CC4" w:rsidRDefault="13450CB1" w14:paraId="62849469" w14:textId="31FCA3AA">
      <w:pPr>
        <w:pStyle w:val="Normal"/>
        <w:suppressLineNumbers w:val="0"/>
        <w:bidi w:val="0"/>
        <w:spacing w:before="0" w:beforeAutospacing="off" w:after="160" w:afterAutospacing="off" w:line="279" w:lineRule="auto"/>
        <w:ind w:left="0" w:right="0"/>
        <w:jc w:val="both"/>
        <w:rPr>
          <w:rFonts w:ascii="Arial" w:hAnsi="Arial" w:eastAsia="Arial" w:cs="Arial"/>
          <w:b w:val="1"/>
          <w:bCs w:val="1"/>
        </w:rPr>
      </w:pPr>
      <w:r w:rsidRPr="3B0B2CC4" w:rsidR="13450CB1">
        <w:rPr>
          <w:rFonts w:ascii="Arial" w:hAnsi="Arial" w:eastAsia="Arial" w:cs="Arial"/>
          <w:b w:val="1"/>
          <w:bCs w:val="1"/>
        </w:rPr>
        <w:t>Precio unitario</w:t>
      </w:r>
    </w:p>
    <w:p w:rsidR="5AAF40DD" w:rsidP="3B0B2CC4" w:rsidRDefault="5AAF40DD" w14:paraId="566719AD" w14:textId="7926A338">
      <w:pPr>
        <w:pStyle w:val="Normal"/>
        <w:suppressLineNumbers w:val="0"/>
        <w:bidi w:val="0"/>
        <w:spacing w:before="0" w:beforeAutospacing="off" w:after="160" w:afterAutospacing="off" w:line="279" w:lineRule="auto"/>
        <w:ind w:left="0" w:right="0"/>
        <w:jc w:val="both"/>
        <w:rPr>
          <w:rFonts w:ascii="Arial" w:hAnsi="Arial" w:eastAsia="Arial" w:cs="Arial"/>
        </w:rPr>
      </w:pPr>
      <w:r w:rsidRPr="3B0B2CC4" w:rsidR="5AAF40DD">
        <w:rPr>
          <w:rFonts w:ascii="Arial" w:hAnsi="Arial" w:eastAsia="Arial" w:cs="Arial"/>
        </w:rPr>
        <w:t>El precio unitario sugerido para el producto “Esencia Café” es de $30.00 por envase de 50 ml, mientras que el precio al mayoreo (a partir de 10 unidades) será de $25.00 por unidad.</w:t>
      </w:r>
    </w:p>
    <w:p w:rsidR="5AAF40DD" w:rsidP="3B0B2CC4" w:rsidRDefault="5AAF40DD" w14:paraId="0A6FCDDF" w14:textId="212225BD">
      <w:pPr>
        <w:pStyle w:val="Normal"/>
        <w:bidi w:val="0"/>
        <w:spacing w:before="0" w:beforeAutospacing="off" w:after="160" w:afterAutospacing="off" w:line="279" w:lineRule="auto"/>
        <w:ind w:left="0" w:right="0"/>
        <w:jc w:val="both"/>
      </w:pPr>
      <w:r w:rsidRPr="3B0B2CC4" w:rsidR="5AAF40DD">
        <w:rPr>
          <w:rFonts w:ascii="Arial" w:hAnsi="Arial" w:eastAsia="Arial" w:cs="Arial"/>
        </w:rPr>
        <w:t>La estructura del precio se determinó considerando los siguientes componentes:</w:t>
      </w:r>
    </w:p>
    <w:tbl>
      <w:tblPr>
        <w:tblStyle w:val="TableGrid"/>
        <w:bidiVisual w:val="0"/>
        <w:tblW w:w="0" w:type="auto"/>
        <w:tblLayout w:type="fixed"/>
        <w:tblLook w:val="06A0" w:firstRow="1" w:lastRow="0" w:firstColumn="1" w:lastColumn="0" w:noHBand="1" w:noVBand="1"/>
      </w:tblPr>
      <w:tblGrid>
        <w:gridCol w:w="3299"/>
        <w:gridCol w:w="1473"/>
        <w:gridCol w:w="4052"/>
      </w:tblGrid>
      <w:tr w:rsidR="3B0B2CC4" w:rsidTr="3B0B2CC4" w14:paraId="7FDC8624">
        <w:trPr>
          <w:trHeight w:val="300"/>
        </w:trPr>
        <w:tc>
          <w:tcPr>
            <w:tcW w:w="3299" w:type="dxa"/>
            <w:tcMar/>
          </w:tcPr>
          <w:p w:rsidR="3B0B2CC4" w:rsidP="3B0B2CC4" w:rsidRDefault="3B0B2CC4" w14:paraId="15D78A4A" w14:textId="387A43B0">
            <w:pPr>
              <w:bidi w:val="0"/>
              <w:spacing w:before="0" w:beforeAutospacing="off" w:after="0" w:afterAutospacing="off"/>
              <w:jc w:val="both"/>
            </w:pPr>
            <w:r w:rsidRPr="3B0B2CC4" w:rsidR="3B0B2CC4">
              <w:rPr>
                <w:b w:val="1"/>
                <w:bCs w:val="1"/>
              </w:rPr>
              <w:t>Concepto</w:t>
            </w:r>
          </w:p>
        </w:tc>
        <w:tc>
          <w:tcPr>
            <w:tcW w:w="1473" w:type="dxa"/>
            <w:tcMar/>
          </w:tcPr>
          <w:p w:rsidR="3B0B2CC4" w:rsidP="3B0B2CC4" w:rsidRDefault="3B0B2CC4" w14:paraId="3A984EE5" w14:textId="5FF0C1B5">
            <w:pPr>
              <w:bidi w:val="0"/>
              <w:spacing w:before="0" w:beforeAutospacing="off" w:after="0" w:afterAutospacing="off"/>
              <w:jc w:val="both"/>
            </w:pPr>
            <w:r w:rsidRPr="3B0B2CC4" w:rsidR="3B0B2CC4">
              <w:rPr>
                <w:b w:val="1"/>
                <w:bCs w:val="1"/>
              </w:rPr>
              <w:t>Monto (MXN)</w:t>
            </w:r>
          </w:p>
        </w:tc>
        <w:tc>
          <w:tcPr>
            <w:tcW w:w="4052" w:type="dxa"/>
            <w:tcMar/>
          </w:tcPr>
          <w:p w:rsidR="3B0B2CC4" w:rsidP="3B0B2CC4" w:rsidRDefault="3B0B2CC4" w14:paraId="41319208" w14:textId="460FC0CD">
            <w:pPr>
              <w:bidi w:val="0"/>
              <w:spacing w:before="0" w:beforeAutospacing="off" w:after="0" w:afterAutospacing="off"/>
              <w:jc w:val="both"/>
            </w:pPr>
            <w:r w:rsidRPr="3B0B2CC4" w:rsidR="3B0B2CC4">
              <w:rPr>
                <w:b w:val="1"/>
                <w:bCs w:val="1"/>
              </w:rPr>
              <w:t>Porcentaje sobre el precio total ($30.00)</w:t>
            </w:r>
          </w:p>
        </w:tc>
      </w:tr>
      <w:tr w:rsidR="3B0B2CC4" w:rsidTr="3B0B2CC4" w14:paraId="0DB2C3BD">
        <w:trPr>
          <w:trHeight w:val="300"/>
        </w:trPr>
        <w:tc>
          <w:tcPr>
            <w:tcW w:w="3299" w:type="dxa"/>
            <w:tcMar/>
          </w:tcPr>
          <w:p w:rsidR="3B0B2CC4" w:rsidP="3B0B2CC4" w:rsidRDefault="3B0B2CC4" w14:paraId="3ADFDE72" w14:textId="195C2BF2">
            <w:pPr>
              <w:bidi w:val="0"/>
              <w:spacing w:before="0" w:beforeAutospacing="off" w:after="0" w:afterAutospacing="off"/>
              <w:jc w:val="both"/>
              <w:rPr>
                <w:b w:val="0"/>
                <w:bCs w:val="0"/>
              </w:rPr>
            </w:pPr>
            <w:r w:rsidR="3B0B2CC4">
              <w:rPr>
                <w:b w:val="0"/>
                <w:bCs w:val="0"/>
              </w:rPr>
              <w:t>Costo de producción por unidad</w:t>
            </w:r>
          </w:p>
        </w:tc>
        <w:tc>
          <w:tcPr>
            <w:tcW w:w="1473" w:type="dxa"/>
            <w:tcMar/>
          </w:tcPr>
          <w:p w:rsidR="3B0B2CC4" w:rsidP="3B0B2CC4" w:rsidRDefault="3B0B2CC4" w14:paraId="22FE201E" w14:textId="7D9ACB38">
            <w:pPr>
              <w:bidi w:val="0"/>
              <w:spacing w:before="0" w:beforeAutospacing="off" w:after="0" w:afterAutospacing="off"/>
              <w:jc w:val="both"/>
            </w:pPr>
            <w:r w:rsidR="3B0B2CC4">
              <w:rPr/>
              <w:t>$9.8725</w:t>
            </w:r>
          </w:p>
        </w:tc>
        <w:tc>
          <w:tcPr>
            <w:tcW w:w="4052" w:type="dxa"/>
            <w:tcMar/>
          </w:tcPr>
          <w:p w:rsidR="3B0B2CC4" w:rsidP="3B0B2CC4" w:rsidRDefault="3B0B2CC4" w14:paraId="670A834F" w14:textId="54418AAC">
            <w:pPr>
              <w:bidi w:val="0"/>
              <w:spacing w:before="0" w:beforeAutospacing="off" w:after="0" w:afterAutospacing="off"/>
              <w:jc w:val="both"/>
            </w:pPr>
            <w:r w:rsidRPr="3B0B2CC4" w:rsidR="3B0B2CC4">
              <w:rPr>
                <w:b w:val="1"/>
                <w:bCs w:val="1"/>
              </w:rPr>
              <w:t>32.9 %</w:t>
            </w:r>
          </w:p>
        </w:tc>
      </w:tr>
      <w:tr w:rsidR="3B0B2CC4" w:rsidTr="3B0B2CC4" w14:paraId="518E8C48">
        <w:trPr>
          <w:trHeight w:val="300"/>
        </w:trPr>
        <w:tc>
          <w:tcPr>
            <w:tcW w:w="3299" w:type="dxa"/>
            <w:tcMar/>
          </w:tcPr>
          <w:p w:rsidR="3B0B2CC4" w:rsidP="3B0B2CC4" w:rsidRDefault="3B0B2CC4" w14:paraId="0BEF3E67" w14:textId="39838ED5">
            <w:pPr>
              <w:bidi w:val="0"/>
              <w:spacing w:before="0" w:beforeAutospacing="off" w:after="0" w:afterAutospacing="off"/>
              <w:jc w:val="both"/>
              <w:rPr>
                <w:b w:val="0"/>
                <w:bCs w:val="0"/>
              </w:rPr>
            </w:pPr>
            <w:r w:rsidR="3B0B2CC4">
              <w:rPr>
                <w:b w:val="0"/>
                <w:bCs w:val="0"/>
              </w:rPr>
              <w:t>Gastos de operación</w:t>
            </w:r>
          </w:p>
        </w:tc>
        <w:tc>
          <w:tcPr>
            <w:tcW w:w="1473" w:type="dxa"/>
            <w:tcMar/>
          </w:tcPr>
          <w:p w:rsidR="3B0B2CC4" w:rsidP="3B0B2CC4" w:rsidRDefault="3B0B2CC4" w14:paraId="4939DD8D" w14:textId="045AC2BC">
            <w:pPr>
              <w:bidi w:val="0"/>
              <w:spacing w:before="0" w:beforeAutospacing="off" w:after="0" w:afterAutospacing="off"/>
              <w:jc w:val="both"/>
            </w:pPr>
            <w:r w:rsidR="3B0B2CC4">
              <w:rPr/>
              <w:t>$5.9799</w:t>
            </w:r>
          </w:p>
        </w:tc>
        <w:tc>
          <w:tcPr>
            <w:tcW w:w="4052" w:type="dxa"/>
            <w:tcMar/>
          </w:tcPr>
          <w:p w:rsidR="3B0B2CC4" w:rsidP="3B0B2CC4" w:rsidRDefault="3B0B2CC4" w14:paraId="5A73C8DF" w14:textId="08E09F94">
            <w:pPr>
              <w:bidi w:val="0"/>
              <w:spacing w:before="0" w:beforeAutospacing="off" w:after="0" w:afterAutospacing="off"/>
              <w:jc w:val="both"/>
            </w:pPr>
            <w:r w:rsidRPr="3B0B2CC4" w:rsidR="3B0B2CC4">
              <w:rPr>
                <w:b w:val="1"/>
                <w:bCs w:val="1"/>
              </w:rPr>
              <w:t>19.9 %</w:t>
            </w:r>
          </w:p>
        </w:tc>
      </w:tr>
      <w:tr w:rsidR="3B0B2CC4" w:rsidTr="3B0B2CC4" w14:paraId="233165FE">
        <w:trPr>
          <w:trHeight w:val="300"/>
        </w:trPr>
        <w:tc>
          <w:tcPr>
            <w:tcW w:w="3299" w:type="dxa"/>
            <w:tcMar/>
          </w:tcPr>
          <w:p w:rsidR="3B0B2CC4" w:rsidP="3B0B2CC4" w:rsidRDefault="3B0B2CC4" w14:paraId="29E9B215" w14:textId="4AB40481">
            <w:pPr>
              <w:bidi w:val="0"/>
              <w:spacing w:before="0" w:beforeAutospacing="off" w:after="0" w:afterAutospacing="off"/>
              <w:jc w:val="both"/>
              <w:rPr>
                <w:b w:val="0"/>
                <w:bCs w:val="0"/>
              </w:rPr>
            </w:pPr>
            <w:r w:rsidR="3B0B2CC4">
              <w:rPr>
                <w:b w:val="0"/>
                <w:bCs w:val="0"/>
              </w:rPr>
              <w:t>Utilidad esperada</w:t>
            </w:r>
          </w:p>
        </w:tc>
        <w:tc>
          <w:tcPr>
            <w:tcW w:w="1473" w:type="dxa"/>
            <w:tcMar/>
          </w:tcPr>
          <w:p w:rsidR="3B0B2CC4" w:rsidP="3B0B2CC4" w:rsidRDefault="3B0B2CC4" w14:paraId="1FE866FF" w14:textId="0802E37E">
            <w:pPr>
              <w:bidi w:val="0"/>
              <w:spacing w:before="0" w:beforeAutospacing="off" w:after="0" w:afterAutospacing="off"/>
              <w:jc w:val="both"/>
            </w:pPr>
            <w:r w:rsidR="3B0B2CC4">
              <w:rPr/>
              <w:t>$14.1476</w:t>
            </w:r>
          </w:p>
        </w:tc>
        <w:tc>
          <w:tcPr>
            <w:tcW w:w="4052" w:type="dxa"/>
            <w:tcMar/>
          </w:tcPr>
          <w:p w:rsidR="3B0B2CC4" w:rsidP="3B0B2CC4" w:rsidRDefault="3B0B2CC4" w14:paraId="68D62E32" w14:textId="61A3703C">
            <w:pPr>
              <w:bidi w:val="0"/>
              <w:spacing w:before="0" w:beforeAutospacing="off" w:after="0" w:afterAutospacing="off"/>
              <w:jc w:val="both"/>
            </w:pPr>
            <w:r w:rsidRPr="3B0B2CC4" w:rsidR="3B0B2CC4">
              <w:rPr>
                <w:b w:val="1"/>
                <w:bCs w:val="1"/>
              </w:rPr>
              <w:t>47.1 %</w:t>
            </w:r>
          </w:p>
        </w:tc>
      </w:tr>
      <w:tr w:rsidR="3B0B2CC4" w:rsidTr="3B0B2CC4" w14:paraId="77AAD30A">
        <w:trPr>
          <w:trHeight w:val="300"/>
        </w:trPr>
        <w:tc>
          <w:tcPr>
            <w:tcW w:w="3299" w:type="dxa"/>
            <w:tcMar/>
          </w:tcPr>
          <w:p w:rsidR="3B0B2CC4" w:rsidP="3B0B2CC4" w:rsidRDefault="3B0B2CC4" w14:paraId="00E3CB68" w14:textId="18CF2045">
            <w:pPr>
              <w:bidi w:val="0"/>
              <w:spacing w:before="0" w:beforeAutospacing="off" w:after="0" w:afterAutospacing="off"/>
              <w:jc w:val="both"/>
              <w:rPr>
                <w:b w:val="0"/>
                <w:bCs w:val="0"/>
              </w:rPr>
            </w:pPr>
            <w:r w:rsidR="3B0B2CC4">
              <w:rPr>
                <w:b w:val="0"/>
                <w:bCs w:val="0"/>
              </w:rPr>
              <w:t>Total precio de venta al público</w:t>
            </w:r>
          </w:p>
        </w:tc>
        <w:tc>
          <w:tcPr>
            <w:tcW w:w="1473" w:type="dxa"/>
            <w:tcMar/>
          </w:tcPr>
          <w:p w:rsidR="3B0B2CC4" w:rsidP="3B0B2CC4" w:rsidRDefault="3B0B2CC4" w14:paraId="07224E51" w14:textId="2E9C8A11">
            <w:pPr>
              <w:bidi w:val="0"/>
              <w:spacing w:before="0" w:beforeAutospacing="off" w:after="0" w:afterAutospacing="off"/>
              <w:jc w:val="both"/>
            </w:pPr>
            <w:r w:rsidRPr="3B0B2CC4" w:rsidR="3B0B2CC4">
              <w:rPr>
                <w:b w:val="1"/>
                <w:bCs w:val="1"/>
              </w:rPr>
              <w:t>$30.00</w:t>
            </w:r>
          </w:p>
        </w:tc>
        <w:tc>
          <w:tcPr>
            <w:tcW w:w="4052" w:type="dxa"/>
            <w:tcMar/>
          </w:tcPr>
          <w:p w:rsidR="3B0B2CC4" w:rsidP="3B0B2CC4" w:rsidRDefault="3B0B2CC4" w14:paraId="7E176A50" w14:textId="163F563B">
            <w:pPr>
              <w:bidi w:val="0"/>
              <w:spacing w:before="0" w:beforeAutospacing="off" w:after="0" w:afterAutospacing="off"/>
              <w:jc w:val="both"/>
            </w:pPr>
            <w:r w:rsidRPr="3B0B2CC4" w:rsidR="3B0B2CC4">
              <w:rPr>
                <w:b w:val="1"/>
                <w:bCs w:val="1"/>
              </w:rPr>
              <w:t>100 %</w:t>
            </w:r>
          </w:p>
        </w:tc>
      </w:tr>
    </w:tbl>
    <w:p w:rsidR="3B0B2CC4" w:rsidP="3B0B2CC4" w:rsidRDefault="3B0B2CC4" w14:paraId="4896B4E8" w14:textId="46EA7324">
      <w:pPr>
        <w:pStyle w:val="Normal"/>
        <w:suppressLineNumbers w:val="0"/>
        <w:bidi w:val="0"/>
        <w:spacing w:before="0" w:beforeAutospacing="off" w:after="160" w:afterAutospacing="off" w:line="279" w:lineRule="auto"/>
        <w:ind w:left="0" w:right="0"/>
        <w:jc w:val="both"/>
        <w:rPr>
          <w:rFonts w:ascii="Arial" w:hAnsi="Arial" w:eastAsia="Arial" w:cs="Arial"/>
        </w:rPr>
      </w:pPr>
    </w:p>
    <w:p w:rsidR="70EB2703" w:rsidP="3B0B2CC4" w:rsidRDefault="70EB2703" w14:paraId="6012EFD2" w14:textId="65FA1577">
      <w:pPr>
        <w:pStyle w:val="Normal"/>
        <w:suppressLineNumbers w:val="0"/>
        <w:bidi w:val="0"/>
        <w:spacing w:before="0" w:beforeAutospacing="off" w:after="160" w:afterAutospacing="off" w:line="279" w:lineRule="auto"/>
        <w:ind w:left="0" w:right="0"/>
        <w:jc w:val="both"/>
        <w:rPr>
          <w:rFonts w:ascii="Arial" w:hAnsi="Arial" w:eastAsia="Arial" w:cs="Arial"/>
        </w:rPr>
      </w:pPr>
      <w:r w:rsidRPr="3B0B2CC4" w:rsidR="70EB2703">
        <w:rPr>
          <w:rFonts w:ascii="Arial" w:hAnsi="Arial" w:eastAsia="Arial" w:cs="Arial"/>
        </w:rPr>
        <w:t>La utilidad esperada por unidad vendida es de $14.15, lo que representa un margen de ganancia del 47.1 %, margen razonable para un producto nuevo que busca equilibrar rentabilidad y competitividad.</w:t>
      </w:r>
    </w:p>
    <w:p w:rsidR="70EB2703" w:rsidP="3B0B2CC4" w:rsidRDefault="70EB2703" w14:paraId="2645B911" w14:textId="47D0D43B">
      <w:pPr>
        <w:pStyle w:val="Normal"/>
        <w:bidi w:val="0"/>
        <w:spacing w:before="0" w:beforeAutospacing="off" w:after="160" w:afterAutospacing="off" w:line="279" w:lineRule="auto"/>
        <w:ind w:left="0" w:right="0"/>
        <w:jc w:val="both"/>
      </w:pPr>
      <w:r w:rsidRPr="3B0B2CC4" w:rsidR="70EB2703">
        <w:rPr>
          <w:rFonts w:ascii="Arial" w:hAnsi="Arial" w:eastAsia="Arial" w:cs="Arial"/>
        </w:rPr>
        <w:t>En el caso del precio al mayoreo ($25.00 por unidad), la utilidad se reduce para favorecer la venta en volumen, pero el beneficio global aumenta al impulsar mayores niveles de distribución y rotación del producto. Esta estructura de precios contribuye a cubrir los costos operativos, asegurar la rentabilidad y fortalecer el posicionamiento de Café Tenango en el mercado regional.</w:t>
      </w:r>
    </w:p>
    <w:p w:rsidR="3B0B2CC4" w:rsidP="3B0B2CC4" w:rsidRDefault="3B0B2CC4" w14:paraId="2B05DC37" w14:textId="1DB41BE2">
      <w:pPr>
        <w:pStyle w:val="Normal"/>
        <w:suppressLineNumbers w:val="0"/>
        <w:bidi w:val="0"/>
        <w:spacing w:before="0" w:beforeAutospacing="off" w:after="160" w:afterAutospacing="off" w:line="279" w:lineRule="auto"/>
        <w:ind w:left="0" w:right="0"/>
        <w:jc w:val="left"/>
        <w:rPr>
          <w:rFonts w:ascii="Arial" w:hAnsi="Arial" w:eastAsia="Arial" w:cs="Arial"/>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88A3A4"/>
    <w:rsid w:val="01EB3030"/>
    <w:rsid w:val="13450CB1"/>
    <w:rsid w:val="159320C8"/>
    <w:rsid w:val="20F8691D"/>
    <w:rsid w:val="2E375B05"/>
    <w:rsid w:val="35B24D79"/>
    <w:rsid w:val="3B0B2CC4"/>
    <w:rsid w:val="3CFBC962"/>
    <w:rsid w:val="5AAF40DD"/>
    <w:rsid w:val="5E88A3A4"/>
    <w:rsid w:val="621F416A"/>
    <w:rsid w:val="70EB2703"/>
    <w:rsid w:val="7F2E88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8A3A4"/>
  <w15:chartTrackingRefBased/>
  <w15:docId w15:val="{F0FFE72E-3CAE-41BA-83CC-3DB3C6107A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2025-11-08T01:39:01.6300635Z</dcterms:created>
  <dcterms:modified xsi:type="dcterms:W3CDTF">2025-11-08T02:33:31.4715482Z</dcterms:modified>
  <dc:creator>Otarula Camarillo Sarid</dc:creator>
  <lastModifiedBy>Otarula Camarillo Sarid</lastModifiedBy>
</coreProperties>
</file>