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93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33600" cy="1566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ro2026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600" cy="156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TFeatureKicker"/>
        <w:spacing w:before="198" w:after="215"/>
      </w:pPr>
      <w:r>
        <w:t>篠泽广 / 第三方支援项目</w:t>
      </w:r>
    </w:p>
    <w:p>
      <w:pPr>
        <w:pStyle w:val="ATFeatureTitle"/>
        <w:spacing w:after="142"/>
      </w:pPr>
      <w:r>
        <w:t>HIRO2026 非官方支援排版模板</w:t>
      </w:r>
    </w:p>
    <w:p>
      <w:pPr>
        <w:pStyle w:val="ATFeatureSubtitle"/>
        <w:spacing w:after="142"/>
      </w:pPr>
      <w:r>
        <w:t>维护者个人发起，基于 AtelierTeX 制作</w:t>
      </w:r>
    </w:p>
    <w:p>
      <w:pPr>
        <w:pStyle w:val="ATFeatureEnglish"/>
      </w:pPr>
      <w:r>
        <w:t>A Personal, Unofficial HIRO2026 Support Profile Built on AtelierTeX</w:t>
      </w:r>
    </w:p>
    <w:p>
      <w:pPr>
        <w:spacing w:after="6350" w:line="20" w:lineRule="exact"/>
      </w:pPr>
    </w:p>
    <w:p>
      <w:pPr>
        <w:pStyle w:val="ATFeatureAuthor"/>
      </w:pPr>
      <w:r>
        <w:t>54wsdf / 个人支援项目</w:t>
      </w:r>
    </w:p>
    <w:p>
      <w:pPr>
        <w:pStyle w:val="ATFeatureAffiliation"/>
        <w:spacing w:before="68"/>
      </w:pPr>
      <w:r>
        <w:t>面向 HIRO2026 的非官方排版与投稿支援</w:t>
      </w:r>
    </w:p>
    <w:p>
      <w:pPr>
        <w:pStyle w:val="ATFeatureContact"/>
        <w:spacing w:before="45"/>
      </w:pPr>
      <w:r>
        <w:t>https://idol-master.top/sites/hiro2026</w:t>
      </w:r>
    </w:p>
    <w:p>
      <w:pPr>
        <w:pStyle w:val="ATFeatureAuthor"/>
        <w:spacing w:before="147"/>
      </w:pPr>
      <w:r>
        <w:t>2026</w:t>
      </w:r>
    </w:p>
    <w:p>
      <w:pPr>
        <w:pStyle w:val="ATFeatureMeta"/>
        <w:spacing w:before="68"/>
      </w:pPr>
      <w:r>
        <w:t>第三方支援样张 / HIRO2026-DEMO</w:t>
      </w:r>
    </w:p>
    <w:p>
      <w:pPr>
        <w:pStyle w:val="ATFeatureNote"/>
        <w:spacing w:before="125"/>
      </w:pPr>
      <w:r>
        <w:t>本项目纯属个人制作，不是 HIRO2026 官方模板，与活动主办方无隶属、委托、合作或代表关系。活动规则以活动页面为准。</w:t>
      </w:r>
    </w:p>
    <w:p>
      <w:r>
        <w:br w:type="page"/>
      </w:r>
    </w:p>
    <w:p>
      <w:pPr>
        <w:pStyle w:val="HIROAbstract"/>
        <w:spacing w:after="113"/>
      </w:pPr>
      <w:r>
        <w:rPr>
          <w:rFonts w:ascii="Noto Sans" w:hAnsi="Noto Sans" w:cs="Noto Sans" w:eastAsia="Noto Sans CJK SC"/>
          <w:b/>
          <w:color w:val="111111"/>
          <w:sz w:val="17"/>
        </w:rPr>
        <w:t>摘　要</w:t>
      </w:r>
      <w:r>
        <w:t xml:space="preserve">　本样张展示维护者个人发起、面向篠泽广研讨会（HIRO2026）的第三方非官方 LaTeX 支援模板。模板建立在 AtelierTeX 的多语种长文框架与 ATX-ACGN-REF 跨媒介引用体系之上，为 HIRO2026 主题写作提供刊头、题名区、章节层级、叙事环境与参考文献视觉。本项目与 HIRO2026 官方及活动主办方没有关系；活动日程、投稿规则与最终要求始终以活动网站公布的信息为准。</w:t>
      </w:r>
    </w:p>
    <w:p>
      <w:pPr>
        <w:pStyle w:val="HIROKeywords"/>
        <w:spacing w:after="312"/>
        <w:pBdr>
          <w:bottom w:val="single" w:sz="3" w:space="0" w:color="C6C6C0"/>
        </w:pBdr>
      </w:pPr>
      <w:r>
        <w:rPr>
          <w:rFonts w:ascii="Noto Sans" w:hAnsi="Noto Sans" w:cs="Noto Sans" w:eastAsia="Noto Sans CJK SC"/>
          <w:b/>
          <w:color w:val="111111"/>
          <w:sz w:val="17"/>
        </w:rPr>
        <w:t>关键词</w:t>
      </w:r>
      <w:r>
        <w:t xml:space="preserve">　篠泽广；学园偶像大师；HIRO2026；AtelierTeX；ACGN；LaTeX</w:t>
      </w:r>
    </w:p>
    <w:p>
      <w:pPr>
        <w:spacing w:after="113" w:line="20" w:lineRule="exact"/>
      </w:pPr>
    </w:p>
    <w:p>
      <w:r>
        <w:br w:type="page"/>
      </w:r>
    </w:p>
    <w:p>
      <w:pPr>
        <w:pStyle w:val="Heading1"/>
      </w:pPr>
      <w:r>
        <w:t>一、多语种与叙事环境</w:t>
      </w:r>
    </w:p>
    <w:p>
      <w:r>
        <w:t>中文姓名“篠泽广”和日文姓名“篠澤 広”可以在同一篇长文中稳定排版。</w:t>
      </w:r>
    </w:p>
    <w:p>
      <w:pPr>
        <w:pStyle w:val="HIROOriginal"/>
      </w:pPr>
      <w:r>
        <w:t>篠澤 広――日本語組版の確認用テキスト。</w:t>
      </w:r>
    </w:p>
    <w:p>
      <w:pPr>
        <w:pStyle w:val="HIROTranslation"/>
      </w:pPr>
      <w:r>
        <w:t>篠泽广——用于检查中文译文排版的示例文本。</w:t>
      </w:r>
    </w:p>
    <w:p>
      <w:pPr>
        <w:pStyle w:val="HIROSceneLabel"/>
        <w:pBdr>
          <w:bottom w:val="single" w:sz="2" w:space="0" w:color="C6C6C0"/>
        </w:pBdr>
        <w:tabs>
          <w:tab w:val="right" w:pos="7600"/>
        </w:tabs>
      </w:pPr>
      <w:r>
        <w:rPr>
          <w:rFonts w:ascii="Noto Sans" w:hAnsi="Noto Sans" w:cs="Noto Sans" w:eastAsia="Noto Sans CJK SC"/>
          <w:color w:val="969691"/>
          <w:sz w:val="13"/>
        </w:rPr>
        <w:t>SCENE</w:t>
      </w:r>
      <w:r>
        <w:rPr>
          <w:rFonts w:ascii="Noto Sans" w:hAnsi="Noto Sans" w:cs="Noto Sans" w:eastAsia="Noto Sans CJK SC"/>
          <w:color w:val="969691"/>
          <w:sz w:val="13"/>
        </w:rPr>
        <w:tab/>
        <w:t>DEMO / SCENE 01</w:t>
      </w:r>
    </w:p>
    <w:p>
      <w:pPr>
        <w:pStyle w:val="HIROSceneTitle"/>
      </w:pPr>
      <w:r>
        <w:t>示例场景</w:t>
      </w:r>
    </w:p>
    <w:p>
      <w:pPr>
        <w:pStyle w:val="HIROSceneBody"/>
      </w:pPr>
      <w:r>
        <w:t>场景环境用于组织剧情材料或场景化转述，section 继续承担文章的论证层级。</w:t>
      </w:r>
    </w:p>
    <w:p>
      <w:pPr>
        <w:pStyle w:val="HIRODialogue"/>
      </w:pPr>
      <w:r>
        <w:rPr>
          <w:rFonts w:ascii="Noto Sans" w:hAnsi="Noto Sans" w:cs="Noto Sans" w:eastAsia="Noto Sans CJK SC"/>
          <w:b/>
          <w:color w:val="969691"/>
          <w:sz w:val="16"/>
        </w:rPr>
        <w:t>角色 A</w:t>
      </w:r>
      <w:r>
        <w:t xml:space="preserve">　这里展示对话环境的第一段文本。</w:t>
      </w:r>
    </w:p>
    <w:p>
      <w:pPr>
        <w:pStyle w:val="HIRODialogue"/>
      </w:pPr>
      <w:r>
        <w:rPr>
          <w:rFonts w:ascii="Noto Sans" w:hAnsi="Noto Sans" w:cs="Noto Sans" w:eastAsia="Noto Sans CJK SC"/>
          <w:b/>
          <w:color w:val="969691"/>
          <w:sz w:val="16"/>
        </w:rPr>
        <w:t>角色 B</w:t>
      </w:r>
      <w:r>
        <w:t xml:space="preserve">　作者可以把角色对白与分析正文放在不同的视觉层级中。</w:t>
      </w:r>
    </w:p>
    <w:p>
      <w:pPr>
        <w:pStyle w:val="Heading1"/>
      </w:pPr>
      <w:r>
        <w:t>二、跨媒介参考文献</w:t>
      </w:r>
    </w:p>
    <w:p>
      <w:r>
        <w:t>本节使用公开官方元数据展示 GAME、CHARACTER FILE、COMM 与 MUSIC。正式著录由 GB/T 7714 体系承担，HIRO2026 profile 负责专题视觉与 media tag 呈现。</w:t>
      </w:r>
    </w:p>
    <w:p>
      <w:r>
        <w:t>游戏本体可以直接引用为《学園アイドルマスター》[1]，角色资料引用篠澤広官方档案[2]。作品内部剧情节点使用 postnote 保存精确 Locator，例如：</w:t>
      </w:r>
    </w:p>
    <w:p>
      <w:pPr>
        <w:pStyle w:val="HIROCode"/>
      </w:pPr>
      <w:r>
        <w:t>\\cite[STEP1 / Episode 8]{hiro_commu_step1_08}</w:t>
      </w:r>
    </w:p>
    <w:p>
      <w:r>
        <w:t>实际渲染为剧情节点[3]。音乐材料可以并引官方曲目页与实体单曲页[4–5]。</w:t>
      </w:r>
    </w:p>
    <w:p>
      <w:pPr>
        <w:spacing w:before="80"/>
        <w:pBdr>
          <w:bottom w:val="single" w:sz="3" w:space="0" w:color="C6C6C0"/>
        </w:pBdr>
      </w:pPr>
    </w:p>
    <w:p>
      <w:pPr>
        <w:spacing w:after="40"/>
      </w:pPr>
      <w:r>
        <w:rPr>
          <w:rFonts w:ascii="Noto Sans" w:hAnsi="Noto Sans" w:cs="Noto Sans" w:eastAsia="Noto Sans CJK SC"/>
          <w:b/>
          <w:color w:val="969691"/>
          <w:sz w:val="13"/>
        </w:rPr>
        <w:t>ATX-ACGN-REF 0.4 / GB/T 7714</w:t>
      </w:r>
    </w:p>
    <w:p>
      <w:pPr>
        <w:pStyle w:val="HIROReference"/>
      </w:pPr>
      <w:r>
        <w:t>GAME  游戏本体　 COMM · STEP4/EP37  游戏剧情　 ANIME · EP01  动画单集　 MANGA · CH01  漫画单话</w:t>
      </w:r>
    </w:p>
    <w:p>
      <w:pPr>
        <w:pStyle w:val="HIROReference"/>
      </w:pPr>
      <w:r>
        <w:t>MUSIC  音乐　 LIVE  演出　 FAN LOCATOR  定位资料</w:t>
      </w:r>
    </w:p>
    <w:p>
      <w:pPr>
        <w:pBdr>
          <w:bottom w:val="single" w:sz="3" w:space="0" w:color="C6C6C0"/>
        </w:pBdr>
      </w:pPr>
    </w:p>
    <w:p>
      <w:pPr>
        <w:pStyle w:val="Heading1"/>
      </w:pPr>
      <w:r>
        <w:t>参考文献</w:t>
      </w:r>
    </w:p>
    <w:p>
      <w:pPr>
        <w:pStyle w:val="HIROReference"/>
      </w:pPr>
      <w:r>
        <w:t>[1] Bandai Namco Entertainment Inc. 学園アイドルマスター [GAME]. 2024.</w:t>
      </w:r>
    </w:p>
    <w:p>
      <w:pPr>
        <w:pStyle w:val="HIROReference"/>
      </w:pPr>
      <w:r>
        <w:t>[2] 学園アイドルマスター. 篠澤 広 CHARACTER FILE [CHARACTER FILE].</w:t>
      </w:r>
    </w:p>
    <w:p>
      <w:pPr>
        <w:pStyle w:val="HIROReference"/>
      </w:pPr>
      <w:r>
        <w:t>[3] 学園アイドルマスター. STEP1 / Episode 8 [COMM].</w:t>
      </w:r>
    </w:p>
    <w:p>
      <w:pPr>
        <w:pStyle w:val="HIROReference"/>
      </w:pPr>
      <w:r>
        <w:t>[4] 学園アイドルマスター. 光景 [MUSIC].</w:t>
      </w:r>
    </w:p>
    <w:p>
      <w:pPr>
        <w:pStyle w:val="HIROReference"/>
      </w:pPr>
      <w:r>
        <w:t>[5] 篠澤 広 1st Single [MUSIC].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559" w:bottom="1417" w:left="1559" w:header="397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" w:hAnsi="Noto Serif" w:cs="Noto Serif" w:eastAsia="Noto Serif CJK SC"/>
        <w:color w:val="666662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tabs>
        <w:tab w:val="right" w:pos="8780"/>
      </w:tabs>
    </w:pPr>
    <w:r>
      <w:rPr>
        <w:rFonts w:ascii="Noto Sans" w:hAnsi="Noto Sans" w:cs="Noto Sans" w:eastAsia="Noto Sans CJK SC"/>
        <w:color w:val="969691"/>
        <w:sz w:val="13"/>
      </w:rPr>
      <w:t>HIRO 2026  /  第三方支援样张</w:t>
    </w:r>
    <w:r>
      <w:rPr>
        <w:rFonts w:ascii="Noto Sans" w:hAnsi="Noto Sans" w:cs="Noto Sans" w:eastAsia="Noto Sans CJK SC"/>
        <w:color w:val="969691"/>
        <w:sz w:val="14"/>
      </w:rPr>
      <w:tab/>
      <w:t>HIRO2026 非官方支援模板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2" w:lineRule="exact" w:after="0"/>
      <w:ind w:firstLine="414"/>
    </w:pPr>
    <w:rPr>
      <w:rFonts w:ascii="Noto Serif" w:hAnsi="Noto Serif" w:cs="Noto Serif" w:eastAsia="Noto Serif CJK SC"/>
      <w:color w:val="1D1D1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400" w:lineRule="exact"/>
      <w:outlineLvl w:val="0"/>
    </w:pPr>
    <w:rPr>
      <w:rFonts w:asciiTheme="majorHAnsi" w:eastAsiaTheme="majorEastAsia" w:hAnsiTheme="majorHAnsi" w:cstheme="majorBidi" w:ascii="Noto Sans" w:hAnsi="Noto Sans" w:cs="Noto Sans" w:eastAsia="Noto Sans CJK SC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 w:line="330" w:lineRule="exact"/>
      <w:outlineLvl w:val="1"/>
    </w:pPr>
    <w:rPr>
      <w:rFonts w:asciiTheme="majorHAnsi" w:eastAsiaTheme="majorEastAsia" w:hAnsiTheme="majorHAnsi" w:cstheme="majorBidi" w:ascii="Noto Sans" w:hAnsi="Noto Sans" w:cs="Noto Sans" w:eastAsia="Noto Sans CJK SC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TFeatureKicker">
    <w:name w:val="AT Feature Kicker"/>
    <w:pPr>
      <w:spacing w:before="0" w:after="220" w:line="220" w:lineRule="exact"/>
    </w:pPr>
    <w:rPr>
      <w:rFonts w:ascii="Noto Sans" w:hAnsi="Noto Sans" w:cs="Noto Sans" w:eastAsia="Noto Sans CJK SC"/>
      <w:b/>
      <w:color w:val="334E68"/>
      <w:sz w:val="18"/>
    </w:rPr>
  </w:style>
  <w:style w:type="paragraph" w:customStyle="1" w:styleId="ATFeatureTitle">
    <w:name w:val="AT Feature Title"/>
    <w:pPr>
      <w:spacing w:before="0" w:after="0" w:line="500" w:lineRule="exact"/>
    </w:pPr>
    <w:rPr>
      <w:rFonts w:ascii="Noto Serif" w:hAnsi="Noto Serif" w:cs="Noto Serif" w:eastAsia="Noto Serif CJK SC"/>
      <w:b/>
      <w:color w:val="202124"/>
      <w:sz w:val="41"/>
    </w:rPr>
  </w:style>
  <w:style w:type="paragraph" w:customStyle="1" w:styleId="ATFeatureSubtitle">
    <w:name w:val="AT Feature Subtitle"/>
    <w:pPr>
      <w:spacing w:before="0" w:after="0" w:line="360" w:lineRule="exact"/>
    </w:pPr>
    <w:rPr>
      <w:rFonts w:ascii="Noto Serif" w:hAnsi="Noto Serif" w:cs="Noto Serif" w:eastAsia="Noto Serif CJK SC"/>
      <w:color w:val="666B73"/>
      <w:sz w:val="28"/>
    </w:rPr>
  </w:style>
  <w:style w:type="paragraph" w:customStyle="1" w:styleId="ATFeatureEnglish">
    <w:name w:val="AT Feature English"/>
    <w:pPr>
      <w:spacing w:before="0" w:after="0" w:line="300" w:lineRule="exact"/>
    </w:pPr>
    <w:rPr>
      <w:rFonts w:ascii="Noto Serif" w:hAnsi="Noto Serif" w:cs="Noto Serif" w:eastAsia="Noto Serif CJK SC"/>
      <w:i/>
      <w:color w:val="666B73"/>
      <w:sz w:val="24"/>
    </w:rPr>
  </w:style>
  <w:style w:type="paragraph" w:customStyle="1" w:styleId="ATFeatureAuthor">
    <w:name w:val="AT Feature Author"/>
    <w:pPr>
      <w:spacing w:before="0" w:after="0" w:line="300" w:lineRule="exact"/>
    </w:pPr>
    <w:rPr>
      <w:rFonts w:ascii="Noto Serif" w:hAnsi="Noto Serif" w:cs="Noto Serif" w:eastAsia="Noto Serif CJK SC"/>
      <w:color w:val="202124"/>
      <w:sz w:val="24"/>
    </w:rPr>
  </w:style>
  <w:style w:type="paragraph" w:customStyle="1" w:styleId="ATFeatureAffiliation">
    <w:name w:val="AT Feature Affiliation"/>
    <w:pPr>
      <w:spacing w:before="0" w:after="0" w:line="260" w:lineRule="exact"/>
    </w:pPr>
    <w:rPr>
      <w:rFonts w:ascii="Noto Serif" w:hAnsi="Noto Serif" w:cs="Noto Serif" w:eastAsia="Noto Serif CJK SC"/>
      <w:color w:val="666B73"/>
      <w:sz w:val="20"/>
    </w:rPr>
  </w:style>
  <w:style w:type="paragraph" w:customStyle="1" w:styleId="ATFeatureContact">
    <w:name w:val="AT Feature Contact"/>
    <w:pPr>
      <w:spacing w:before="0" w:after="0" w:line="240" w:lineRule="exact"/>
    </w:pPr>
    <w:rPr>
      <w:rFonts w:ascii="Noto Serif" w:hAnsi="Noto Serif" w:cs="Noto Serif" w:eastAsia="Noto Serif CJK SC"/>
      <w:color w:val="666B73"/>
      <w:sz w:val="18"/>
    </w:rPr>
  </w:style>
  <w:style w:type="paragraph" w:customStyle="1" w:styleId="ATFeatureMeta">
    <w:name w:val="AT Feature Meta"/>
    <w:pPr>
      <w:spacing w:before="0" w:after="0" w:line="240" w:lineRule="exact"/>
    </w:pPr>
    <w:rPr>
      <w:rFonts w:ascii="Noto Serif" w:hAnsi="Noto Serif" w:cs="Noto Serif" w:eastAsia="Noto Serif CJK SC"/>
      <w:color w:val="666B73"/>
      <w:sz w:val="18"/>
    </w:rPr>
  </w:style>
  <w:style w:type="paragraph" w:customStyle="1" w:styleId="ATFeatureNote">
    <w:name w:val="AT Feature Note"/>
    <w:pPr>
      <w:spacing w:before="0" w:after="0" w:line="220" w:lineRule="exact"/>
    </w:pPr>
    <w:rPr>
      <w:rFonts w:ascii="Noto Serif" w:hAnsi="Noto Serif" w:cs="Noto Serif" w:eastAsia="Noto Serif CJK SC"/>
      <w:color w:val="666B73"/>
      <w:sz w:val="16"/>
    </w:rPr>
  </w:style>
  <w:style w:type="paragraph" w:customStyle="1" w:styleId="ATPubMeta">
    <w:name w:val="AT Pub Meta"/>
    <w:pPr>
      <w:spacing w:before="0" w:after="0" w:line="170" w:lineRule="exact"/>
      <w:jc w:val="right"/>
    </w:pPr>
    <w:rPr>
      <w:rFonts w:ascii="Noto Sans" w:hAnsi="Noto Sans" w:cs="Noto Sans" w:eastAsia="Noto Sans CJK SC"/>
      <w:color w:val="666B73"/>
      <w:sz w:val="13"/>
    </w:rPr>
  </w:style>
  <w:style w:type="paragraph" w:customStyle="1" w:styleId="ATKicker">
    <w:name w:val="AT Kicker"/>
    <w:pPr>
      <w:spacing w:before="0" w:after="0" w:line="180" w:lineRule="exact"/>
    </w:pPr>
    <w:rPr>
      <w:rFonts w:ascii="Noto Sans" w:hAnsi="Noto Sans" w:cs="Noto Sans" w:eastAsia="Noto Sans CJK SC"/>
      <w:b/>
      <w:color w:val="666B73"/>
      <w:sz w:val="14"/>
    </w:rPr>
  </w:style>
  <w:style w:type="paragraph" w:customStyle="1" w:styleId="ATTitle">
    <w:name w:val="AT Title"/>
    <w:pPr>
      <w:spacing w:before="0" w:after="0" w:line="700" w:lineRule="exact"/>
    </w:pPr>
    <w:rPr>
      <w:rFonts w:ascii="Noto Serif" w:hAnsi="Noto Serif" w:cs="Noto Serif" w:eastAsia="Noto Serif CJK SC"/>
      <w:b/>
      <w:color w:val="202124"/>
      <w:sz w:val="54"/>
    </w:rPr>
  </w:style>
  <w:style w:type="paragraph" w:customStyle="1" w:styleId="ATSubtitle">
    <w:name w:val="AT Subtitle"/>
    <w:pPr>
      <w:spacing w:before="0" w:after="0" w:line="384" w:lineRule="exact"/>
    </w:pPr>
    <w:rPr>
      <w:rFonts w:ascii="Noto Serif" w:hAnsi="Noto Serif" w:cs="Noto Serif" w:eastAsia="Noto Serif CJK SC"/>
      <w:color w:val="202124"/>
      <w:sz w:val="25"/>
    </w:rPr>
  </w:style>
  <w:style w:type="paragraph" w:customStyle="1" w:styleId="ATEnglish">
    <w:name w:val="AT English"/>
    <w:pPr>
      <w:spacing w:before="0" w:after="0" w:line="270" w:lineRule="exact"/>
      <w:ind w:right="1049"/>
    </w:pPr>
    <w:rPr>
      <w:rFonts w:ascii="Noto Serif" w:hAnsi="Noto Serif" w:cs="Noto Serif" w:eastAsia="Noto Serif CJK SC"/>
      <w:i/>
      <w:color w:val="666B73"/>
      <w:sz w:val="19"/>
    </w:rPr>
  </w:style>
  <w:style w:type="paragraph" w:customStyle="1" w:styleId="ATDeck">
    <w:name w:val="AT Deck"/>
    <w:pPr>
      <w:spacing w:before="0" w:after="0" w:line="310" w:lineRule="exact"/>
      <w:ind w:right="624"/>
    </w:pPr>
    <w:rPr>
      <w:rFonts w:ascii="Noto Serif" w:hAnsi="Noto Serif" w:cs="Noto Serif" w:eastAsia="Noto Serif CJK SC"/>
      <w:color w:val="666B73"/>
      <w:sz w:val="19"/>
    </w:rPr>
  </w:style>
  <w:style w:type="paragraph" w:customStyle="1" w:styleId="ATAuthor">
    <w:name w:val="AT Author"/>
    <w:pPr>
      <w:spacing w:before="0" w:after="0" w:line="268" w:lineRule="exact"/>
    </w:pPr>
    <w:rPr>
      <w:rFonts w:ascii="Noto Serif" w:hAnsi="Noto Serif" w:cs="Noto Serif" w:eastAsia="Noto Serif CJK SC"/>
      <w:color w:val="202124"/>
      <w:sz w:val="20"/>
    </w:rPr>
  </w:style>
  <w:style w:type="paragraph" w:customStyle="1" w:styleId="ATEssayAuthor">
    <w:name w:val="AT Essay Author"/>
    <w:pPr>
      <w:spacing w:before="0" w:after="0" w:line="264" w:lineRule="exact"/>
    </w:pPr>
    <w:rPr>
      <w:rFonts w:ascii="Noto Serif" w:hAnsi="Noto Serif" w:cs="Noto Serif" w:eastAsia="Noto Serif CJK SC"/>
      <w:color w:val="202124"/>
      <w:sz w:val="19"/>
    </w:rPr>
  </w:style>
  <w:style w:type="paragraph" w:customStyle="1" w:styleId="ATAffiliation">
    <w:name w:val="AT Affiliation"/>
    <w:pPr>
      <w:spacing w:before="0" w:after="0" w:line="244" w:lineRule="exact"/>
    </w:pPr>
    <w:rPr>
      <w:rFonts w:ascii="Noto Serif" w:hAnsi="Noto Serif" w:cs="Noto Serif" w:eastAsia="Noto Serif CJK SC"/>
      <w:color w:val="666B73"/>
      <w:sz w:val="17"/>
    </w:rPr>
  </w:style>
  <w:style w:type="paragraph" w:customStyle="1" w:styleId="ATEssayAffiliation">
    <w:name w:val="AT Essay Affiliation"/>
    <w:pPr>
      <w:spacing w:before="0" w:after="0" w:line="236" w:lineRule="exact"/>
    </w:pPr>
    <w:rPr>
      <w:rFonts w:ascii="Noto Serif" w:hAnsi="Noto Serif" w:cs="Noto Serif" w:eastAsia="Noto Serif CJK SC"/>
      <w:color w:val="666B73"/>
      <w:sz w:val="17"/>
    </w:rPr>
  </w:style>
  <w:style w:type="paragraph" w:customStyle="1" w:styleId="ATContact">
    <w:name w:val="AT Contact"/>
    <w:pPr>
      <w:spacing w:before="0" w:after="0" w:line="232" w:lineRule="exact"/>
    </w:pPr>
    <w:rPr>
      <w:rFonts w:ascii="Noto Serif" w:hAnsi="Noto Serif" w:cs="Noto Serif" w:eastAsia="Noto Serif CJK SC"/>
      <w:color w:val="666B73"/>
      <w:sz w:val="17"/>
    </w:rPr>
  </w:style>
  <w:style w:type="paragraph" w:customStyle="1" w:styleId="ATDocumentMeta">
    <w:name w:val="AT Document Meta"/>
    <w:pPr>
      <w:spacing w:before="0" w:after="0" w:line="172" w:lineRule="exact"/>
      <w:jc w:val="right"/>
    </w:pPr>
    <w:rPr>
      <w:rFonts w:ascii="Noto Sans" w:hAnsi="Noto Sans" w:cs="Noto Sans" w:eastAsia="Noto Sans CJK SC"/>
      <w:color w:val="666B73"/>
      <w:sz w:val="13"/>
    </w:rPr>
  </w:style>
  <w:style w:type="paragraph" w:customStyle="1" w:styleId="ATNote">
    <w:name w:val="AT Note"/>
    <w:pPr>
      <w:spacing w:before="0" w:after="0" w:line="210" w:lineRule="exact"/>
    </w:pPr>
    <w:rPr>
      <w:rFonts w:ascii="Noto Serif" w:hAnsi="Noto Serif" w:cs="Noto Serif" w:eastAsia="Noto Serif CJK SC"/>
      <w:color w:val="666B73"/>
      <w:sz w:val="15"/>
    </w:rPr>
  </w:style>
  <w:style w:type="paragraph" w:customStyle="1" w:styleId="HIROAbstract">
    <w:name w:val="HIRO Abstract"/>
    <w:pPr>
      <w:spacing w:before="0" w:after="0" w:line="308" w:lineRule="exact"/>
      <w:ind w:left="397" w:right="397"/>
    </w:pPr>
    <w:rPr>
      <w:rFonts w:ascii="Noto Serif" w:hAnsi="Noto Serif" w:cs="Noto Serif" w:eastAsia="Noto Serif CJK SC"/>
      <w:color w:val="1D1D1B"/>
      <w:sz w:val="18"/>
    </w:rPr>
  </w:style>
  <w:style w:type="paragraph" w:customStyle="1" w:styleId="HIROKeywords">
    <w:name w:val="HIRO Keywords"/>
    <w:pPr>
      <w:spacing w:before="0" w:after="0" w:line="288" w:lineRule="exact"/>
      <w:ind w:left="397" w:right="397"/>
    </w:pPr>
    <w:rPr>
      <w:rFonts w:ascii="Noto Serif" w:hAnsi="Noto Serif" w:cs="Noto Serif" w:eastAsia="Noto Serif CJK SC"/>
      <w:color w:val="1D1D1B"/>
      <w:sz w:val="18"/>
    </w:rPr>
  </w:style>
  <w:style w:type="paragraph" w:customStyle="1" w:styleId="HIROOriginal">
    <w:name w:val="HIRO Original"/>
    <w:pPr>
      <w:spacing w:before="80" w:after="40" w:line="304" w:lineRule="exact"/>
      <w:ind w:left="454" w:right="454"/>
    </w:pPr>
    <w:rPr>
      <w:rFonts w:ascii="Noto Serif" w:hAnsi="Noto Serif" w:cs="Noto Serif" w:eastAsia="Noto Serif CJK JP"/>
      <w:color w:val="666662"/>
      <w:sz w:val="19"/>
    </w:rPr>
  </w:style>
  <w:style w:type="paragraph" w:customStyle="1" w:styleId="HIROTranslation">
    <w:name w:val="HIRO Translation"/>
    <w:pPr>
      <w:spacing w:before="0" w:after="100" w:line="286" w:lineRule="exact"/>
      <w:ind w:left="454" w:right="454"/>
    </w:pPr>
    <w:rPr>
      <w:rFonts w:ascii="Noto Serif" w:hAnsi="Noto Serif" w:cs="Noto Serif" w:eastAsia="Noto Serif CJK SC"/>
      <w:color w:val="969691"/>
      <w:sz w:val="17"/>
    </w:rPr>
  </w:style>
  <w:style w:type="paragraph" w:customStyle="1" w:styleId="HIROSceneLabel">
    <w:name w:val="HIRO Scene Label"/>
    <w:pPr>
      <w:spacing w:before="280" w:after="40" w:line="160" w:lineRule="exact"/>
    </w:pPr>
    <w:rPr>
      <w:rFonts w:ascii="Noto Sans" w:hAnsi="Noto Sans" w:cs="Noto Sans" w:eastAsia="Noto Sans CJK SC"/>
      <w:color w:val="969691"/>
      <w:sz w:val="13"/>
    </w:rPr>
  </w:style>
  <w:style w:type="paragraph" w:customStyle="1" w:styleId="HIROSceneTitle">
    <w:name w:val="HIRO Scene Title"/>
    <w:pPr>
      <w:spacing w:before="0" w:after="100" w:line="360" w:lineRule="exact"/>
    </w:pPr>
    <w:rPr>
      <w:rFonts w:ascii="Noto Serif" w:hAnsi="Noto Serif" w:cs="Noto Serif" w:eastAsia="Noto Serif CJK SC"/>
      <w:b/>
      <w:color w:val="111111"/>
      <w:sz w:val="24"/>
    </w:rPr>
  </w:style>
  <w:style w:type="paragraph" w:customStyle="1" w:styleId="HIROSceneBody">
    <w:name w:val="HIRO Scene Body"/>
    <w:pPr>
      <w:spacing w:before="0" w:after="160" w:line="314" w:lineRule="exact"/>
      <w:ind w:left="283" w:right="283" w:firstLine="414"/>
    </w:pPr>
    <w:rPr>
      <w:rFonts w:ascii="Noto Serif" w:hAnsi="Noto Serif" w:cs="Noto Serif" w:eastAsia="Noto Serif CJK SC"/>
      <w:color w:val="1D1D1B"/>
      <w:sz w:val="19"/>
    </w:rPr>
  </w:style>
  <w:style w:type="paragraph" w:customStyle="1" w:styleId="HIRODialogue">
    <w:name w:val="HIRO Dialogue"/>
    <w:pPr>
      <w:spacing w:before="0" w:after="100" w:line="310" w:lineRule="exact"/>
      <w:ind w:left="454" w:right="454"/>
    </w:pPr>
    <w:rPr>
      <w:rFonts w:ascii="Noto Serif" w:hAnsi="Noto Serif" w:cs="Noto Serif" w:eastAsia="Noto Serif CJK SC"/>
      <w:color w:val="1D1D1B"/>
      <w:sz w:val="19"/>
    </w:rPr>
  </w:style>
  <w:style w:type="paragraph" w:customStyle="1" w:styleId="HIROCode">
    <w:name w:val="HIRO Code"/>
    <w:pPr>
      <w:spacing w:before="80" w:after="80" w:line="240" w:lineRule="exact"/>
      <w:ind w:left="283" w:right="283"/>
    </w:pPr>
    <w:rPr>
      <w:rFonts w:ascii="DejaVu Sans Mono" w:hAnsi="DejaVu Sans Mono" w:cs="DejaVu Sans Mono" w:eastAsia="Noto Sans Mono CJK SC"/>
      <w:color w:val="1D1D1B"/>
      <w:sz w:val="17"/>
    </w:rPr>
  </w:style>
  <w:style w:type="paragraph" w:customStyle="1" w:styleId="HIROReference">
    <w:name w:val="HIRO Reference"/>
    <w:pPr>
      <w:spacing w:before="0" w:after="72" w:line="251" w:lineRule="exact"/>
    </w:pPr>
    <w:rPr>
      <w:rFonts w:ascii="Noto Serif" w:hAnsi="Noto Serif" w:cs="Noto Serif" w:eastAsia="Noto Serif CJK SC"/>
      <w:color w:val="1D1D1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