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color w:val="auto"/>
          <w:sz w:val="28"/>
          <w:szCs w:val="36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highlight w:val="none"/>
          <w:shd w:val="clear" w:color="auto" w:fill="auto"/>
          <w:lang w:val="en-US" w:eastAsia="zh-CN"/>
        </w:rPr>
        <w:t xml:space="preserve">macro </w:t>
      </w:r>
    </w:p>
    <w:p>
      <w:pPr>
        <w:numPr>
          <w:ilvl w:val="0"/>
          <w:numId w:val="1"/>
        </w:numPr>
        <w:outlineLvl w:val="0"/>
        <w:rPr>
          <w:rFonts w:hint="eastAsia"/>
          <w:b w:val="0"/>
          <w:bCs w:val="0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shd w:val="clear" w:color="auto" w:fill="auto"/>
          <w:lang w:val="en-US" w:eastAsia="zh-CN"/>
        </w:rPr>
        <w:t>n 宏</w:t>
      </w:r>
    </w:p>
    <w:p>
      <w:pPr>
        <w:numPr>
          <w:ilvl w:val="0"/>
          <w:numId w:val="1"/>
        </w:numPr>
        <w:outlineLvl w:val="0"/>
        <w:rPr>
          <w:rFonts w:hint="default"/>
          <w:b w:val="0"/>
          <w:bCs w:val="0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shd w:val="clear" w:color="auto" w:fill="auto"/>
          <w:lang w:val="en-US" w:eastAsia="zh-CN"/>
        </w:rPr>
        <w:t>adj 巨大的、大量使用的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shd w:val="clear" w:color="auto" w:fill="auto"/>
          <w:lang w:val="en-US" w:eastAsia="zh-CN"/>
        </w:rPr>
        <w:t>macro command 宏命令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shd w:val="clear" w:color="auto" w:fill="auto"/>
          <w:lang w:val="en-US" w:eastAsia="zh-CN"/>
        </w:rPr>
        <w:t>macro definition 宏定义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shd w:val="clear" w:color="auto" w:fill="auto"/>
          <w:lang w:val="en-US" w:eastAsia="zh-CN"/>
        </w:rPr>
        <w:t>The analysis of social events at the macro level.从宏观层面对社会事件的分析。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shd w:val="clear" w:color="auto" w:fill="auto"/>
          <w:lang w:val="en-US" w:eastAsia="zh-CN"/>
        </w:rPr>
        <w:t>The past research on the subject focuses on the macro-functions of preposing in discourse and few studies have touched upon it</w:t>
      </w:r>
      <w:r>
        <w:rPr>
          <w:rFonts w:hint="default"/>
          <w:b w:val="0"/>
          <w:bCs w:val="0"/>
          <w:color w:val="auto"/>
          <w:highlight w:val="none"/>
          <w:shd w:val="clear" w:color="auto" w:fill="auto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highlight w:val="none"/>
          <w:shd w:val="clear" w:color="auto" w:fill="auto"/>
          <w:lang w:val="en-US" w:eastAsia="zh-CN"/>
        </w:rPr>
        <w:t>s micro-functions.以往研究仅限于前置句型在语篇中的宏观功能，其微观功能很少讨论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outlineLvl w:val="0"/>
        <w:rPr>
          <w:rFonts w:hint="eastAsia"/>
          <w:b/>
          <w:bCs/>
          <w:color w:val="auto"/>
          <w:sz w:val="28"/>
          <w:szCs w:val="36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highlight w:val="none"/>
          <w:shd w:val="clear" w:color="auto" w:fill="auto"/>
          <w:lang w:val="en-US" w:eastAsia="zh-CN"/>
        </w:rPr>
        <w:t>immersive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adj 拟真的、沉浸式的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immersive games 媒体与情景式游戏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 immersive 身临其境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Instead,immersive applications present information in the context of the game-play,story,or experience.相反，沉浸式应用程序在游戏、故事、或体验这几种情况下呈现信息。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outlineLvl w:val="0"/>
        <w:rPr>
          <w:rFonts w:hint="eastAsia"/>
          <w:b/>
          <w:bCs/>
          <w:color w:val="auto"/>
          <w:sz w:val="28"/>
          <w:szCs w:val="36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highlight w:val="none"/>
          <w:shd w:val="clear" w:color="auto" w:fill="auto"/>
          <w:lang w:val="en-US" w:eastAsia="zh-CN"/>
        </w:rPr>
        <w:t>slate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n板岩、石板、石片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vt铺石板；严厉批评某人;计划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adj 板岩的；石板色的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clay slate 粘土岩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clean slate 从头再来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You need to create a sort of blank slate within yourself to begin reconstructing how you see the world.你需要做的是为你自己准备一块空白的石板，在上面重建你所看到的世界。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am flat enough to walk on.I am flat enough to write on.Who i am?Slate. 我是平的可以走。我很平，足以写字。我是什么?板岩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Q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1A544"/>
    <w:multiLevelType w:val="singleLevel"/>
    <w:tmpl w:val="A311A5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C804FA"/>
    <w:multiLevelType w:val="singleLevel"/>
    <w:tmpl w:val="E2C804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F74E2D"/>
    <w:multiLevelType w:val="singleLevel"/>
    <w:tmpl w:val="77F74E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2DF4"/>
    <w:rsid w:val="07DF3185"/>
    <w:rsid w:val="29F9624D"/>
    <w:rsid w:val="3B5E7822"/>
    <w:rsid w:val="4A2D4E6E"/>
    <w:rsid w:val="61102053"/>
    <w:rsid w:val="6AC95436"/>
    <w:rsid w:val="6BD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2019-06-14T01:04:00Z</dcterms:created>
  <dc:creator>林木锥</dc:creator>
  <cp:lastModifiedBy>飞焰</cp:lastModifiedBy>
  <dcterms:modified xsi:type="dcterms:W3CDTF">2019-09-22T10:13:34Z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