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9A588D">
      <w:pPr>
        <w:pStyle w:val="2"/>
        <w:bidi w:val="0"/>
        <w:rPr>
          <w:rFonts w:hint="eastAsia" w:ascii="黑体" w:hAnsi="黑体" w:eastAsia="黑体" w:cs="黑体"/>
          <w:kern w:val="2"/>
          <w:sz w:val="36"/>
          <w:szCs w:val="24"/>
          <w:lang w:val="en-US" w:eastAsia="zh-CN" w:bidi="ar-SA"/>
        </w:rPr>
      </w:pPr>
      <w:r>
        <w:rPr>
          <w:rFonts w:hint="eastAsia" w:ascii="黑体" w:hAnsi="黑体" w:eastAsia="黑体" w:cs="黑体"/>
          <w:kern w:val="2"/>
          <w:sz w:val="36"/>
          <w:szCs w:val="24"/>
          <w:lang w:val="en-US" w:eastAsia="zh-CN" w:bidi="ar-SA"/>
        </w:rPr>
        <w:t>基于ELF2RK3588开发板边缘AI平台多模态设备巡检智能运维系统</w:t>
      </w:r>
    </w:p>
    <w:p w14:paraId="040EB537">
      <w:pPr>
        <w:pStyle w:val="2"/>
        <w:bidi w:val="0"/>
        <w:ind w:firstLine="4051" w:firstLineChars="1261"/>
        <w:jc w:val="both"/>
        <w:rPr>
          <w:rFonts w:hint="eastAsia"/>
        </w:rPr>
      </w:pPr>
      <w:r>
        <w:rPr>
          <w:rFonts w:hint="eastAsia"/>
        </w:rPr>
        <w:t>摘要</w:t>
      </w:r>
    </w:p>
    <w:p w14:paraId="79C7DC00">
      <w:pPr>
        <w:bidi w:val="0"/>
        <w:rPr>
          <w:rFonts w:hint="eastAsia"/>
        </w:rPr>
      </w:pPr>
      <w:r>
        <w:rPr>
          <w:rFonts w:hint="eastAsia"/>
        </w:rPr>
        <w:t>针对复杂场景下无人巡视需求，本文设计并实现了一套基于 ROS2 导航与多模态大模型视觉分析的智能巡检小车系统。系统以阿克曼转向车模为载体，采用“RK3588 上位机 + STM32G431 下位机”的协同架构，面向复杂环境中的自主导航、动态避障、精准运动控制和智能研判等核心问题。</w:t>
      </w:r>
    </w:p>
    <w:p w14:paraId="4A4E0066">
      <w:pPr>
        <w:bidi w:val="0"/>
        <w:rPr>
          <w:rFonts w:hint="eastAsia"/>
        </w:rPr>
      </w:pPr>
      <w:r>
        <w:rPr>
          <w:rFonts w:hint="eastAsia"/>
        </w:rPr>
        <w:t>上位机搭载飞凌嵌入式 RK3588 ELF2 开发板，以 ROS2 Nav2 导航栈为核心，适配 SmacPlannerHybrid 路径规划与纯跟踪控制，实现定点巡航。系统引入 Qwen3-VL 多模态大模型作为端侧认知模块，调用摄像头采集现场画面，并结合基于 multilingual-e5-small 的 RAG 检索工具，对工业安全标准知识库进行本地查询，实现“感知-检索-研判-播报”的闭环巡检。同时，独立局部避障节点融合激光雷达数据与 FTG 算法，提升狭窄通道绕行和紧急制动能力。</w:t>
      </w:r>
    </w:p>
    <w:p w14:paraId="3782BE13">
      <w:pPr>
        <w:bidi w:val="0"/>
        <w:rPr>
          <w:rFonts w:hint="eastAsia"/>
        </w:rPr>
      </w:pPr>
      <w:r>
        <w:rPr>
          <w:rFonts w:hint="eastAsia"/>
        </w:rPr>
        <w:t>下位机以 STM32G431 为主控，配合自制 PCB 底板完成 5 ms 周期姿态解算、后轮动力同步、舵机限幅和直线偏航修正等控制任务。电源部分采用 INA219 监测电池状态，并通过 SW3518S 与 RK3588 的 PD 协议握手提供稳定 12 V 供电；通信超时自动刹车、PMOS 断电自愈、低功耗休眠与 RTC 定时唤醒进一步提高了无人值守可靠性。底层 Bootloader 结合外部 SPI Flash 支持 OTA 升级、备份和异常回滚。综上，本系统可在无网环境下独立完成巡检、识别与研判流程，为工业无人巡检提供了可靠、易部署的工程参考。</w:t>
      </w:r>
    </w:p>
    <w:p w14:paraId="119B016C">
      <w:pPr>
        <w:pStyle w:val="2"/>
        <w:bidi w:val="0"/>
      </w:pPr>
      <w:r>
        <w:rPr>
          <w:rFonts w:hint="eastAsia"/>
        </w:rPr>
        <w:t>第一部分 作品概述</w:t>
      </w:r>
    </w:p>
    <w:p w14:paraId="1D93BA56">
      <w:pPr>
        <w:pStyle w:val="3"/>
        <w:numPr>
          <w:ilvl w:val="1"/>
          <w:numId w:val="1"/>
        </w:numPr>
        <w:bidi w:val="0"/>
        <w:rPr>
          <w:rFonts w:hint="eastAsia"/>
        </w:rPr>
      </w:pPr>
      <w:r>
        <w:rPr>
          <w:rFonts w:hint="eastAsia"/>
        </w:rPr>
        <w:t>功能与特性</w:t>
      </w:r>
    </w:p>
    <w:p w14:paraId="6F2D919F">
      <w:pPr>
        <w:bidi w:val="0"/>
        <w:rPr>
          <w:rFonts w:hint="eastAsia"/>
        </w:rPr>
      </w:pPr>
      <w:r>
        <w:rPr>
          <w:rFonts w:hint="eastAsia"/>
        </w:rPr>
        <w:t>本项目以阿克曼结构车模为载体，采用“RK3588 上位机 + 自制 STM32G431 下位机”协同架构，集成 ROS2 导航、端侧大模型和底层实时控制。</w:t>
      </w:r>
    </w:p>
    <w:p w14:paraId="63E0B932">
      <w:pPr>
        <w:bidi w:val="0"/>
        <w:rPr>
          <w:rFonts w:hint="eastAsia"/>
        </w:rPr>
      </w:pPr>
      <w:r>
        <w:rPr>
          <w:rFonts w:hint="eastAsia"/>
        </w:rPr>
        <w:t>自主导航与多级避障：系统支持先验地图下的定点巡航，能够在狭窄通道中规划路径、平滑绕行，并按减速、绕障、制动的层级响应障碍物。</w:t>
      </w:r>
    </w:p>
    <w:p w14:paraId="40847C06">
      <w:pPr>
        <w:bidi w:val="0"/>
        <w:rPr>
          <w:rFonts w:hint="default"/>
          <w:lang w:val="en-US"/>
        </w:rPr>
      </w:pPr>
      <w:r>
        <w:rPr>
          <w:rFonts w:hint="eastAsia"/>
        </w:rPr>
        <w:t>AI 视觉巡检与智能研判：小车到达巡检点后自动驻车拍照，由 Qwen3-VL 理解现</w:t>
      </w:r>
      <w:r>
        <w:rPr>
          <w:rFonts w:hint="default"/>
          <w:lang w:val="en-US"/>
        </w:rPr>
        <w:drawing>
          <wp:anchor distT="0" distB="0" distL="114300" distR="114300" simplePos="0" relativeHeight="251671552" behindDoc="0" locked="0" layoutInCell="1" allowOverlap="1">
            <wp:simplePos x="0" y="0"/>
            <wp:positionH relativeFrom="column">
              <wp:posOffset>449580</wp:posOffset>
            </wp:positionH>
            <wp:positionV relativeFrom="paragraph">
              <wp:posOffset>742315</wp:posOffset>
            </wp:positionV>
            <wp:extent cx="4818380" cy="2783205"/>
            <wp:effectExtent l="0" t="0" r="12700" b="5715"/>
            <wp:wrapTopAndBottom/>
            <wp:docPr id="23" name="图片 23" descr="a0870f0923374022a1916a9db5b56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a0870f0923374022a1916a9db5b56301"/>
                    <pic:cNvPicPr>
                      <a:picLocks noChangeAspect="1"/>
                    </pic:cNvPicPr>
                  </pic:nvPicPr>
                  <pic:blipFill>
                    <a:blip r:embed="rId12"/>
                    <a:stretch>
                      <a:fillRect/>
                    </a:stretch>
                  </pic:blipFill>
                  <pic:spPr>
                    <a:xfrm>
                      <a:off x="0" y="0"/>
                      <a:ext cx="4818380" cy="2783205"/>
                    </a:xfrm>
                    <a:prstGeom prst="rect">
                      <a:avLst/>
                    </a:prstGeom>
                  </pic:spPr>
                </pic:pic>
              </a:graphicData>
            </a:graphic>
          </wp:anchor>
        </w:drawing>
      </w:r>
      <w:r>
        <w:rPr>
          <w:rFonts w:hint="eastAsia"/>
        </w:rPr>
        <w:t>场画面，结合安全标准知识库识别设备异常、仪表读数和人员违规情况，并语音播报结果。</w:t>
      </w:r>
    </w:p>
    <w:p w14:paraId="01835232">
      <w:pPr>
        <w:pStyle w:val="18"/>
        <w:bidi w:val="0"/>
        <w:ind w:left="2520" w:leftChars="0" w:firstLine="420" w:firstLineChars="0"/>
        <w:jc w:val="both"/>
        <w:rPr>
          <w:rFonts w:hint="eastAsia"/>
        </w:rPr>
      </w:pPr>
      <w:r>
        <w:t>图</w:t>
      </w:r>
      <w:r>
        <w:rPr>
          <w:rFonts w:hint="eastAsia"/>
          <w:lang w:val="en-US" w:eastAsia="zh-CN"/>
        </w:rPr>
        <w:t>1.1</w:t>
      </w:r>
      <w:r>
        <w:t xml:space="preserve"> </w:t>
      </w:r>
      <w:r>
        <w:rPr>
          <w:rFonts w:hint="default"/>
          <w:lang w:val="en-US"/>
        </w:rPr>
        <w:t xml:space="preserve">  qwen3VL</w:t>
      </w:r>
    </w:p>
    <w:p w14:paraId="437E7BB3">
      <w:pPr>
        <w:bidi w:val="0"/>
        <w:rPr>
          <w:rFonts w:hint="eastAsia"/>
        </w:rPr>
      </w:pPr>
      <w:r>
        <w:rPr>
          <w:rFonts w:hint="eastAsia"/>
        </w:rPr>
        <w:t>行车稳定与操控精准：下位机融合 IMU 与轮速信息，对后轮动力、前轮舵机和直线偏航进行闭环修正，提升阿克曼底盘轨迹跟踪精度。</w:t>
      </w:r>
    </w:p>
    <w:p w14:paraId="33E22E2B">
      <w:pPr>
        <w:bidi w:val="0"/>
      </w:pPr>
      <w:r>
        <w:rPr>
          <w:rFonts w:hint="eastAsia"/>
        </w:rPr>
        <w:t>电源安全与远程升级：底板实时监测电池状态，支持 RK3588 断电自愈、巡检后自动休眠、RTC 定时唤醒和 OTA 固件回滚，保障长期无人值守运行。</w:t>
      </w:r>
    </w:p>
    <w:p w14:paraId="6FDB8CAD">
      <w:pPr>
        <w:pStyle w:val="3"/>
        <w:numPr>
          <w:ilvl w:val="1"/>
          <w:numId w:val="1"/>
        </w:numPr>
        <w:bidi w:val="0"/>
      </w:pPr>
      <w:r>
        <w:rPr>
          <w:rFonts w:hint="eastAsia"/>
        </w:rPr>
        <w:t>应用领域</w:t>
      </w:r>
    </w:p>
    <w:p w14:paraId="6A42F33C">
      <w:pPr>
        <w:bidi w:val="0"/>
        <w:rPr>
          <w:rFonts w:hint="eastAsia"/>
        </w:rPr>
      </w:pPr>
      <w:r>
        <w:rPr>
          <w:rFonts w:hint="eastAsia"/>
        </w:rPr>
        <w:t>依托阿克曼底盘的路面适应性、较高负载能力和端侧多模态智能研判能力，本智能巡检小车主要面向以下场景：</w:t>
      </w:r>
    </w:p>
    <w:p w14:paraId="3CD899E0">
      <w:pPr>
        <w:bidi w:val="0"/>
        <w:rPr>
          <w:rFonts w:hint="eastAsia"/>
          <w:lang w:val="en-US" w:eastAsia="zh-CN"/>
        </w:rPr>
      </w:pPr>
    </w:p>
    <w:p w14:paraId="6934D568">
      <w:pPr>
        <w:pStyle w:val="18"/>
        <w:bidi w:val="0"/>
        <w:rPr>
          <w:rFonts w:hint="default"/>
          <w:lang w:val="en-US" w:eastAsia="zh-CN"/>
        </w:rPr>
      </w:pPr>
      <w:r>
        <w:rPr>
          <w:rFonts w:hint="eastAsia"/>
        </w:rPr>
        <w:drawing>
          <wp:anchor distT="0" distB="0" distL="114300" distR="114300" simplePos="0" relativeHeight="251672576" behindDoc="0" locked="0" layoutInCell="1" allowOverlap="1">
            <wp:simplePos x="0" y="0"/>
            <wp:positionH relativeFrom="column">
              <wp:posOffset>845820</wp:posOffset>
            </wp:positionH>
            <wp:positionV relativeFrom="paragraph">
              <wp:posOffset>298450</wp:posOffset>
            </wp:positionV>
            <wp:extent cx="3981450" cy="2343150"/>
            <wp:effectExtent l="0" t="0" r="11430" b="3810"/>
            <wp:wrapTopAndBottom/>
            <wp:docPr id="27" name="图片 27" descr="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R-C"/>
                    <pic:cNvPicPr>
                      <a:picLocks noChangeAspect="1"/>
                    </pic:cNvPicPr>
                  </pic:nvPicPr>
                  <pic:blipFill>
                    <a:blip r:embed="rId13"/>
                    <a:stretch>
                      <a:fillRect/>
                    </a:stretch>
                  </pic:blipFill>
                  <pic:spPr>
                    <a:xfrm>
                      <a:off x="0" y="0"/>
                      <a:ext cx="3981450" cy="2343150"/>
                    </a:xfrm>
                    <a:prstGeom prst="rect">
                      <a:avLst/>
                    </a:prstGeom>
                  </pic:spPr>
                </pic:pic>
              </a:graphicData>
            </a:graphic>
          </wp:anchor>
        </w:drawing>
      </w:r>
      <w:r>
        <w:rPr>
          <w:rFonts w:hint="eastAsia"/>
          <w:lang w:val="en-US" w:eastAsia="zh-CN"/>
        </w:rPr>
        <w:t>图1.2 巡检机器人个领域应用占比</w:t>
      </w:r>
    </w:p>
    <w:p w14:paraId="235FF3C8">
      <w:pPr>
        <w:bidi w:val="0"/>
        <w:rPr>
          <w:rFonts w:hint="eastAsia"/>
        </w:rPr>
      </w:pPr>
      <w:r>
        <w:rPr>
          <w:rFonts w:hint="eastAsia"/>
        </w:rPr>
        <w:t>1. 工业生产与户外厂区巡检：在复杂厂区内自主巡视，识别未戴安全帽、设备跑冒滴漏、通道占用等风险，并结合安全标准生成预警。</w:t>
      </w:r>
    </w:p>
    <w:p w14:paraId="17830AFC">
      <w:pPr>
        <w:bidi w:val="0"/>
        <w:rPr>
          <w:rFonts w:hint="eastAsia"/>
        </w:rPr>
      </w:pPr>
      <w:r>
        <w:rPr>
          <w:rFonts w:hint="eastAsia"/>
        </w:rPr>
        <w:t>2. 偏远变电站巡检：搭载大容量电池进行长距离定点停靠，读取仪表数据、检测开关状态和设备外观异常，适合无人值守站点。</w:t>
      </w:r>
    </w:p>
    <w:p w14:paraId="53530692">
      <w:pPr>
        <w:bidi w:val="0"/>
      </w:pPr>
      <w:r>
        <w:rPr>
          <w:rFonts w:hint="eastAsia"/>
        </w:rPr>
        <w:t>3. 智慧园区与广域安防：利用稳定巡航和 LiDAR 避障能力执行夜间巡逻、可疑人员识别、消防通道检查和仓储异常巡查。</w:t>
      </w:r>
    </w:p>
    <w:p w14:paraId="3330044E">
      <w:pPr>
        <w:pStyle w:val="3"/>
        <w:numPr>
          <w:ilvl w:val="1"/>
          <w:numId w:val="1"/>
        </w:numPr>
        <w:bidi w:val="0"/>
      </w:pPr>
      <w:r>
        <w:rPr>
          <w:rFonts w:hint="eastAsia"/>
        </w:rPr>
        <w:t>主要技术特点</w:t>
      </w:r>
    </w:p>
    <w:p w14:paraId="18793D3B">
      <w:pPr>
        <w:bidi w:val="0"/>
        <w:rPr>
          <w:rFonts w:hint="eastAsia"/>
        </w:rPr>
      </w:pPr>
      <w:r>
        <w:rPr>
          <w:rFonts w:hint="eastAsia"/>
        </w:rPr>
        <w:t>从技术实现角度看，系统具有以下特点：</w:t>
      </w:r>
    </w:p>
    <w:p w14:paraId="33EB45E2">
      <w:pPr>
        <w:bidi w:val="0"/>
        <w:rPr>
          <w:rFonts w:hint="default"/>
          <w:lang w:val="en-US"/>
        </w:rPr>
      </w:pPr>
      <w:r>
        <w:rPr>
          <w:rFonts w:hint="eastAsia"/>
        </w:rPr>
        <w:t>1. 端侧 Agent 与 RAG 融合推理：RK3588 三核 NPU 部署 Qwen3-VL，大模型通过 tool_call 调用摄像头和 RAG 检索工具，将现场画面与工业安全标准进行语义比对，形成“感知-检索-研判-播报”的闭环。</w:t>
      </w:r>
    </w:p>
    <w:p w14:paraId="45B78139">
      <w:pPr>
        <w:bidi w:val="0"/>
        <w:rPr>
          <w:rFonts w:hint="eastAsia"/>
        </w:rPr>
      </w:pPr>
      <w:r>
        <w:rPr>
          <w:rFonts w:hint="default"/>
          <w:lang w:val="en-US"/>
        </w:rPr>
        <w:drawing>
          <wp:anchor distT="0" distB="0" distL="114300" distR="114300" simplePos="0" relativeHeight="251670528" behindDoc="0" locked="0" layoutInCell="1" allowOverlap="1">
            <wp:simplePos x="0" y="0"/>
            <wp:positionH relativeFrom="column">
              <wp:posOffset>30480</wp:posOffset>
            </wp:positionH>
            <wp:positionV relativeFrom="paragraph">
              <wp:posOffset>283210</wp:posOffset>
            </wp:positionV>
            <wp:extent cx="5746750" cy="3004185"/>
            <wp:effectExtent l="0" t="0" r="0" b="0"/>
            <wp:wrapTopAndBottom/>
            <wp:docPr id="25" name="图片 25" descr="6442d21c581b19359a09bbe88f9ca9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6442d21c581b19359a09bbe88f9ca9a6"/>
                    <pic:cNvPicPr>
                      <a:picLocks noChangeAspect="1"/>
                    </pic:cNvPicPr>
                  </pic:nvPicPr>
                  <pic:blipFill>
                    <a:blip r:embed="rId14"/>
                    <a:srcRect b="3232"/>
                    <a:stretch>
                      <a:fillRect/>
                    </a:stretch>
                  </pic:blipFill>
                  <pic:spPr>
                    <a:xfrm>
                      <a:off x="0" y="0"/>
                      <a:ext cx="5746750" cy="3004185"/>
                    </a:xfrm>
                    <a:prstGeom prst="rect">
                      <a:avLst/>
                    </a:prstGeom>
                  </pic:spPr>
                </pic:pic>
              </a:graphicData>
            </a:graphic>
          </wp:anchor>
        </w:drawing>
      </w:r>
    </w:p>
    <w:p w14:paraId="2BB2F15A">
      <w:pPr>
        <w:pStyle w:val="18"/>
        <w:bidi w:val="0"/>
        <w:rPr>
          <w:rFonts w:hint="default" w:eastAsia="宋体"/>
          <w:lang w:val="en-US" w:eastAsia="zh-CN"/>
        </w:rPr>
      </w:pPr>
      <w:r>
        <w:t>图</w:t>
      </w:r>
      <w:r>
        <w:rPr>
          <w:rFonts w:hint="eastAsia"/>
          <w:lang w:val="en-US" w:eastAsia="zh-CN"/>
        </w:rPr>
        <w:t>1.3</w:t>
      </w:r>
      <w:r>
        <w:t xml:space="preserve"> </w:t>
      </w:r>
      <w:r>
        <w:rPr>
          <w:rFonts w:hint="eastAsia"/>
          <w:lang w:val="en-US" w:eastAsia="zh-CN"/>
        </w:rPr>
        <w:t>检索增强型生成模型</w:t>
      </w:r>
    </w:p>
    <w:p w14:paraId="381F7F4D">
      <w:pPr>
        <w:tabs>
          <w:tab w:val="left" w:pos="4019"/>
        </w:tabs>
        <w:bidi w:val="0"/>
        <w:rPr>
          <w:rFonts w:hint="eastAsia" w:eastAsia="宋体"/>
          <w:lang w:eastAsia="zh-CN"/>
        </w:rPr>
      </w:pPr>
    </w:p>
    <w:p w14:paraId="20BB3555">
      <w:pPr>
        <w:bidi w:val="0"/>
        <w:rPr>
          <w:rFonts w:hint="eastAsia"/>
        </w:rPr>
      </w:pPr>
      <w:r>
        <w:rPr>
          <w:rFonts w:hint="eastAsia"/>
        </w:rPr>
        <w:t>2. Nav2 导航与 FTG 避障：全局采用 SmacPlannerHybrid 适配阿克曼约束，局部使用 RPP 跟踪路径；独立 FTG 节点根据 LiDAR 前方扇区动态调节速度，实现减速、绕障和制动。</w:t>
      </w:r>
    </w:p>
    <w:p w14:paraId="3CE57697">
      <w:pPr>
        <w:bidi w:val="0"/>
        <w:rPr>
          <w:rFonts w:hint="eastAsia"/>
        </w:rPr>
      </w:pPr>
      <w:r>
        <w:rPr>
          <w:rFonts w:hint="eastAsia"/>
        </w:rPr>
        <w:t>3. 三路 PID 运动控制：STM32G431 以 5 ms 周期完成姿态解算、直行保持、轮速同步和舵机限幅，配合通信超时制动提升底盘安全性。</w:t>
      </w:r>
    </w:p>
    <w:p w14:paraId="32EAE685">
      <w:pPr>
        <w:bidi w:val="0"/>
      </w:pPr>
      <w:r>
        <w:rPr>
          <w:rFonts w:hint="eastAsia"/>
        </w:rPr>
        <w:t>4. PD 供电与安全 OTA：PMOS、SW3518S 和 INA219 构成电源监测与物理通断链路，支持巡检后低功耗休眠、RTC 唤醒、远程固件升级和异常回滚。</w:t>
      </w:r>
    </w:p>
    <w:p w14:paraId="789A3A34">
      <w:pPr>
        <w:pStyle w:val="3"/>
        <w:numPr>
          <w:ilvl w:val="1"/>
          <w:numId w:val="1"/>
        </w:numPr>
        <w:bidi w:val="0"/>
      </w:pPr>
      <w:r>
        <w:rPr>
          <w:rFonts w:hint="eastAsia"/>
        </w:rPr>
        <w:t>主要性能指标</w:t>
      </w:r>
    </w:p>
    <w:p w14:paraId="407BC75F">
      <w:pPr>
        <w:pStyle w:val="18"/>
        <w:bidi w:val="0"/>
        <w:rPr>
          <w:rFonts w:hint="default"/>
          <w:lang w:val="en-US" w:eastAsia="zh-CN"/>
        </w:rPr>
      </w:pPr>
      <w:r>
        <w:rPr>
          <w:rFonts w:hint="eastAsia"/>
          <w:lang w:val="en-US" w:eastAsia="zh-CN"/>
        </w:rPr>
        <w:t>表1.1 主要性能指标</w:t>
      </w:r>
    </w:p>
    <w:tbl>
      <w:tblPr>
        <w:tblStyle w:val="1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8" w:type="dxa"/>
          <w:bottom w:w="100" w:type="dxa"/>
          <w:right w:w="108" w:type="dxa"/>
        </w:tblCellMar>
      </w:tblPr>
      <w:tblGrid>
        <w:gridCol w:w="949"/>
        <w:gridCol w:w="1561"/>
        <w:gridCol w:w="6776"/>
      </w:tblGrid>
      <w:tr w14:paraId="4EE28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rPr>
          <w:jc w:val="center"/>
        </w:trPr>
        <w:tc>
          <w:tcPr>
            <w:tcW w:w="511" w:type="pct"/>
            <w:vMerge w:val="restart"/>
            <w:tcBorders>
              <w:top w:val="single" w:color="000000" w:sz="12" w:space="0"/>
              <w:left w:val="nil"/>
              <w:bottom w:val="single" w:color="000000" w:sz="4" w:space="0"/>
              <w:right w:val="nil"/>
              <w:tl2br w:val="nil"/>
            </w:tcBorders>
            <w:shd w:val="clear" w:color="auto" w:fill="FFFFFF"/>
            <w:vAlign w:val="center"/>
          </w:tcPr>
          <w:p w14:paraId="5BDD7123">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b w:val="0"/>
                <w:color w:val="000000"/>
              </w:rPr>
            </w:pPr>
            <w:r>
              <w:rPr>
                <w:rFonts w:hint="eastAsia"/>
                <w:b w:val="0"/>
                <w:color w:val="000000"/>
              </w:rPr>
              <w:t>核心计算与 AI</w:t>
            </w:r>
          </w:p>
        </w:tc>
        <w:tc>
          <w:tcPr>
            <w:tcW w:w="840" w:type="pct"/>
            <w:tcBorders>
              <w:top w:val="single" w:color="000000" w:sz="12" w:space="0"/>
              <w:left w:val="nil"/>
              <w:bottom w:val="single" w:color="000000" w:sz="4" w:space="0"/>
              <w:right w:val="nil"/>
            </w:tcBorders>
            <w:shd w:val="clear" w:color="auto" w:fill="FFFFFF"/>
            <w:vAlign w:val="center"/>
          </w:tcPr>
          <w:p w14:paraId="2FF8199A">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b w:val="0"/>
                <w:color w:val="000000"/>
              </w:rPr>
            </w:pPr>
            <w:r>
              <w:rPr>
                <w:rFonts w:hint="eastAsia"/>
                <w:b w:val="0"/>
                <w:color w:val="000000"/>
              </w:rPr>
              <w:t>大模型</w:t>
            </w:r>
          </w:p>
        </w:tc>
        <w:tc>
          <w:tcPr>
            <w:tcW w:w="3647" w:type="pct"/>
            <w:tcBorders>
              <w:top w:val="single" w:color="000000" w:sz="12" w:space="0"/>
              <w:left w:val="nil"/>
              <w:bottom w:val="single" w:color="000000" w:sz="4" w:space="0"/>
              <w:right w:val="nil"/>
            </w:tcBorders>
            <w:shd w:val="clear" w:color="auto" w:fill="FFFFFF"/>
            <w:vAlign w:val="center"/>
          </w:tcPr>
          <w:p w14:paraId="4652DBBE">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b w:val="0"/>
                <w:color w:val="000000"/>
              </w:rPr>
            </w:pPr>
            <w:r>
              <w:rPr>
                <w:rFonts w:hint="eastAsia"/>
                <w:b w:val="0"/>
                <w:color w:val="000000"/>
              </w:rPr>
              <w:t>qwen3-vl-4b-instruct_w8a8，上下文4095，输出512。</w:t>
            </w:r>
          </w:p>
        </w:tc>
      </w:tr>
      <w:tr w14:paraId="0306C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20" w:type="dxa"/>
            <w:bottom w:w="100" w:type="dxa"/>
            <w:right w:w="120" w:type="dxa"/>
          </w:tblCellMar>
        </w:tblPrEx>
        <w:trPr>
          <w:jc w:val="center"/>
        </w:trPr>
        <w:tc>
          <w:tcPr>
            <w:tcW w:w="511" w:type="pct"/>
            <w:vMerge w:val="continue"/>
            <w:tcBorders>
              <w:top w:val="single" w:color="000000" w:sz="4" w:space="0"/>
              <w:left w:val="nil"/>
              <w:bottom w:val="nil"/>
              <w:right w:val="nil"/>
            </w:tcBorders>
            <w:shd w:val="clear" w:color="auto" w:fill="FFFFFF"/>
            <w:vAlign w:val="center"/>
          </w:tcPr>
          <w:p w14:paraId="35C52715">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b w:val="0"/>
                <w:color w:val="000000"/>
              </w:rPr>
            </w:pPr>
          </w:p>
        </w:tc>
        <w:tc>
          <w:tcPr>
            <w:tcW w:w="840" w:type="pct"/>
            <w:tcBorders>
              <w:top w:val="single" w:color="000000" w:sz="4" w:space="0"/>
              <w:left w:val="nil"/>
              <w:bottom w:val="nil"/>
              <w:right w:val="nil"/>
            </w:tcBorders>
            <w:shd w:val="clear" w:color="auto" w:fill="FFFFFF"/>
            <w:vAlign w:val="center"/>
          </w:tcPr>
          <w:p w14:paraId="29BE9DDC">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b w:val="0"/>
                <w:color w:val="000000"/>
              </w:rPr>
            </w:pPr>
            <w:r>
              <w:rPr>
                <w:rFonts w:hint="eastAsia"/>
                <w:b w:val="0"/>
                <w:color w:val="000000"/>
              </w:rPr>
              <w:t>推理速度</w:t>
            </w:r>
          </w:p>
        </w:tc>
        <w:tc>
          <w:tcPr>
            <w:tcW w:w="3647" w:type="pct"/>
            <w:tcBorders>
              <w:top w:val="single" w:color="000000" w:sz="4" w:space="0"/>
              <w:left w:val="nil"/>
              <w:bottom w:val="nil"/>
              <w:right w:val="nil"/>
            </w:tcBorders>
            <w:shd w:val="clear" w:color="auto" w:fill="FFFFFF"/>
            <w:vAlign w:val="center"/>
          </w:tcPr>
          <w:p w14:paraId="42B782BC">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b w:val="0"/>
                <w:color w:val="000000"/>
              </w:rPr>
            </w:pPr>
            <w:r>
              <w:rPr>
                <w:rFonts w:hint="eastAsia"/>
                <w:b w:val="0"/>
                <w:color w:val="000000"/>
              </w:rPr>
              <w:t>量化部署，生成2~3 Token/s。</w:t>
            </w:r>
          </w:p>
        </w:tc>
      </w:tr>
      <w:tr w14:paraId="1976F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20" w:type="dxa"/>
            <w:bottom w:w="100" w:type="dxa"/>
            <w:right w:w="120" w:type="dxa"/>
          </w:tblCellMar>
        </w:tblPrEx>
        <w:trPr>
          <w:jc w:val="center"/>
        </w:trPr>
        <w:tc>
          <w:tcPr>
            <w:tcW w:w="511" w:type="pct"/>
            <w:vMerge w:val="continue"/>
            <w:tcBorders>
              <w:top w:val="nil"/>
              <w:left w:val="nil"/>
              <w:bottom w:val="nil"/>
              <w:right w:val="nil"/>
            </w:tcBorders>
            <w:shd w:val="clear" w:color="auto" w:fill="FFFFFF"/>
            <w:vAlign w:val="center"/>
          </w:tcPr>
          <w:p w14:paraId="44CB69EC">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b w:val="0"/>
                <w:color w:val="000000"/>
              </w:rPr>
            </w:pPr>
          </w:p>
        </w:tc>
        <w:tc>
          <w:tcPr>
            <w:tcW w:w="840" w:type="pct"/>
            <w:tcBorders>
              <w:top w:val="nil"/>
              <w:left w:val="nil"/>
              <w:bottom w:val="nil"/>
              <w:right w:val="nil"/>
            </w:tcBorders>
            <w:shd w:val="clear" w:color="auto" w:fill="FFFFFF"/>
            <w:vAlign w:val="center"/>
          </w:tcPr>
          <w:p w14:paraId="1B7C72FC">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b w:val="0"/>
                <w:color w:val="000000"/>
              </w:rPr>
            </w:pPr>
            <w:r>
              <w:rPr>
                <w:rFonts w:hint="eastAsia"/>
                <w:b w:val="0"/>
                <w:color w:val="000000"/>
              </w:rPr>
              <w:t>视觉识别</w:t>
            </w:r>
          </w:p>
        </w:tc>
        <w:tc>
          <w:tcPr>
            <w:tcW w:w="3647" w:type="pct"/>
            <w:tcBorders>
              <w:top w:val="nil"/>
              <w:left w:val="nil"/>
              <w:bottom w:val="nil"/>
              <w:right w:val="nil"/>
            </w:tcBorders>
            <w:shd w:val="clear" w:color="auto" w:fill="FFFFFF"/>
            <w:vAlign w:val="center"/>
          </w:tcPr>
          <w:p w14:paraId="131D1309">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b w:val="0"/>
                <w:color w:val="000000"/>
              </w:rPr>
            </w:pPr>
            <w:r>
              <w:rPr>
                <w:rFonts w:hint="eastAsia"/>
                <w:b w:val="0"/>
                <w:color w:val="000000"/>
              </w:rPr>
              <w:t>qwen3-vl-4b_vision零样本检测、OCR，提取&lt;500ms。</w:t>
            </w:r>
          </w:p>
        </w:tc>
      </w:tr>
      <w:tr w14:paraId="74729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rPr>
          <w:jc w:val="center"/>
        </w:trPr>
        <w:tc>
          <w:tcPr>
            <w:tcW w:w="511" w:type="pct"/>
            <w:vMerge w:val="continue"/>
            <w:tcBorders>
              <w:top w:val="nil"/>
              <w:left w:val="nil"/>
              <w:bottom w:val="nil"/>
              <w:right w:val="nil"/>
            </w:tcBorders>
            <w:shd w:val="clear" w:color="auto" w:fill="FFFFFF"/>
            <w:vAlign w:val="center"/>
          </w:tcPr>
          <w:p w14:paraId="3F69200B">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b w:val="0"/>
                <w:color w:val="000000"/>
              </w:rPr>
            </w:pPr>
          </w:p>
        </w:tc>
        <w:tc>
          <w:tcPr>
            <w:tcW w:w="840" w:type="pct"/>
            <w:tcBorders>
              <w:top w:val="nil"/>
              <w:left w:val="nil"/>
              <w:bottom w:val="nil"/>
              <w:right w:val="nil"/>
            </w:tcBorders>
            <w:shd w:val="clear" w:color="auto" w:fill="FFFFFF"/>
            <w:vAlign w:val="center"/>
          </w:tcPr>
          <w:p w14:paraId="024C073F">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b w:val="0"/>
                <w:color w:val="000000"/>
              </w:rPr>
            </w:pPr>
            <w:r>
              <w:rPr>
                <w:rFonts w:hint="eastAsia"/>
                <w:b w:val="0"/>
                <w:color w:val="000000"/>
              </w:rPr>
              <w:t>RAG检索</w:t>
            </w:r>
          </w:p>
        </w:tc>
        <w:tc>
          <w:tcPr>
            <w:tcW w:w="3647" w:type="pct"/>
            <w:tcBorders>
              <w:top w:val="nil"/>
              <w:left w:val="nil"/>
              <w:bottom w:val="nil"/>
              <w:right w:val="nil"/>
            </w:tcBorders>
            <w:shd w:val="clear" w:color="auto" w:fill="FFFFFF"/>
            <w:vAlign w:val="center"/>
          </w:tcPr>
          <w:p w14:paraId="2556C3AF">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b w:val="0"/>
                <w:color w:val="000000"/>
              </w:rPr>
            </w:pPr>
            <w:r>
              <w:rPr>
                <w:rFonts w:hint="eastAsia"/>
                <w:b w:val="0"/>
                <w:color w:val="000000"/>
              </w:rPr>
              <w:t>e5-small，检索&lt;100ms，切片512字。</w:t>
            </w:r>
          </w:p>
        </w:tc>
      </w:tr>
      <w:tr w14:paraId="22B9C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rPr>
          <w:jc w:val="center"/>
        </w:trPr>
        <w:tc>
          <w:tcPr>
            <w:tcW w:w="511" w:type="pct"/>
            <w:vMerge w:val="restart"/>
            <w:tcBorders>
              <w:top w:val="nil"/>
              <w:left w:val="nil"/>
              <w:bottom w:val="nil"/>
              <w:right w:val="nil"/>
            </w:tcBorders>
            <w:shd w:val="clear" w:color="auto" w:fill="FFFFFF"/>
            <w:vAlign w:val="center"/>
          </w:tcPr>
          <w:p w14:paraId="75183084">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b w:val="0"/>
                <w:color w:val="000000"/>
              </w:rPr>
            </w:pPr>
            <w:r>
              <w:rPr>
                <w:rFonts w:hint="eastAsia"/>
                <w:b w:val="0"/>
                <w:color w:val="000000"/>
              </w:rPr>
              <w:t>运动与控制</w:t>
            </w:r>
          </w:p>
        </w:tc>
        <w:tc>
          <w:tcPr>
            <w:tcW w:w="840" w:type="pct"/>
            <w:tcBorders>
              <w:top w:val="nil"/>
              <w:left w:val="nil"/>
              <w:bottom w:val="nil"/>
              <w:right w:val="nil"/>
            </w:tcBorders>
            <w:shd w:val="clear" w:color="auto" w:fill="FFFFFF"/>
            <w:vAlign w:val="center"/>
          </w:tcPr>
          <w:p w14:paraId="15FC2D97">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b w:val="0"/>
                <w:color w:val="000000"/>
              </w:rPr>
            </w:pPr>
            <w:r>
              <w:rPr>
                <w:rFonts w:hint="eastAsia"/>
                <w:b w:val="0"/>
                <w:color w:val="000000"/>
                <w:lang w:val="en-US" w:eastAsia="zh-CN"/>
              </w:rPr>
              <w:t>主控闭环</w:t>
            </w:r>
          </w:p>
        </w:tc>
        <w:tc>
          <w:tcPr>
            <w:tcW w:w="3647" w:type="pct"/>
            <w:tcBorders>
              <w:top w:val="nil"/>
              <w:left w:val="nil"/>
              <w:bottom w:val="nil"/>
              <w:right w:val="nil"/>
            </w:tcBorders>
            <w:shd w:val="clear" w:color="auto" w:fill="FFFFFF"/>
            <w:vAlign w:val="center"/>
          </w:tcPr>
          <w:p w14:paraId="54B0C2C2">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b w:val="0"/>
                <w:color w:val="000000"/>
              </w:rPr>
            </w:pPr>
            <w:r>
              <w:rPr>
                <w:rFonts w:hint="eastAsia"/>
                <w:b w:val="0"/>
                <w:color w:val="000000"/>
              </w:rPr>
              <w:t>STM32G431，PID周期1ms。</w:t>
            </w:r>
          </w:p>
        </w:tc>
      </w:tr>
      <w:tr w14:paraId="21BA3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20" w:type="dxa"/>
            <w:bottom w:w="100" w:type="dxa"/>
            <w:right w:w="120" w:type="dxa"/>
          </w:tblCellMar>
        </w:tblPrEx>
        <w:trPr>
          <w:jc w:val="center"/>
        </w:trPr>
        <w:tc>
          <w:tcPr>
            <w:tcW w:w="511" w:type="pct"/>
            <w:vMerge w:val="continue"/>
            <w:tcBorders>
              <w:top w:val="nil"/>
              <w:left w:val="nil"/>
              <w:bottom w:val="nil"/>
              <w:right w:val="nil"/>
            </w:tcBorders>
            <w:shd w:val="clear" w:color="auto" w:fill="FFFFFF"/>
            <w:vAlign w:val="center"/>
          </w:tcPr>
          <w:p w14:paraId="4A2D8DCC">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b w:val="0"/>
                <w:color w:val="000000"/>
              </w:rPr>
            </w:pPr>
          </w:p>
        </w:tc>
        <w:tc>
          <w:tcPr>
            <w:tcW w:w="840" w:type="pct"/>
            <w:tcBorders>
              <w:top w:val="nil"/>
              <w:left w:val="nil"/>
              <w:bottom w:val="nil"/>
              <w:right w:val="nil"/>
            </w:tcBorders>
            <w:shd w:val="clear" w:color="auto" w:fill="FFFFFF"/>
            <w:vAlign w:val="center"/>
          </w:tcPr>
          <w:p w14:paraId="31A36E1A">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b w:val="0"/>
                <w:color w:val="000000"/>
              </w:rPr>
            </w:pPr>
            <w:r>
              <w:rPr>
                <w:rFonts w:hint="eastAsia"/>
                <w:b w:val="0"/>
                <w:color w:val="000000"/>
              </w:rPr>
              <w:t>电机速度</w:t>
            </w:r>
          </w:p>
        </w:tc>
        <w:tc>
          <w:tcPr>
            <w:tcW w:w="3647" w:type="pct"/>
            <w:tcBorders>
              <w:top w:val="nil"/>
              <w:left w:val="nil"/>
              <w:bottom w:val="nil"/>
              <w:right w:val="nil"/>
            </w:tcBorders>
            <w:shd w:val="clear" w:color="auto" w:fill="FFFFFF"/>
            <w:vAlign w:val="center"/>
          </w:tcPr>
          <w:p w14:paraId="41FA1FC1">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b w:val="0"/>
                <w:color w:val="000000"/>
              </w:rPr>
            </w:pPr>
            <w:r>
              <w:rPr>
                <w:rFonts w:hint="eastAsia"/>
                <w:b w:val="0"/>
                <w:color w:val="000000"/>
              </w:rPr>
              <w:t>AT8236，</w:t>
            </w:r>
            <w:r>
              <w:rPr>
                <w:rFonts w:hint="eastAsia"/>
                <w:b w:val="0"/>
                <w:color w:val="000000"/>
                <w:lang w:val="en-US" w:eastAsia="zh-CN"/>
              </w:rPr>
              <w:t>最大</w:t>
            </w:r>
            <w:r>
              <w:rPr>
                <w:rFonts w:hint="eastAsia"/>
                <w:b w:val="0"/>
                <w:color w:val="000000"/>
              </w:rPr>
              <w:t>前进</w:t>
            </w:r>
            <w:r>
              <w:rPr>
                <w:rFonts w:hint="eastAsia"/>
                <w:b w:val="0"/>
                <w:color w:val="000000"/>
                <w:lang w:val="en-US" w:eastAsia="zh-CN"/>
              </w:rPr>
              <w:t>0.8</w:t>
            </w:r>
            <w:r>
              <w:rPr>
                <w:rFonts w:hint="eastAsia"/>
                <w:b w:val="0"/>
                <w:color w:val="000000"/>
              </w:rPr>
              <w:t>m/s，</w:t>
            </w:r>
            <w:r>
              <w:rPr>
                <w:rFonts w:hint="eastAsia"/>
                <w:b w:val="0"/>
                <w:color w:val="000000"/>
                <w:lang w:val="en-US" w:eastAsia="zh-CN"/>
              </w:rPr>
              <w:t>最大</w:t>
            </w:r>
            <w:r>
              <w:rPr>
                <w:rFonts w:hint="eastAsia"/>
                <w:b w:val="0"/>
                <w:color w:val="000000"/>
              </w:rPr>
              <w:t>倒车0.3m/s。</w:t>
            </w:r>
          </w:p>
        </w:tc>
      </w:tr>
      <w:tr w14:paraId="0DB20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rPr>
          <w:jc w:val="center"/>
        </w:trPr>
        <w:tc>
          <w:tcPr>
            <w:tcW w:w="511" w:type="pct"/>
            <w:vMerge w:val="continue"/>
            <w:tcBorders>
              <w:top w:val="nil"/>
              <w:left w:val="nil"/>
              <w:bottom w:val="nil"/>
              <w:right w:val="nil"/>
            </w:tcBorders>
            <w:shd w:val="clear" w:color="auto" w:fill="FFFFFF"/>
            <w:vAlign w:val="center"/>
          </w:tcPr>
          <w:p w14:paraId="6738A4B7">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b w:val="0"/>
                <w:color w:val="000000"/>
              </w:rPr>
            </w:pPr>
          </w:p>
        </w:tc>
        <w:tc>
          <w:tcPr>
            <w:tcW w:w="840" w:type="pct"/>
            <w:tcBorders>
              <w:top w:val="nil"/>
              <w:left w:val="nil"/>
              <w:bottom w:val="nil"/>
              <w:right w:val="nil"/>
            </w:tcBorders>
            <w:shd w:val="clear" w:color="auto" w:fill="FFFFFF"/>
            <w:vAlign w:val="center"/>
          </w:tcPr>
          <w:p w14:paraId="3B086A32">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b w:val="0"/>
                <w:color w:val="000000"/>
              </w:rPr>
            </w:pPr>
            <w:r>
              <w:rPr>
                <w:rFonts w:hint="eastAsia"/>
                <w:b w:val="0"/>
                <w:color w:val="000000"/>
              </w:rPr>
              <w:t>IMU融合</w:t>
            </w:r>
          </w:p>
        </w:tc>
        <w:tc>
          <w:tcPr>
            <w:tcW w:w="3647" w:type="pct"/>
            <w:tcBorders>
              <w:top w:val="nil"/>
              <w:left w:val="nil"/>
              <w:bottom w:val="nil"/>
              <w:right w:val="nil"/>
            </w:tcBorders>
            <w:shd w:val="clear" w:color="auto" w:fill="FFFFFF"/>
            <w:vAlign w:val="center"/>
          </w:tcPr>
          <w:p w14:paraId="5946E27D">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b w:val="0"/>
                <w:color w:val="000000"/>
              </w:rPr>
            </w:pPr>
            <w:r>
              <w:rPr>
                <w:rFonts w:hint="eastAsia"/>
                <w:b w:val="0"/>
                <w:color w:val="000000"/>
              </w:rPr>
              <w:t>ICM42688，姿态融合200Hz。</w:t>
            </w:r>
          </w:p>
        </w:tc>
      </w:tr>
      <w:tr w14:paraId="5080E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rPr>
          <w:jc w:val="center"/>
        </w:trPr>
        <w:tc>
          <w:tcPr>
            <w:tcW w:w="511" w:type="pct"/>
            <w:vMerge w:val="continue"/>
            <w:tcBorders>
              <w:top w:val="nil"/>
              <w:left w:val="nil"/>
              <w:bottom w:val="nil"/>
              <w:right w:val="nil"/>
            </w:tcBorders>
            <w:shd w:val="clear" w:color="auto" w:fill="FFFFFF"/>
            <w:vAlign w:val="center"/>
          </w:tcPr>
          <w:p w14:paraId="7438BC52">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b w:val="0"/>
                <w:color w:val="000000"/>
              </w:rPr>
            </w:pPr>
          </w:p>
        </w:tc>
        <w:tc>
          <w:tcPr>
            <w:tcW w:w="840" w:type="pct"/>
            <w:tcBorders>
              <w:top w:val="nil"/>
              <w:left w:val="nil"/>
              <w:bottom w:val="nil"/>
              <w:right w:val="nil"/>
            </w:tcBorders>
            <w:shd w:val="clear" w:color="auto" w:fill="FFFFFF"/>
            <w:vAlign w:val="center"/>
          </w:tcPr>
          <w:p w14:paraId="1CB932F6">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b w:val="0"/>
                <w:color w:val="000000"/>
              </w:rPr>
            </w:pPr>
            <w:r>
              <w:rPr>
                <w:rFonts w:hint="eastAsia"/>
                <w:b w:val="0"/>
                <w:color w:val="000000"/>
              </w:rPr>
              <w:t>雷达导航</w:t>
            </w:r>
          </w:p>
        </w:tc>
        <w:tc>
          <w:tcPr>
            <w:tcW w:w="3647" w:type="pct"/>
            <w:tcBorders>
              <w:top w:val="nil"/>
              <w:left w:val="nil"/>
              <w:bottom w:val="nil"/>
              <w:right w:val="nil"/>
            </w:tcBorders>
            <w:shd w:val="clear" w:color="auto" w:fill="FFFFFF"/>
            <w:vAlign w:val="center"/>
          </w:tcPr>
          <w:p w14:paraId="2C22801E">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b w:val="0"/>
                <w:color w:val="000000"/>
              </w:rPr>
            </w:pPr>
            <w:r>
              <w:rPr>
                <w:rFonts w:hint="eastAsia"/>
                <w:b w:val="0"/>
                <w:color w:val="000000"/>
              </w:rPr>
              <w:t>SLLidar 12m/10Hz，控制20Hz。</w:t>
            </w:r>
          </w:p>
        </w:tc>
      </w:tr>
      <w:tr w14:paraId="5D461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20" w:type="dxa"/>
            <w:bottom w:w="100" w:type="dxa"/>
            <w:right w:w="120" w:type="dxa"/>
          </w:tblCellMar>
        </w:tblPrEx>
        <w:trPr>
          <w:jc w:val="center"/>
        </w:trPr>
        <w:tc>
          <w:tcPr>
            <w:tcW w:w="511" w:type="pct"/>
            <w:vMerge w:val="restart"/>
            <w:tcBorders>
              <w:top w:val="nil"/>
              <w:left w:val="nil"/>
              <w:bottom w:val="nil"/>
              <w:right w:val="nil"/>
            </w:tcBorders>
            <w:shd w:val="clear" w:color="auto" w:fill="FFFFFF"/>
            <w:vAlign w:val="center"/>
          </w:tcPr>
          <w:p w14:paraId="35ABD800">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b w:val="0"/>
                <w:color w:val="000000"/>
              </w:rPr>
            </w:pPr>
            <w:r>
              <w:rPr>
                <w:rFonts w:hint="eastAsia"/>
                <w:b w:val="0"/>
                <w:color w:val="000000"/>
              </w:rPr>
              <w:t>供电与通信</w:t>
            </w:r>
          </w:p>
        </w:tc>
        <w:tc>
          <w:tcPr>
            <w:tcW w:w="840" w:type="pct"/>
            <w:tcBorders>
              <w:top w:val="nil"/>
              <w:left w:val="nil"/>
              <w:bottom w:val="nil"/>
              <w:right w:val="nil"/>
            </w:tcBorders>
            <w:shd w:val="clear" w:color="auto" w:fill="FFFFFF"/>
            <w:vAlign w:val="center"/>
          </w:tcPr>
          <w:p w14:paraId="7BC1D226">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b w:val="0"/>
                <w:color w:val="000000"/>
              </w:rPr>
            </w:pPr>
            <w:r>
              <w:rPr>
                <w:rFonts w:hint="eastAsia"/>
                <w:b w:val="0"/>
                <w:color w:val="000000"/>
              </w:rPr>
              <w:t>PD供电</w:t>
            </w:r>
          </w:p>
        </w:tc>
        <w:tc>
          <w:tcPr>
            <w:tcW w:w="3647" w:type="pct"/>
            <w:tcBorders>
              <w:top w:val="nil"/>
              <w:left w:val="nil"/>
              <w:bottom w:val="nil"/>
              <w:right w:val="nil"/>
            </w:tcBorders>
            <w:shd w:val="clear" w:color="auto" w:fill="FFFFFF"/>
            <w:vAlign w:val="center"/>
          </w:tcPr>
          <w:p w14:paraId="16867724">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b w:val="0"/>
                <w:color w:val="000000"/>
              </w:rPr>
            </w:pPr>
            <w:r>
              <w:rPr>
                <w:rFonts w:hint="eastAsia"/>
                <w:b w:val="0"/>
                <w:color w:val="000000"/>
              </w:rPr>
              <w:t>SW3518S，100W供电冗余。</w:t>
            </w:r>
          </w:p>
        </w:tc>
      </w:tr>
      <w:tr w14:paraId="1FC0D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rPr>
          <w:jc w:val="center"/>
        </w:trPr>
        <w:tc>
          <w:tcPr>
            <w:tcW w:w="511" w:type="pct"/>
            <w:vMerge w:val="continue"/>
            <w:tcBorders>
              <w:top w:val="nil"/>
              <w:left w:val="nil"/>
              <w:bottom w:val="nil"/>
              <w:right w:val="nil"/>
            </w:tcBorders>
            <w:shd w:val="clear" w:color="auto" w:fill="FFFFFF"/>
            <w:vAlign w:val="center"/>
          </w:tcPr>
          <w:p w14:paraId="08DCDC4E">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b w:val="0"/>
                <w:color w:val="000000"/>
              </w:rPr>
            </w:pPr>
          </w:p>
        </w:tc>
        <w:tc>
          <w:tcPr>
            <w:tcW w:w="840" w:type="pct"/>
            <w:tcBorders>
              <w:top w:val="nil"/>
              <w:left w:val="nil"/>
              <w:bottom w:val="nil"/>
              <w:right w:val="nil"/>
            </w:tcBorders>
            <w:shd w:val="clear" w:color="auto" w:fill="FFFFFF"/>
            <w:vAlign w:val="center"/>
          </w:tcPr>
          <w:p w14:paraId="23994DDB">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b w:val="0"/>
                <w:color w:val="000000"/>
              </w:rPr>
            </w:pPr>
            <w:r>
              <w:rPr>
                <w:rFonts w:hint="eastAsia"/>
                <w:b w:val="0"/>
                <w:color w:val="000000"/>
              </w:rPr>
              <w:t>遥测ADC</w:t>
            </w:r>
          </w:p>
        </w:tc>
        <w:tc>
          <w:tcPr>
            <w:tcW w:w="3647" w:type="pct"/>
            <w:tcBorders>
              <w:top w:val="nil"/>
              <w:left w:val="nil"/>
              <w:bottom w:val="nil"/>
              <w:right w:val="nil"/>
            </w:tcBorders>
            <w:shd w:val="clear" w:color="auto" w:fill="FFFFFF"/>
            <w:vAlign w:val="center"/>
          </w:tcPr>
          <w:p w14:paraId="6B0BCEAE">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b w:val="0"/>
                <w:color w:val="000000"/>
              </w:rPr>
            </w:pPr>
            <w:r>
              <w:rPr>
                <w:rFonts w:hint="eastAsia"/>
                <w:b w:val="0"/>
                <w:color w:val="000000"/>
              </w:rPr>
              <w:t>INA219，26V/12-bit，50Hz上报。</w:t>
            </w:r>
          </w:p>
        </w:tc>
      </w:tr>
      <w:tr w14:paraId="48DCB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rPr>
          <w:jc w:val="center"/>
        </w:trPr>
        <w:tc>
          <w:tcPr>
            <w:tcW w:w="511" w:type="pct"/>
            <w:vMerge w:val="restart"/>
            <w:tcBorders>
              <w:top w:val="nil"/>
              <w:left w:val="nil"/>
              <w:bottom w:val="nil"/>
              <w:right w:val="nil"/>
            </w:tcBorders>
            <w:shd w:val="clear" w:color="auto" w:fill="FFFFFF"/>
            <w:vAlign w:val="center"/>
          </w:tcPr>
          <w:p w14:paraId="3A5E94C3">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b w:val="0"/>
                <w:color w:val="000000"/>
              </w:rPr>
            </w:pPr>
            <w:r>
              <w:rPr>
                <w:rFonts w:hint="eastAsia"/>
                <w:b w:val="0"/>
                <w:color w:val="000000"/>
              </w:rPr>
              <w:t>系统可靠性</w:t>
            </w:r>
          </w:p>
        </w:tc>
        <w:tc>
          <w:tcPr>
            <w:tcW w:w="840" w:type="pct"/>
            <w:tcBorders>
              <w:top w:val="nil"/>
              <w:left w:val="nil"/>
              <w:bottom w:val="nil"/>
              <w:right w:val="nil"/>
            </w:tcBorders>
            <w:shd w:val="clear" w:color="auto" w:fill="FFFFFF"/>
            <w:vAlign w:val="center"/>
          </w:tcPr>
          <w:p w14:paraId="132FBC50">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b w:val="0"/>
                <w:color w:val="000000"/>
              </w:rPr>
            </w:pPr>
            <w:r>
              <w:rPr>
                <w:rFonts w:hint="eastAsia"/>
                <w:b w:val="0"/>
                <w:color w:val="000000"/>
              </w:rPr>
              <w:t>通信急停</w:t>
            </w:r>
          </w:p>
        </w:tc>
        <w:tc>
          <w:tcPr>
            <w:tcW w:w="3647" w:type="pct"/>
            <w:tcBorders>
              <w:top w:val="nil"/>
              <w:left w:val="nil"/>
              <w:bottom w:val="nil"/>
              <w:right w:val="nil"/>
            </w:tcBorders>
            <w:shd w:val="clear" w:color="auto" w:fill="FFFFFF"/>
            <w:vAlign w:val="center"/>
          </w:tcPr>
          <w:p w14:paraId="685B7B73">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b w:val="0"/>
                <w:color w:val="000000"/>
              </w:rPr>
            </w:pPr>
            <w:r>
              <w:rPr>
                <w:rFonts w:hint="eastAsia"/>
                <w:b w:val="0"/>
                <w:color w:val="000000"/>
              </w:rPr>
              <w:t>921600bps，超时500ms急停。</w:t>
            </w:r>
          </w:p>
        </w:tc>
      </w:tr>
      <w:tr w14:paraId="42B50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8" w:type="dxa"/>
            <w:bottom w:w="100" w:type="dxa"/>
            <w:right w:w="108" w:type="dxa"/>
          </w:tblCellMar>
        </w:tblPrEx>
        <w:trPr>
          <w:trHeight w:val="659" w:hRule="atLeast"/>
          <w:jc w:val="center"/>
        </w:trPr>
        <w:tc>
          <w:tcPr>
            <w:tcW w:w="511" w:type="pct"/>
            <w:vMerge w:val="continue"/>
            <w:tcBorders>
              <w:top w:val="nil"/>
              <w:left w:val="nil"/>
              <w:bottom w:val="single" w:color="000000" w:sz="12" w:space="0"/>
              <w:right w:val="nil"/>
            </w:tcBorders>
            <w:shd w:val="clear" w:color="auto" w:fill="FFFFFF"/>
            <w:vAlign w:val="center"/>
          </w:tcPr>
          <w:p w14:paraId="7A5CFEE9">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b w:val="0"/>
                <w:color w:val="000000"/>
              </w:rPr>
            </w:pPr>
          </w:p>
        </w:tc>
        <w:tc>
          <w:tcPr>
            <w:tcW w:w="840" w:type="pct"/>
            <w:tcBorders>
              <w:top w:val="nil"/>
              <w:left w:val="nil"/>
              <w:bottom w:val="single" w:color="000000" w:sz="12" w:space="0"/>
              <w:right w:val="nil"/>
            </w:tcBorders>
            <w:shd w:val="clear" w:color="auto" w:fill="FFFFFF"/>
            <w:vAlign w:val="center"/>
          </w:tcPr>
          <w:p w14:paraId="4BE2B344">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b w:val="0"/>
                <w:color w:val="000000"/>
              </w:rPr>
            </w:pPr>
            <w:r>
              <w:rPr>
                <w:rFonts w:hint="eastAsia"/>
                <w:b w:val="0"/>
                <w:color w:val="000000"/>
              </w:rPr>
              <w:t>OTA回滚</w:t>
            </w:r>
          </w:p>
        </w:tc>
        <w:tc>
          <w:tcPr>
            <w:tcW w:w="3647" w:type="pct"/>
            <w:tcBorders>
              <w:top w:val="nil"/>
              <w:left w:val="nil"/>
              <w:bottom w:val="single" w:color="000000" w:sz="12" w:space="0"/>
              <w:right w:val="nil"/>
            </w:tcBorders>
            <w:shd w:val="clear" w:color="auto" w:fill="FFFFFF"/>
            <w:vAlign w:val="center"/>
          </w:tcPr>
          <w:p w14:paraId="440CCAAB">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b w:val="0"/>
                <w:color w:val="000000"/>
              </w:rPr>
            </w:pPr>
            <w:r>
              <w:rPr>
                <w:rFonts w:hint="eastAsia"/>
                <w:b w:val="0"/>
                <w:color w:val="000000"/>
              </w:rPr>
              <w:t>W25Q64，Y-Modem升级，三次回滚。</w:t>
            </w:r>
          </w:p>
        </w:tc>
      </w:tr>
    </w:tbl>
    <w:p w14:paraId="594A2E9E">
      <w:pPr>
        <w:pStyle w:val="3"/>
        <w:numPr>
          <w:ilvl w:val="1"/>
          <w:numId w:val="1"/>
        </w:numPr>
        <w:bidi w:val="0"/>
      </w:pPr>
      <w:r>
        <w:rPr>
          <w:rFonts w:hint="eastAsia"/>
        </w:rPr>
        <w:t>主要创新点</w:t>
      </w:r>
    </w:p>
    <w:p w14:paraId="266F280B">
      <w:pPr>
        <w:bidi w:val="0"/>
        <w:rPr>
          <w:rFonts w:hint="eastAsia"/>
        </w:rPr>
      </w:pPr>
      <w:r>
        <w:rPr>
          <w:rFonts w:hint="eastAsia"/>
        </w:rPr>
        <w:t>创新点一：端侧多模态 Agent 与 RAG 融合。系统将 Qwen3-VL、工具调用和本地安全标准知识库集成在 RK3588 上，使巡检从“定点拍照”升级为“自主观察、检索对照、语义研判”的闭环。</w:t>
      </w:r>
    </w:p>
    <w:p w14:paraId="47766ACE">
      <w:pPr>
        <w:bidi w:val="0"/>
        <w:rPr>
          <w:rFonts w:hint="eastAsia"/>
        </w:rPr>
      </w:pPr>
      <w:r>
        <w:rPr>
          <w:rFonts w:hint="eastAsia"/>
        </w:rPr>
        <w:t>创新点二：硬件级供电隔离与低功耗周期巡检。STM32 通过 PMOS 直接控制算力平台电源，通信异常时可独立断电重启；巡检结束后进入 STOP 休眠，并由 RTC 定时唤醒。</w:t>
      </w:r>
    </w:p>
    <w:p w14:paraId="18FFEC24">
      <w:pPr>
        <w:bidi w:val="0"/>
      </w:pPr>
      <w:r>
        <w:rPr>
          <w:rFonts w:hint="eastAsia"/>
        </w:rPr>
        <w:t>创新点三：面向阿克曼底盘的全栈闭环。系统同时优化 ROS2 规划控制、STM32 实时 PID 和 Bootloader 回滚升级，覆盖“规划-控制-执行-运维”全过程。</w:t>
      </w:r>
    </w:p>
    <w:p w14:paraId="391AECCC">
      <w:pPr>
        <w:pStyle w:val="3"/>
        <w:numPr>
          <w:ilvl w:val="1"/>
          <w:numId w:val="1"/>
        </w:numPr>
        <w:bidi w:val="0"/>
      </w:pPr>
      <w:r>
        <w:rPr>
          <w:rFonts w:hint="eastAsia"/>
        </w:rPr>
        <w:t>设计流程</w:t>
      </w:r>
    </w:p>
    <w:p w14:paraId="0AECFD29">
      <w:pPr>
        <w:bidi w:val="0"/>
      </w:pPr>
      <w:r>
        <w:t>硬件与底层开发：首先完成定制 PCB 底板的设计，编写 STM32 运动学闭环控制（高频 IMU 与多路 PID），并打通关键的 SW3518S 快充诱骗与防砖 OTA 机制。</w:t>
      </w:r>
    </w:p>
    <w:p w14:paraId="39B41504">
      <w:pPr>
        <w:bidi w:val="0"/>
        <w:rPr>
          <w:rFonts w:hint="default"/>
          <w:lang w:val="en-US"/>
        </w:rPr>
      </w:pPr>
      <w:r>
        <w:rPr>
          <w:rFonts w:hint="default"/>
          <w:lang w:val="en-US"/>
        </w:rPr>
        <w:drawing>
          <wp:anchor distT="0" distB="0" distL="114300" distR="114300" simplePos="0" relativeHeight="251669504" behindDoc="0" locked="0" layoutInCell="1" allowOverlap="1">
            <wp:simplePos x="0" y="0"/>
            <wp:positionH relativeFrom="column">
              <wp:posOffset>-137160</wp:posOffset>
            </wp:positionH>
            <wp:positionV relativeFrom="paragraph">
              <wp:posOffset>937260</wp:posOffset>
            </wp:positionV>
            <wp:extent cx="5748020" cy="3233420"/>
            <wp:effectExtent l="0" t="0" r="12700" b="12700"/>
            <wp:wrapSquare wrapText="bothSides"/>
            <wp:docPr id="24" name="图片 24" descr="2fc62840ea3b48a0997062abc7366e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2fc62840ea3b48a0997062abc7366e0f"/>
                    <pic:cNvPicPr>
                      <a:picLocks noChangeAspect="1"/>
                    </pic:cNvPicPr>
                  </pic:nvPicPr>
                  <pic:blipFill>
                    <a:blip r:embed="rId15"/>
                    <a:stretch>
                      <a:fillRect/>
                    </a:stretch>
                  </pic:blipFill>
                  <pic:spPr>
                    <a:xfrm>
                      <a:off x="0" y="0"/>
                      <a:ext cx="5748020" cy="3233420"/>
                    </a:xfrm>
                    <a:prstGeom prst="rect">
                      <a:avLst/>
                    </a:prstGeom>
                  </pic:spPr>
                </pic:pic>
              </a:graphicData>
            </a:graphic>
          </wp:anchor>
        </w:drawing>
      </w:r>
      <w:r>
        <w:t>导航与 AI 融合：在 RK3588 部署 ROS2 Nav2，针对阿克曼特性调优混合 A* 算法。随后，利用 NPU 加速部署 Qwen3-VL 与轻量化 RAG，通过封装 &lt;tool_call&gt; 接口，实现 ROS2 导航事件与视觉大脑的无缝交互。</w:t>
      </w:r>
    </w:p>
    <w:p w14:paraId="651208DE">
      <w:pPr>
        <w:pStyle w:val="18"/>
        <w:bidi w:val="0"/>
        <w:rPr>
          <w:rFonts w:hint="default" w:eastAsia="宋体"/>
          <w:lang w:val="en-US" w:eastAsia="zh-CN"/>
        </w:rPr>
      </w:pPr>
      <w:r>
        <w:t>图</w:t>
      </w:r>
      <w:r>
        <w:rPr>
          <w:rFonts w:hint="eastAsia"/>
          <w:lang w:val="en-US" w:eastAsia="zh-CN"/>
        </w:rPr>
        <w:t>1.4</w:t>
      </w:r>
      <w:r>
        <w:t xml:space="preserve"> </w:t>
      </w:r>
      <w:r>
        <w:rPr>
          <w:rFonts w:hint="eastAsia"/>
          <w:lang w:val="en-US" w:eastAsia="zh-CN"/>
        </w:rPr>
        <w:t>LLM部署板卡流程</w:t>
      </w:r>
    </w:p>
    <w:p w14:paraId="39C61E0F">
      <w:pPr>
        <w:bidi w:val="0"/>
        <w:ind w:firstLine="3403" w:firstLineChars="1418"/>
      </w:pPr>
    </w:p>
    <w:p w14:paraId="3954652E">
      <w:pPr>
        <w:bidi w:val="0"/>
      </w:pPr>
      <w:r>
        <w:t>联调验证：最终在模拟厂区中进行软硬联合压测，彻底验证小车的长途定点巡航能力与无网环境下的零样本异常研判精度。</w:t>
      </w:r>
    </w:p>
    <w:p w14:paraId="6B0D7971">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pPr>
    </w:p>
    <w:p w14:paraId="2D5FB0B8">
      <w:pPr>
        <w:keepNext w:val="0"/>
        <w:keepLines w:val="0"/>
        <w:pageBreakBefore w:val="0"/>
        <w:widowControl w:val="0"/>
        <w:kinsoku/>
        <w:wordWrap/>
        <w:overflowPunct/>
        <w:topLinePunct w:val="0"/>
        <w:autoSpaceDE/>
        <w:autoSpaceDN/>
        <w:bidi w:val="0"/>
        <w:adjustRightInd/>
        <w:snapToGrid/>
        <w:spacing w:before="0" w:after="0" w:line="240" w:lineRule="auto"/>
        <w:ind w:firstLine="0" w:firstLineChars="0"/>
        <w:jc w:val="center"/>
        <w:textAlignment w:val="auto"/>
      </w:pPr>
      <w:r>
        <w:drawing>
          <wp:inline distT="0" distB="0" distL="114300" distR="114300">
            <wp:extent cx="5579745" cy="2785110"/>
            <wp:effectExtent l="0" t="0" r="0" b="0"/>
            <wp:docPr id="1" name="设计流程图" descr="设计流程图"/>
            <wp:cNvGraphicFramePr/>
            <a:graphic xmlns:a="http://schemas.openxmlformats.org/drawingml/2006/main">
              <a:graphicData uri="http://schemas.openxmlformats.org/drawingml/2006/picture">
                <pic:pic xmlns:pic="http://schemas.openxmlformats.org/drawingml/2006/picture">
                  <pic:nvPicPr>
                    <pic:cNvPr id="1" name="设计流程图" descr="设计流程图"/>
                    <pic:cNvPicPr/>
                  </pic:nvPicPr>
                  <pic:blipFill>
                    <a:blip r:embed="rId16"/>
                    <a:srcRect t="16932"/>
                    <a:stretch>
                      <a:fillRect/>
                    </a:stretch>
                  </pic:blipFill>
                  <pic:spPr>
                    <a:xfrm>
                      <a:off x="0" y="0"/>
                      <a:ext cx="5580000" cy="2785110"/>
                    </a:xfrm>
                    <a:prstGeom prst="rect">
                      <a:avLst/>
                    </a:prstGeom>
                  </pic:spPr>
                </pic:pic>
              </a:graphicData>
            </a:graphic>
          </wp:inline>
        </w:drawing>
      </w:r>
    </w:p>
    <w:p w14:paraId="16E51D88">
      <w:pPr>
        <w:pStyle w:val="18"/>
        <w:bidi w:val="0"/>
      </w:pPr>
      <w:r>
        <w:t>图</w:t>
      </w:r>
      <w:r>
        <w:rPr>
          <w:rFonts w:hint="eastAsia"/>
          <w:lang w:val="en-US" w:eastAsia="zh-CN"/>
        </w:rPr>
        <w:t>1.5</w:t>
      </w:r>
      <w:r>
        <w:t xml:space="preserve"> 设计流程图</w:t>
      </w:r>
    </w:p>
    <w:p w14:paraId="45BEE547">
      <w:pPr>
        <w:pStyle w:val="2"/>
        <w:bidi w:val="0"/>
        <w:rPr>
          <w:rFonts w:ascii="Times New Roman" w:hAnsi="Times New Roman" w:eastAsia="宋体" w:cs="Times New Roman"/>
          <w:b/>
        </w:rPr>
      </w:pPr>
      <w:r>
        <w:rPr>
          <w:rFonts w:hint="eastAsia"/>
        </w:rPr>
        <w:t>第二部分 系统组成及功能说明</w:t>
      </w:r>
    </w:p>
    <w:p w14:paraId="7A28E5CD">
      <w:pPr>
        <w:pStyle w:val="3"/>
        <w:bidi w:val="0"/>
      </w:pPr>
      <w:r>
        <w:rPr>
          <w:rFonts w:hint="eastAsia"/>
          <w:lang w:val="en-US" w:eastAsia="zh-CN"/>
        </w:rPr>
        <w:t>2.1</w:t>
      </w:r>
      <w:r>
        <w:rPr>
          <w:rFonts w:hint="eastAsia"/>
        </w:rPr>
        <w:t>整体介绍</w:t>
      </w:r>
    </w:p>
    <w:p w14:paraId="29D39E5F">
      <w:r>
        <w:rPr>
          <w:rFonts w:ascii="Times New Roman" w:hAnsi="Times New Roman" w:eastAsia="宋体"/>
          <w:sz w:val="24"/>
          <w:szCs w:val="24"/>
        </w:rPr>
        <w:t>本巡检小车系统基于阿克曼（Ackermann）转向结构构建，整体架构采用上位机（边缘计算节点）+ 下位机（运动控制底板）的设计。系统通过 PD 供电网络与串口通信，实现底层硬件控制与上层环境感知算法的协同。各子系统详细设计参见后续章节：上位机 ROS 层与智能决策层详见 2.3.2 节，下位机供电与运动控制详见 2.2.3 节和 2.3.2(六)。</w:t>
      </w:r>
    </w:p>
    <w:p w14:paraId="5F50D3B2">
      <w:pPr>
        <w:spacing w:before="120" w:after="120"/>
        <w:jc w:val="center"/>
      </w:pPr>
      <w:r>
        <w:drawing>
          <wp:inline distT="0" distB="0" distL="114300" distR="114300">
            <wp:extent cx="4859655" cy="5615305"/>
            <wp:effectExtent l="0" t="0" r="0" b="0"/>
            <wp:docPr id="2" name="系统架构图" descr="系统架构图"/>
            <wp:cNvGraphicFramePr/>
            <a:graphic xmlns:a="http://schemas.openxmlformats.org/drawingml/2006/main">
              <a:graphicData uri="http://schemas.openxmlformats.org/drawingml/2006/picture">
                <pic:pic xmlns:pic="http://schemas.openxmlformats.org/drawingml/2006/picture">
                  <pic:nvPicPr>
                    <pic:cNvPr id="2" name="系统架构图" descr="系统架构图"/>
                    <pic:cNvPicPr/>
                  </pic:nvPicPr>
                  <pic:blipFill>
                    <a:blip r:embed="rId17"/>
                    <a:stretch>
                      <a:fillRect/>
                    </a:stretch>
                  </pic:blipFill>
                  <pic:spPr>
                    <a:xfrm>
                      <a:off x="0" y="0"/>
                      <a:ext cx="4860000" cy="5615533"/>
                    </a:xfrm>
                    <a:prstGeom prst="rect">
                      <a:avLst/>
                    </a:prstGeom>
                  </pic:spPr>
                </pic:pic>
              </a:graphicData>
            </a:graphic>
          </wp:inline>
        </w:drawing>
      </w:r>
    </w:p>
    <w:p w14:paraId="34EF55A1">
      <w:pPr>
        <w:pStyle w:val="18"/>
        <w:bidi w:val="0"/>
      </w:pPr>
      <w:r>
        <w:t>图</w:t>
      </w:r>
      <w:r>
        <w:rPr>
          <w:rFonts w:hint="eastAsia"/>
          <w:lang w:val="en-US" w:eastAsia="zh-CN"/>
        </w:rPr>
        <w:t>2.1</w:t>
      </w:r>
      <w:r>
        <w:t xml:space="preserve"> 系统整体架构图</w:t>
      </w:r>
    </w:p>
    <w:p w14:paraId="4D38DC5C">
      <w:r>
        <w:rPr>
          <w:rFonts w:ascii="Times New Roman" w:hAnsi="Times New Roman" w:eastAsia="宋体"/>
          <w:sz w:val="24"/>
          <w:szCs w:val="24"/>
        </w:rPr>
        <w:t>各核心子系统及连线交互说明：</w:t>
      </w:r>
    </w:p>
    <w:p w14:paraId="41C6AFD0">
      <w:pPr>
        <w:bidi w:val="0"/>
      </w:pPr>
      <w:r>
        <w:t>1. 下位机系统（以 STM32G431 为核心的星形拓扑底板）——下位机主要负责底层硬件调度与实时控制。系统采用星形拓扑架构直接管理各项底盘外围模块（硬件电路详述见 2.2.3 节，嵌入式软件详述见 2.3.2(六)）：</w:t>
      </w:r>
    </w:p>
    <w:p w14:paraId="6F882B5E">
      <w:pPr>
        <w:bidi w:val="0"/>
      </w:pPr>
      <w:r>
        <w:rPr>
          <w:rFonts w:hint="eastAsia"/>
          <w:lang w:eastAsia="zh-CN"/>
        </w:rPr>
        <w:t>（</w:t>
      </w:r>
      <w:r>
        <w:rPr>
          <w:rFonts w:hint="eastAsia"/>
          <w:lang w:val="en-US" w:eastAsia="zh-CN"/>
        </w:rPr>
        <w:t>1</w:t>
      </w:r>
      <w:r>
        <w:rPr>
          <w:rFonts w:hint="eastAsia"/>
          <w:lang w:eastAsia="zh-CN"/>
        </w:rPr>
        <w:t>）</w:t>
      </w:r>
      <w:r>
        <w:t>硬件电源管控：动力电池接入主回路，下位机通过物理开关控制快充协议芯片的供电使能，具备主动复位上位机电源的能力。具体电路拓扑与供电时序详见 2.2.3 节智能供电与遥测电路。</w:t>
      </w:r>
    </w:p>
    <w:p w14:paraId="005847BD">
      <w:pPr>
        <w:bidi w:val="0"/>
      </w:pPr>
      <w:r>
        <w:rPr>
          <w:rFonts w:hint="eastAsia"/>
          <w:lang w:eastAsia="zh-CN"/>
        </w:rPr>
        <w:t>（</w:t>
      </w:r>
      <w:r>
        <w:rPr>
          <w:rFonts w:hint="eastAsia"/>
          <w:lang w:val="en-US" w:eastAsia="zh-CN"/>
        </w:rPr>
        <w:t>2</w:t>
      </w:r>
      <w:r>
        <w:rPr>
          <w:rFonts w:hint="eastAsia"/>
          <w:lang w:eastAsia="zh-CN"/>
        </w:rPr>
        <w:t>）</w:t>
      </w:r>
      <w:r>
        <w:t>运动闭环控制：单片机通过硬件定时器与中断获取 IMU 姿态及轮式编码器数据，以 1ms 的控制周期执行 PID 算法，输出 PWM 信号驱动后轮电机与前轮转向舵机。</w:t>
      </w:r>
    </w:p>
    <w:p w14:paraId="2210533E">
      <w:pPr>
        <w:bidi w:val="0"/>
      </w:pPr>
      <w:r>
        <w:rPr>
          <w:rFonts w:hint="eastAsia"/>
          <w:lang w:eastAsia="zh-CN"/>
        </w:rPr>
        <w:t>（</w:t>
      </w:r>
      <w:r>
        <w:rPr>
          <w:rFonts w:hint="eastAsia"/>
          <w:lang w:val="en-US" w:eastAsia="zh-CN"/>
        </w:rPr>
        <w:t>3</w:t>
      </w:r>
      <w:r>
        <w:rPr>
          <w:rFonts w:hint="eastAsia"/>
          <w:lang w:eastAsia="zh-CN"/>
        </w:rPr>
        <w:t>）</w:t>
      </w:r>
      <w:r>
        <w:t>通信与异常处理：单片机通过 921600bps 串口与上位机通信，固件中设计了指令心跳监测机制。当检测到串口通信超时，系统将自动触发急停状态，切断电机动力输出以保障设备安全。</w:t>
      </w:r>
    </w:p>
    <w:p w14:paraId="09DC2451">
      <w:pPr>
        <w:bidi w:val="0"/>
      </w:pPr>
      <w:r>
        <w:t>2. 上位机系统（RK3588 边缘计算大脑）——上位机负责处理多传感器异构数据与执行高级算法，整体划分为两个层次（各层软件实现详见 2.3.2 节）：</w:t>
      </w:r>
    </w:p>
    <w:p w14:paraId="1CE5EA35">
      <w:pPr>
        <w:bidi w:val="0"/>
      </w:pPr>
      <w:r>
        <w:rPr>
          <w:rFonts w:hint="eastAsia"/>
          <w:lang w:eastAsia="zh-CN"/>
        </w:rPr>
        <w:t>（</w:t>
      </w:r>
      <w:r>
        <w:rPr>
          <w:rFonts w:hint="eastAsia"/>
          <w:lang w:val="en-US" w:eastAsia="zh-CN"/>
        </w:rPr>
        <w:t>1</w:t>
      </w:r>
      <w:r>
        <w:rPr>
          <w:rFonts w:hint="eastAsia"/>
          <w:lang w:eastAsia="zh-CN"/>
        </w:rPr>
        <w:t>）</w:t>
      </w:r>
      <w:r>
        <w:t>ROS 层（导航与状态监控）：负责路径规划、局部避障与传感器融合。导航栈配置与 FTG 避障实现详见 2.3.2(一)(二)，EKF 融合参数详见 2.3.2(二)。</w:t>
      </w:r>
    </w:p>
    <w:p w14:paraId="206C9366">
      <w:pPr>
        <w:bidi w:val="0"/>
      </w:pPr>
      <w:r>
        <w:rPr>
          <w:rFonts w:hint="eastAsia"/>
          <w:lang w:eastAsia="zh-CN"/>
        </w:rPr>
        <w:t>（</w:t>
      </w:r>
      <w:r>
        <w:rPr>
          <w:rFonts w:hint="eastAsia"/>
          <w:lang w:val="en-US" w:eastAsia="zh-CN"/>
        </w:rPr>
        <w:t>2</w:t>
      </w:r>
      <w:r>
        <w:rPr>
          <w:rFonts w:hint="eastAsia"/>
          <w:lang w:eastAsia="zh-CN"/>
        </w:rPr>
        <w:t>）</w:t>
      </w:r>
      <w:r>
        <w:t>智能决策层（VLM 与 RAG 并列）：该层负责环境理解与业务逻辑处理。大模型推理与 Agent 工具调用机制详见 2.3.2(三)，巡检任务调度与 RAG 检索详见 2.3.2(四)(五)。</w:t>
      </w:r>
    </w:p>
    <w:p w14:paraId="70A229F9">
      <w:pPr>
        <w:bidi w:val="0"/>
      </w:pPr>
      <w:r>
        <w:t>3. 跨系统协同与信息交互流向架构图中的跨层级连线反映了系统在供电与数据传输上的设计逻辑：</w:t>
      </w:r>
    </w:p>
    <w:p w14:paraId="4FB0B5B6">
      <w:pPr>
        <w:bidi w:val="0"/>
      </w:pPr>
      <w:r>
        <w:rPr>
          <w:rFonts w:hint="eastAsia"/>
          <w:lang w:eastAsia="zh-CN"/>
        </w:rPr>
        <w:t>（</w:t>
      </w:r>
      <w:r>
        <w:rPr>
          <w:rFonts w:hint="eastAsia"/>
          <w:lang w:val="en-US" w:eastAsia="zh-CN"/>
        </w:rPr>
        <w:t>1</w:t>
      </w:r>
      <w:r>
        <w:rPr>
          <w:rFonts w:hint="eastAsia"/>
          <w:lang w:eastAsia="zh-CN"/>
        </w:rPr>
        <w:t>）</w:t>
      </w:r>
      <w:r>
        <w:t>供电隔离（红/橙线）：电池电源（橙线）经单片机使能 PMOS 后，由快充协议</w:t>
      </w:r>
      <w:r>
        <w:rPr>
          <w:rFonts w:hint="eastAsia"/>
          <w:lang w:val="en-US" w:eastAsia="zh-CN"/>
        </w:rPr>
        <w:t>芯片SW3518S控制同步buck的上下MOS</w:t>
      </w:r>
      <w:r>
        <w:t>输出 12V PD 供电（红线，最大支持 100W）至上位机。此设计将电机的供电波动与计算主板在物理层面上进行了隔离。</w:t>
      </w:r>
    </w:p>
    <w:p w14:paraId="0F23FA93">
      <w:pPr>
        <w:bidi w:val="0"/>
      </w:pPr>
      <w:r>
        <w:rPr>
          <w:rFonts w:hint="eastAsia"/>
          <w:lang w:eastAsia="zh-CN"/>
        </w:rPr>
        <w:t>（</w:t>
      </w:r>
      <w:r>
        <w:rPr>
          <w:rFonts w:hint="eastAsia"/>
          <w:lang w:val="en-US" w:eastAsia="zh-CN"/>
        </w:rPr>
        <w:t>2</w:t>
      </w:r>
      <w:r>
        <w:rPr>
          <w:rFonts w:hint="eastAsia"/>
          <w:lang w:eastAsia="zh-CN"/>
        </w:rPr>
        <w:t>）</w:t>
      </w:r>
      <w:r>
        <w:t>上行数据拆分（蓝线）：STM32 通过串口打包上报的数据帧，在上位机侧被解析并分配至相应计算节点：</w:t>
      </w:r>
    </w:p>
    <w:p w14:paraId="51B06540">
      <w:pPr>
        <w:bidi w:val="0"/>
      </w:pPr>
      <w:r>
        <w:t>IMU 与编码器 (ENC) 数据接入 EKF 模块，用于融合计算高频里程计（Odom）；</w:t>
      </w:r>
    </w:p>
    <w:p w14:paraId="1F55A5E0">
      <w:pPr>
        <w:bidi w:val="0"/>
      </w:pPr>
      <w:r>
        <w:t>电池状态 (BATT) 与实时时钟 (RTC) 数据被发送至系统监控节点进行状态记录；</w:t>
      </w:r>
    </w:p>
    <w:p w14:paraId="36ECD195">
      <w:pPr>
        <w:bidi w:val="0"/>
      </w:pPr>
      <w:r>
        <w:t>底盘控制状态 (CTRL) 与偏航角 (YAW) 状态量反馈给 Nav 导航栈用于闭环控制参考。</w:t>
      </w:r>
    </w:p>
    <w:p w14:paraId="56D86CC5">
      <w:pPr>
        <w:bidi w:val="0"/>
      </w:pPr>
      <w:r>
        <w:rPr>
          <w:rFonts w:hint="eastAsia"/>
          <w:lang w:val="en-US" w:eastAsia="zh-CN"/>
        </w:rPr>
        <w:t>(3)</w:t>
      </w:r>
      <w:r>
        <w:t>下行控制流（紫线）：ROS 层在确认路径规划无碰撞风险后，输出速度指令 cmd_vel 至底板单片机，并经由底层 PID 控制器转化为实际的车轮转速，形成完整的软硬件控制闭环。</w:t>
      </w:r>
    </w:p>
    <w:p w14:paraId="261F8069">
      <w:pPr>
        <w:pStyle w:val="3"/>
        <w:bidi w:val="0"/>
      </w:pPr>
      <w:r>
        <w:rPr>
          <w:rFonts w:hint="eastAsia"/>
          <w:lang w:val="en-US" w:eastAsia="zh-CN"/>
        </w:rPr>
        <w:t>2.2</w:t>
      </w:r>
      <w:r>
        <w:rPr>
          <w:rFonts w:hint="eastAsia"/>
        </w:rPr>
        <w:t>硬件系统介绍</w:t>
      </w:r>
    </w:p>
    <w:p w14:paraId="218DF7B7">
      <w:pPr>
        <w:pStyle w:val="4"/>
        <w:bidi w:val="0"/>
      </w:pPr>
      <w:r>
        <w:rPr>
          <w:rFonts w:hint="eastAsia"/>
        </w:rPr>
        <w:t>2.2.1</w:t>
      </w:r>
      <w:r>
        <w:t xml:space="preserve"> </w:t>
      </w:r>
      <w:r>
        <w:rPr>
          <w:rFonts w:hint="eastAsia"/>
        </w:rPr>
        <w:t>硬件整体介绍；</w:t>
      </w:r>
    </w:p>
    <w:p w14:paraId="52EBAB87">
      <w:pPr>
        <w:bidi w:val="0"/>
      </w:pPr>
      <w:r>
        <w:t>本智能巡检小车的硬件系统采用分布式解耦架构，主要由边缘计算主板（上位机）、自制嵌入式主控底板（下位机）、多模态传感器组以及阿克曼底盘动力系统四大模块构成。各硬件部分职责明确、物理隔离，为高阶自动驾驶与端侧 AI 大模型推理提供了稳健的物理基础。</w:t>
      </w:r>
    </w:p>
    <w:p w14:paraId="009105E4">
      <w:pPr>
        <w:bidi w:val="0"/>
      </w:pPr>
      <w:r>
        <w:rPr>
          <w:rFonts w:hint="eastAsia"/>
          <w:lang w:eastAsia="zh-CN"/>
        </w:rPr>
        <w:t>（</w:t>
      </w:r>
      <w:r>
        <w:rPr>
          <w:rFonts w:hint="eastAsia"/>
          <w:lang w:val="en-US" w:eastAsia="zh-CN"/>
        </w:rPr>
        <w:t>一</w:t>
      </w:r>
      <w:r>
        <w:rPr>
          <w:rFonts w:hint="eastAsia"/>
          <w:lang w:eastAsia="zh-CN"/>
        </w:rPr>
        <w:t>）</w:t>
      </w:r>
      <w:r>
        <w:t>核心处理单元</w:t>
      </w:r>
    </w:p>
    <w:p w14:paraId="75BE5EB7">
      <w:pPr>
        <w:bidi w:val="0"/>
      </w:pPr>
      <w:r>
        <w:t>边缘计算算力板（上位机）：搭载飞凌嵌入式的 ELF2 核心板（基于 RK3588 处理器），集成 4 核 Cortex-A76 与 4 核 Cortex-A55 CPU 架构，并内置具备 6 TOPS 推理算力的独立 NPU。该核心板提供工业级稳定性的同时，具备强大的并行计算与深度学习加速能力，专用于运行 ROS2 导航算法栈及 Qwen3-VL 等视觉大模型。</w:t>
      </w:r>
    </w:p>
    <w:p w14:paraId="6D533AD6">
      <w:pPr>
        <w:bidi w:val="0"/>
        <w:ind w:firstLine="897" w:firstLineChars="374"/>
        <w:rPr>
          <w:rStyle w:val="19"/>
          <w:rFonts w:hint="default"/>
          <w:lang w:val="en-US"/>
        </w:rPr>
      </w:pPr>
      <w:r>
        <w:rPr>
          <w:rFonts w:hint="eastAsia" w:eastAsia="宋体"/>
          <w:lang w:eastAsia="zh-CN"/>
        </w:rPr>
        <w:drawing>
          <wp:anchor distT="0" distB="0" distL="114300" distR="114300" simplePos="0" relativeHeight="251675648" behindDoc="0" locked="0" layoutInCell="1" allowOverlap="1">
            <wp:simplePos x="0" y="0"/>
            <wp:positionH relativeFrom="column">
              <wp:posOffset>731520</wp:posOffset>
            </wp:positionH>
            <wp:positionV relativeFrom="paragraph">
              <wp:posOffset>30480</wp:posOffset>
            </wp:positionV>
            <wp:extent cx="4187190" cy="2566670"/>
            <wp:effectExtent l="0" t="0" r="3810" b="8890"/>
            <wp:wrapTopAndBottom/>
            <wp:docPr id="29" name="图片 29" desc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R"/>
                    <pic:cNvPicPr>
                      <a:picLocks noChangeAspect="1"/>
                    </pic:cNvPicPr>
                  </pic:nvPicPr>
                  <pic:blipFill>
                    <a:blip r:embed="rId18"/>
                    <a:stretch>
                      <a:fillRect/>
                    </a:stretch>
                  </pic:blipFill>
                  <pic:spPr>
                    <a:xfrm>
                      <a:off x="0" y="0"/>
                      <a:ext cx="4187190" cy="2566670"/>
                    </a:xfrm>
                    <a:prstGeom prst="rect">
                      <a:avLst/>
                    </a:prstGeom>
                  </pic:spPr>
                </pic:pic>
              </a:graphicData>
            </a:graphic>
          </wp:anchor>
        </w:drawing>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r>
      <w:r>
        <w:rPr>
          <w:rStyle w:val="19"/>
          <w:rFonts w:hint="eastAsia"/>
          <w:lang w:val="en-US" w:eastAsia="zh-CN"/>
        </w:rPr>
        <w:t>图2.</w:t>
      </w:r>
      <w:r>
        <w:rPr>
          <w:rStyle w:val="19"/>
          <w:rFonts w:hint="eastAsia"/>
          <w:lang w:val="en-US" w:eastAsia="zh-CN"/>
        </w:rPr>
        <w:t xml:space="preserve">3 </w:t>
      </w:r>
      <w:r>
        <w:rPr>
          <w:rStyle w:val="19"/>
          <w:rFonts w:hint="eastAsia"/>
          <w:lang w:val="en-US" w:eastAsia="zh-CN"/>
        </w:rPr>
        <w:t xml:space="preserve"> rk3588硬件架构</w:t>
      </w:r>
    </w:p>
    <w:p w14:paraId="76156DEF">
      <w:pPr>
        <w:bidi w:val="0"/>
        <w:rPr>
          <w:rFonts w:hint="eastAsia" w:eastAsia="宋体"/>
          <w:lang w:eastAsia="zh-CN"/>
        </w:rPr>
      </w:pPr>
      <w:r>
        <w:t>实时控制底板（下位机）：采用 STMicroelectronics 生产的 STM32G431 微控制器为核心的自制 PCB 底板。该芯片具备高频率内部总线与丰富的硬件外设（如高分辨率定时器、SPI/I2C 总线等），负责底层传感器的硬实时采集、1ms 周期 PID 闭环运算、通信协议解析以及全域硬件开关使能。</w:t>
      </w:r>
    </w:p>
    <w:p w14:paraId="340CC408">
      <w:pPr>
        <w:bidi w:val="0"/>
      </w:pPr>
      <w:r>
        <w:rPr>
          <w:rFonts w:hint="eastAsia"/>
          <w:lang w:eastAsia="zh-CN"/>
        </w:rPr>
        <w:t>（</w:t>
      </w:r>
      <w:r>
        <w:rPr>
          <w:rFonts w:hint="eastAsia"/>
          <w:lang w:val="en-US" w:eastAsia="zh-CN"/>
        </w:rPr>
        <w:t>二</w:t>
      </w:r>
      <w:r>
        <w:rPr>
          <w:rFonts w:hint="eastAsia"/>
          <w:lang w:eastAsia="zh-CN"/>
        </w:rPr>
        <w:t>）</w:t>
      </w:r>
      <w:r>
        <w:t>传感器配置</w:t>
      </w:r>
    </w:p>
    <w:p w14:paraId="21981BF1">
      <w:pPr>
        <w:bidi w:val="0"/>
      </w:pPr>
      <w:r>
        <w:t>环境感知传感器（接入上位机）：系统顶部搭载 SLLidar 机械式二维激光雷达，用于获取周围环境的二维点云数据，支撑 SLAM 建图与动态避障；车身前方布置有高清车载摄像头，负责采集高分辨率图像流，直接输送至 VLM（视觉大模型）以完成现场目标检测与文本识别。</w:t>
      </w:r>
    </w:p>
    <w:p w14:paraId="301A1019">
      <w:pPr>
        <w:bidi w:val="0"/>
      </w:pPr>
      <w:r>
        <w:t>本体状态传感器（接入下位机）：底板内置 ICM42688 高精度六轴 IMU，支持高频姿态与加速度数据输出；后轮驱动电机尾部集成有高精度霍尔编码器（Hall Encoder），利用霍尔效应实时捕捉转子磁极变化并输出正交脉冲信号，为底盘里程计（Odom）推算与 PID 速度闭环提供核心位移及速度数据；此外，主电源供电回路的采样分流电阻处采用了高精度的四线制开尔文连接接入 INA219 功率监控芯片（内置 12-bit 高精度 ADC），彻底消除了大电流下 PCB 走线寄生电阻带来的误差，从而以 50Hz 的采样频率对系统母线电压、工作电流及电池 SOC（State of Charge）进行极高精度的持续遥测。</w:t>
      </w:r>
    </w:p>
    <w:p w14:paraId="56159125">
      <w:pPr>
        <w:pStyle w:val="18"/>
        <w:bidi w:val="0"/>
        <w:rPr>
          <w:rFonts w:hint="default"/>
          <w:lang w:val="en-US"/>
        </w:rPr>
      </w:pPr>
      <w:r>
        <w:drawing>
          <wp:anchor distT="0" distB="0" distL="114300" distR="114300" simplePos="0" relativeHeight="251676672" behindDoc="0" locked="0" layoutInCell="1" allowOverlap="1">
            <wp:simplePos x="0" y="0"/>
            <wp:positionH relativeFrom="column">
              <wp:posOffset>1333500</wp:posOffset>
            </wp:positionH>
            <wp:positionV relativeFrom="paragraph">
              <wp:posOffset>114935</wp:posOffset>
            </wp:positionV>
            <wp:extent cx="3233420" cy="2794000"/>
            <wp:effectExtent l="0" t="0" r="12700" b="10160"/>
            <wp:wrapTopAndBottom/>
            <wp:docPr id="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pic:cNvPicPr>
                      <a:picLocks noChangeAspect="1"/>
                    </pic:cNvPicPr>
                  </pic:nvPicPr>
                  <pic:blipFill>
                    <a:blip r:embed="rId19"/>
                    <a:stretch>
                      <a:fillRect/>
                    </a:stretch>
                  </pic:blipFill>
                  <pic:spPr>
                    <a:xfrm>
                      <a:off x="0" y="0"/>
                      <a:ext cx="3233420" cy="2794000"/>
                    </a:xfrm>
                    <a:prstGeom prst="rect">
                      <a:avLst/>
                    </a:prstGeom>
                    <a:noFill/>
                    <a:ln>
                      <a:noFill/>
                    </a:ln>
                  </pic:spPr>
                </pic:pic>
              </a:graphicData>
            </a:graphic>
          </wp:anchor>
        </w:drawing>
      </w:r>
      <w:r>
        <w:rPr>
          <w:rFonts w:hint="eastAsia"/>
          <w:lang w:val="en-US" w:eastAsia="zh-CN"/>
        </w:rPr>
        <w:t>图2.4  INA219开尔文走线</w:t>
      </w:r>
    </w:p>
    <w:p w14:paraId="125A5EE2">
      <w:pPr>
        <w:bidi w:val="0"/>
        <w:ind w:firstLine="2985" w:firstLineChars="1244"/>
        <w:rPr>
          <w:rFonts w:hint="eastAsia"/>
          <w:lang w:eastAsia="zh-CN"/>
        </w:rPr>
      </w:pPr>
    </w:p>
    <w:p w14:paraId="0D4DEA13">
      <w:pPr>
        <w:bidi w:val="0"/>
        <w:rPr>
          <w:rFonts w:hint="eastAsia"/>
          <w:lang w:eastAsia="zh-CN"/>
        </w:rPr>
      </w:pPr>
    </w:p>
    <w:p w14:paraId="0BD520AF">
      <w:pPr>
        <w:bidi w:val="0"/>
      </w:pPr>
      <w:r>
        <w:rPr>
          <w:rFonts w:hint="eastAsia"/>
          <w:lang w:eastAsia="zh-CN"/>
        </w:rPr>
        <w:t>（</w:t>
      </w:r>
      <w:r>
        <w:rPr>
          <w:rFonts w:hint="eastAsia"/>
          <w:lang w:val="en-US" w:eastAsia="zh-CN"/>
        </w:rPr>
        <w:t>三</w:t>
      </w:r>
      <w:r>
        <w:rPr>
          <w:rFonts w:hint="eastAsia"/>
          <w:lang w:eastAsia="zh-CN"/>
        </w:rPr>
        <w:t>）</w:t>
      </w:r>
      <w:r>
        <w:t>动力与底盘机构</w:t>
      </w:r>
    </w:p>
    <w:p w14:paraId="7031FACE">
      <w:pPr>
        <w:bidi w:val="0"/>
      </w:pPr>
      <w:r>
        <w:t>阿克曼底盘系统：采用前轮转向、后轮驱动的阿克曼（Ackermann）机械结构。相较于差速驱动底盘，该结构具备更高的行驶稳定性和载重能力，符合长距离户外厂区巡检的工程需求。</w:t>
      </w:r>
    </w:p>
    <w:p w14:paraId="14E93A7F">
      <w:pPr>
        <w:bidi w:val="0"/>
      </w:pPr>
      <w:r>
        <w:t>驱动与执行器：底板集成了 AT8236 电机驱动芯片，配合 STM32 输出的高频 PWM 信号负责后轮直流电机的闭环调速；前轮转向机构采用独立的高精度伺服舵机控制，以实现精准的转向角度跟踪。</w:t>
      </w:r>
    </w:p>
    <w:p w14:paraId="193F604A">
      <w:pPr>
        <w:pStyle w:val="18"/>
        <w:bidi w:val="0"/>
        <w:rPr>
          <w:rFonts w:hint="default"/>
          <w:lang w:val="en-US"/>
        </w:rPr>
      </w:pPr>
      <w:r>
        <w:rPr>
          <w:rFonts w:hint="eastAsia"/>
        </w:rPr>
        <w:t>图2.</w:t>
      </w:r>
      <w:r>
        <w:drawing>
          <wp:anchor distT="0" distB="0" distL="114300" distR="114300" simplePos="0" relativeHeight="251677696" behindDoc="0" locked="0" layoutInCell="1" allowOverlap="1">
            <wp:simplePos x="0" y="0"/>
            <wp:positionH relativeFrom="column">
              <wp:posOffset>-198120</wp:posOffset>
            </wp:positionH>
            <wp:positionV relativeFrom="paragraph">
              <wp:posOffset>175260</wp:posOffset>
            </wp:positionV>
            <wp:extent cx="5758815" cy="3655060"/>
            <wp:effectExtent l="0" t="0" r="1905" b="2540"/>
            <wp:wrapTopAndBottom/>
            <wp:docPr id="31" name="图片 31" descr="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R (1)"/>
                    <pic:cNvPicPr>
                      <a:picLocks noChangeAspect="1"/>
                    </pic:cNvPicPr>
                  </pic:nvPicPr>
                  <pic:blipFill>
                    <a:blip r:embed="rId20"/>
                    <a:stretch>
                      <a:fillRect/>
                    </a:stretch>
                  </pic:blipFill>
                  <pic:spPr>
                    <a:xfrm>
                      <a:off x="0" y="0"/>
                      <a:ext cx="5758815" cy="3655060"/>
                    </a:xfrm>
                    <a:prstGeom prst="rect">
                      <a:avLst/>
                    </a:prstGeom>
                  </pic:spPr>
                </pic:pic>
              </a:graphicData>
            </a:graphic>
          </wp:anchor>
        </w:drawing>
      </w:r>
      <w:r>
        <w:rPr>
          <w:rFonts w:hint="eastAsia"/>
          <w:lang w:val="en-US" w:eastAsia="zh-CN"/>
        </w:rPr>
        <w:t>5  AT8236</w:t>
      </w:r>
    </w:p>
    <w:p w14:paraId="70301EF8">
      <w:pPr>
        <w:numPr>
          <w:ilvl w:val="0"/>
          <w:numId w:val="2"/>
        </w:numPr>
        <w:bidi w:val="0"/>
      </w:pPr>
      <w:r>
        <w:t>智能电源管理系统</w:t>
      </w:r>
    </w:p>
    <w:p w14:paraId="461F4D08">
      <w:pPr>
        <w:bidi w:val="0"/>
      </w:pPr>
      <w:r>
        <w:t>系统设计了具备高度自愈能力的软硬件电源隔离链路。动力电池组作为全车唯一能量源，经由 PMOS 物理开关接入底板。当单片机导通 PMOS 后，快充协议芯片与上位机完成 PD 握手并输出 12V 供电。此硬件级隔离不仅消除了电机瞬态电压波动，更赋予下位机独立于上位机操作系统的物理级断电复位能力。具体电路拓扑、芯片选型与供电时序详见 2.2.3 节智能供电与遥测电路。</w:t>
      </w:r>
    </w:p>
    <w:p w14:paraId="45CA390A">
      <w:pPr>
        <w:numPr>
          <w:ilvl w:val="0"/>
          <w:numId w:val="2"/>
        </w:numPr>
        <w:bidi w:val="0"/>
        <w:ind w:left="0" w:leftChars="0" w:firstLine="480" w:firstLineChars="200"/>
      </w:pPr>
      <w:r>
        <w:t>通信与数据</w:t>
      </w:r>
    </w:p>
    <w:p w14:paraId="18A67B22">
      <w:pPr>
        <w:bidi w:val="0"/>
      </w:pPr>
      <w:r>
        <w:t>存储上下位机之间通过一条物理串行数据线连接，通信波特率高达 921600bps，满足多源异构传感器高频透传的带宽要求。此外，在下位机底板上专门配置了 W25Q64（8MB 空间）SPI Flash 存储芯片，用于非易失性存储备份固件包，为巡检车在偏远无网环境下执行防"变砖"的 OTA 安全升级与自动回滚提供了硬件存储支持。</w:t>
      </w:r>
    </w:p>
    <w:p w14:paraId="28AD68AB">
      <w:pPr>
        <w:pStyle w:val="4"/>
        <w:bidi w:val="0"/>
        <w:rPr>
          <w:rFonts w:hint="eastAsia"/>
        </w:rPr>
      </w:pPr>
      <w:r>
        <w:rPr>
          <w:rFonts w:hint="eastAsia"/>
        </w:rPr>
        <w:t>2.2.2</w:t>
      </w:r>
      <w:r>
        <w:t xml:space="preserve"> </w:t>
      </w:r>
      <w:r>
        <w:rPr>
          <w:rFonts w:hint="eastAsia"/>
        </w:rPr>
        <w:t>机械设计介绍</w:t>
      </w:r>
    </w:p>
    <w:p w14:paraId="2B240943">
      <w:pPr>
        <w:pStyle w:val="8"/>
        <w:keepNext w:val="0"/>
        <w:keepLines w:val="0"/>
        <w:widowControl/>
        <w:suppressLineNumbers w:val="0"/>
        <w:shd w:val="clear" w:fill="FFFFFF"/>
        <w:spacing w:before="160" w:beforeAutospacing="0" w:after="160" w:afterAutospacing="0"/>
        <w:ind w:left="0" w:right="0" w:firstLine="0"/>
        <w:rPr>
          <w:rFonts w:ascii="Times New Roman" w:hAnsi="Times New Roman" w:eastAsia="宋体" w:cstheme="minorBidi"/>
          <w:kern w:val="2"/>
          <w:sz w:val="24"/>
          <w:szCs w:val="24"/>
          <w:lang w:val="en-US" w:eastAsia="zh-CN" w:bidi="ar-SA"/>
        </w:rPr>
      </w:pPr>
      <w:r>
        <w:rPr>
          <w:rFonts w:hint="default" w:ascii="Times New Roman" w:hAnsi="Times New Roman" w:eastAsia="宋体" w:cstheme="minorBidi"/>
          <w:kern w:val="2"/>
          <w:sz w:val="24"/>
          <w:szCs w:val="24"/>
          <w:lang w:val="en-US" w:eastAsia="zh-CN" w:bidi="ar-SA"/>
        </w:rPr>
        <w:t>本巡检小车的机械系统以户外厂区路面适应性、高速巡航稳定性与轻量化为设计核心，采用经典阿克曼（Ackermann）转向底盘构型，针对厂区道路、减速带、坑洼及坡道等典型非结构化环境进行针对性优化。</w:t>
      </w:r>
    </w:p>
    <w:p w14:paraId="18E4B43D">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宋体" w:cstheme="minorBidi"/>
          <w:kern w:val="2"/>
          <w:sz w:val="24"/>
          <w:szCs w:val="24"/>
          <w:lang w:val="en-US" w:eastAsia="zh-CN" w:bidi="ar-SA"/>
        </w:rPr>
      </w:pPr>
      <w:r>
        <w:rPr>
          <w:rFonts w:hint="default" w:ascii="Times New Roman" w:hAnsi="Times New Roman" w:eastAsia="宋体" w:cstheme="minorBidi"/>
          <w:kern w:val="2"/>
          <w:sz w:val="24"/>
          <w:szCs w:val="24"/>
          <w:lang w:val="en-US" w:eastAsia="zh-CN" w:bidi="ar-SA"/>
        </w:rPr>
        <w:t>（一）阿克曼底盘构型与运动学特性</w:t>
      </w:r>
    </w:p>
    <w:p w14:paraId="1330D1FD">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宋体" w:cstheme="minorBidi"/>
          <w:kern w:val="2"/>
          <w:sz w:val="24"/>
          <w:szCs w:val="24"/>
          <w:lang w:val="en-US" w:eastAsia="zh-CN" w:bidi="ar-SA"/>
        </w:rPr>
      </w:pPr>
      <w:r>
        <w:drawing>
          <wp:anchor distT="0" distB="0" distL="114300" distR="114300" simplePos="0" relativeHeight="251667456" behindDoc="0" locked="0" layoutInCell="1" allowOverlap="1">
            <wp:simplePos x="0" y="0"/>
            <wp:positionH relativeFrom="column">
              <wp:posOffset>1436370</wp:posOffset>
            </wp:positionH>
            <wp:positionV relativeFrom="paragraph">
              <wp:posOffset>1511935</wp:posOffset>
            </wp:positionV>
            <wp:extent cx="3130550" cy="3957320"/>
            <wp:effectExtent l="0" t="0" r="6350" b="5080"/>
            <wp:wrapTopAndBottom/>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21"/>
                    <a:stretch>
                      <a:fillRect/>
                    </a:stretch>
                  </pic:blipFill>
                  <pic:spPr>
                    <a:xfrm>
                      <a:off x="0" y="0"/>
                      <a:ext cx="3130550" cy="3957320"/>
                    </a:xfrm>
                    <a:prstGeom prst="rect">
                      <a:avLst/>
                    </a:prstGeom>
                    <a:noFill/>
                    <a:ln>
                      <a:noFill/>
                    </a:ln>
                  </pic:spPr>
                </pic:pic>
              </a:graphicData>
            </a:graphic>
          </wp:anchor>
        </w:drawing>
      </w:r>
      <w:r>
        <w:rPr>
          <w:rFonts w:hint="default" w:ascii="Times New Roman" w:hAnsi="Times New Roman" w:eastAsia="宋体" w:cstheme="minorBidi"/>
          <w:kern w:val="2"/>
          <w:sz w:val="24"/>
          <w:szCs w:val="24"/>
          <w:lang w:val="en-US" w:eastAsia="zh-CN" w:bidi="ar-SA"/>
        </w:rPr>
        <w:t>底盘采用前轮转向、后轮驱动的阿克曼布局（前桥左右轮通过转向节与转向横拉杆联动，后桥为同轴刚性驱动桥）。相较于差速转向底盘，阿克曼结构在直线行驶时无额外滑移阻力，胎面磨损低，且高速巡航时方向稳定性优异，特别适用于长距离厂区巡检场景。</w:t>
      </w:r>
    </w:p>
    <w:p w14:paraId="013D848D">
      <w:pPr>
        <w:pStyle w:val="18"/>
        <w:bidi w:val="0"/>
        <w:rPr>
          <w:rFonts w:hint="default"/>
          <w:lang w:val="en-US" w:eastAsia="zh-CN"/>
        </w:rPr>
      </w:pPr>
      <w:r>
        <w:rPr>
          <w:rFonts w:hint="eastAsia"/>
          <w:lang w:val="en-US" w:eastAsia="zh-CN"/>
        </w:rPr>
        <w:t>图2.2.2（一）底板金属激光切割加工图</w:t>
      </w:r>
    </w:p>
    <w:p w14:paraId="47085CD3">
      <w:pPr>
        <w:pStyle w:val="8"/>
        <w:keepNext w:val="0"/>
        <w:keepLines w:val="0"/>
        <w:widowControl/>
        <w:suppressLineNumbers w:val="0"/>
        <w:shd w:val="clear" w:fill="FFFFFF"/>
        <w:spacing w:before="160" w:beforeAutospacing="0" w:after="160" w:afterAutospacing="0"/>
        <w:ind w:left="0" w:right="0" w:firstLine="0"/>
        <w:rPr>
          <w:rFonts w:ascii="Times New Roman" w:hAnsi="Times New Roman" w:eastAsia="宋体" w:cstheme="minorBidi"/>
          <w:kern w:val="2"/>
          <w:sz w:val="24"/>
          <w:szCs w:val="24"/>
          <w:lang w:val="en-US" w:eastAsia="zh-CN" w:bidi="ar-SA"/>
        </w:rPr>
      </w:pPr>
      <w:r>
        <w:rPr>
          <w:rFonts w:hint="default" w:ascii="Times New Roman" w:hAnsi="Times New Roman" w:eastAsia="宋体" w:cstheme="minorBidi"/>
          <w:kern w:val="2"/>
          <w:sz w:val="24"/>
          <w:szCs w:val="24"/>
          <w:lang w:val="en-US" w:eastAsia="zh-CN" w:bidi="ar-SA"/>
        </w:rPr>
        <w:t>转向机构：由高精度数字舵机（DS32</w:t>
      </w:r>
      <w:r>
        <w:rPr>
          <w:rFonts w:hint="eastAsia" w:cstheme="minorBidi"/>
          <w:kern w:val="2"/>
          <w:sz w:val="24"/>
          <w:szCs w:val="24"/>
          <w:lang w:val="en-US" w:eastAsia="zh-CN" w:bidi="ar-SA"/>
        </w:rPr>
        <w:t>20</w:t>
      </w:r>
      <w:r>
        <w:rPr>
          <w:rFonts w:hint="default" w:ascii="Times New Roman" w:hAnsi="Times New Roman" w:eastAsia="宋体" w:cstheme="minorBidi"/>
          <w:kern w:val="2"/>
          <w:sz w:val="24"/>
          <w:szCs w:val="24"/>
          <w:lang w:val="en-US" w:eastAsia="zh-CN" w:bidi="ar-SA"/>
        </w:rPr>
        <w:t>，</w:t>
      </w:r>
      <w:r>
        <w:rPr>
          <w:rFonts w:hint="eastAsia" w:cstheme="minorBidi"/>
          <w:kern w:val="2"/>
          <w:sz w:val="24"/>
          <w:szCs w:val="24"/>
          <w:lang w:val="en-US" w:eastAsia="zh-CN" w:bidi="ar-SA"/>
        </w:rPr>
        <w:t>20</w:t>
      </w:r>
      <w:r>
        <w:rPr>
          <w:rFonts w:hint="default" w:ascii="Times New Roman" w:hAnsi="Times New Roman" w:eastAsia="宋体" w:cstheme="minorBidi"/>
          <w:kern w:val="2"/>
          <w:sz w:val="24"/>
          <w:szCs w:val="24"/>
          <w:lang w:val="en-US" w:eastAsia="zh-CN" w:bidi="ar-SA"/>
        </w:rPr>
        <w:t>kg·cm扭矩）通过转向摇臂-横拉杆-转向节的连杆传动链驱动前轮偏转。舵机输出轴经减速比为1.8:1的齿轮副后，带动转向摇臂摆动，再经由可调式横拉杆同步驱动左右转向节绕主销旋转。左右轮转角满足阿克曼几何约束（内侧轮转角略大于外侧轮，确保转弯时四轮绕同一瞬时转向中心），最大偏转角±35°，对应最小转弯半径约0.65m。</w:t>
      </w:r>
    </w:p>
    <w:p w14:paraId="6959767A">
      <w:pPr>
        <w:pStyle w:val="8"/>
        <w:keepNext w:val="0"/>
        <w:keepLines w:val="0"/>
        <w:widowControl/>
        <w:suppressLineNumbers w:val="0"/>
        <w:spacing w:before="0" w:beforeAutospacing="0" w:after="0" w:afterAutospacing="0"/>
        <w:ind w:left="0" w:right="0"/>
        <w:rPr>
          <w:rFonts w:ascii="Times New Roman" w:hAnsi="Times New Roman" w:eastAsia="宋体" w:cstheme="minorBidi"/>
          <w:kern w:val="2"/>
          <w:sz w:val="24"/>
          <w:szCs w:val="24"/>
          <w:lang w:val="en-US" w:eastAsia="zh-CN" w:bidi="ar-SA"/>
        </w:rPr>
      </w:pPr>
      <w:r>
        <w:rPr>
          <w:rFonts w:hint="default" w:ascii="Times New Roman" w:hAnsi="Times New Roman" w:eastAsia="宋体" w:cstheme="minorBidi"/>
          <w:kern w:val="2"/>
          <w:sz w:val="24"/>
          <w:szCs w:val="24"/>
          <w:lang w:val="en-US" w:eastAsia="zh-CN" w:bidi="ar-SA"/>
        </w:rPr>
        <w:t>后桥驱动：左右后轮各由一台带霍尔编码器的直流减速电机（减速比1:30）独立驱动，通过差速器效应实现转向时的内外轮速差补偿，避免轮胎拖滑。</w:t>
      </w:r>
    </w:p>
    <w:p w14:paraId="6E47A830">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宋体" w:cstheme="minorBidi"/>
          <w:kern w:val="2"/>
          <w:sz w:val="24"/>
          <w:szCs w:val="24"/>
          <w:lang w:val="en-US" w:eastAsia="zh-CN" w:bidi="ar-SA"/>
        </w:rPr>
      </w:pPr>
      <w:r>
        <w:rPr>
          <w:rFonts w:hint="default" w:ascii="Times New Roman" w:hAnsi="Times New Roman" w:eastAsia="宋体" w:cstheme="minorBidi"/>
          <w:kern w:val="2"/>
          <w:sz w:val="24"/>
          <w:szCs w:val="24"/>
          <w:lang w:val="en-US" w:eastAsia="zh-CN" w:bidi="ar-SA"/>
        </w:rPr>
        <w:t>车架采用</w:t>
      </w:r>
      <w:r>
        <w:rPr>
          <w:rFonts w:hint="eastAsia" w:cstheme="minorBidi"/>
          <w:kern w:val="2"/>
          <w:sz w:val="24"/>
          <w:szCs w:val="24"/>
          <w:lang w:val="en-US" w:eastAsia="zh-CN" w:bidi="ar-SA"/>
        </w:rPr>
        <w:t>3</w:t>
      </w:r>
      <w:r>
        <w:rPr>
          <w:rFonts w:hint="default" w:ascii="Times New Roman" w:hAnsi="Times New Roman" w:eastAsia="宋体" w:cstheme="minorBidi"/>
          <w:kern w:val="2"/>
          <w:sz w:val="24"/>
          <w:szCs w:val="24"/>
          <w:lang w:val="en-US" w:eastAsia="zh-CN" w:bidi="ar-SA"/>
        </w:rPr>
        <w:t>mm厚</w:t>
      </w:r>
      <w:r>
        <w:rPr>
          <w:rFonts w:hint="eastAsia" w:cstheme="minorBidi"/>
          <w:kern w:val="2"/>
          <w:sz w:val="24"/>
          <w:szCs w:val="24"/>
          <w:lang w:val="en-US" w:eastAsia="zh-CN" w:bidi="ar-SA"/>
        </w:rPr>
        <w:t>6061</w:t>
      </w:r>
      <w:r>
        <w:rPr>
          <w:rFonts w:hint="default" w:ascii="Times New Roman" w:hAnsi="Times New Roman" w:eastAsia="宋体" w:cstheme="minorBidi"/>
          <w:kern w:val="2"/>
          <w:sz w:val="24"/>
          <w:szCs w:val="24"/>
          <w:lang w:val="en-US" w:eastAsia="zh-CN" w:bidi="ar-SA"/>
        </w:rPr>
        <w:t>铝合金经激光切割，</w:t>
      </w:r>
      <w:r>
        <w:rPr>
          <w:rFonts w:hint="eastAsia" w:cstheme="minorBidi"/>
          <w:kern w:val="2"/>
          <w:sz w:val="24"/>
          <w:szCs w:val="24"/>
          <w:lang w:val="en-US" w:eastAsia="zh-CN" w:bidi="ar-SA"/>
        </w:rPr>
        <w:t>通过3mm内螺纹304不锈钢圆柱与底盘连接</w:t>
      </w:r>
      <w:r>
        <w:rPr>
          <w:rFonts w:hint="default" w:ascii="Times New Roman" w:hAnsi="Times New Roman" w:eastAsia="宋体" w:cstheme="minorBidi"/>
          <w:kern w:val="2"/>
          <w:sz w:val="24"/>
          <w:szCs w:val="24"/>
          <w:lang w:val="en-US" w:eastAsia="zh-CN" w:bidi="ar-SA"/>
        </w:rPr>
        <w:t>关键受力节点（后桥连接座、前悬挂安装位）增加</w:t>
      </w:r>
      <w:r>
        <w:rPr>
          <w:rFonts w:hint="eastAsia" w:cstheme="minorBidi"/>
          <w:kern w:val="2"/>
          <w:sz w:val="24"/>
          <w:szCs w:val="24"/>
          <w:lang w:val="en-US" w:eastAsia="zh-CN" w:bidi="ar-SA"/>
        </w:rPr>
        <w:t>支撑铜柱</w:t>
      </w:r>
      <w:r>
        <w:rPr>
          <w:rFonts w:hint="default" w:ascii="Times New Roman" w:hAnsi="Times New Roman" w:eastAsia="宋体" w:cstheme="minorBidi"/>
          <w:kern w:val="2"/>
          <w:sz w:val="24"/>
          <w:szCs w:val="24"/>
          <w:lang w:val="en-US" w:eastAsia="zh-CN" w:bidi="ar-SA"/>
        </w:rPr>
        <w:t>，整机扭转刚度≥3000 N·m/rad，满足满载</w:t>
      </w:r>
      <w:r>
        <w:rPr>
          <w:rFonts w:hint="eastAsia" w:cstheme="minorBidi"/>
          <w:kern w:val="2"/>
          <w:sz w:val="24"/>
          <w:szCs w:val="24"/>
          <w:lang w:val="en-US" w:eastAsia="zh-CN" w:bidi="ar-SA"/>
        </w:rPr>
        <w:t>2</w:t>
      </w:r>
      <w:r>
        <w:rPr>
          <w:rFonts w:hint="default" w:ascii="Times New Roman" w:hAnsi="Times New Roman" w:eastAsia="宋体" w:cstheme="minorBidi"/>
          <w:kern w:val="2"/>
          <w:sz w:val="24"/>
          <w:szCs w:val="24"/>
          <w:lang w:val="en-US" w:eastAsia="zh-CN" w:bidi="ar-SA"/>
        </w:rPr>
        <w:t>.5kg工况下通过连续减速带时的抗疲劳要求。</w:t>
      </w:r>
    </w:p>
    <w:p w14:paraId="3039DE11">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宋体" w:cstheme="minorBidi"/>
          <w:kern w:val="2"/>
          <w:sz w:val="24"/>
          <w:szCs w:val="24"/>
          <w:lang w:val="en-US" w:eastAsia="zh-CN" w:bidi="ar-SA"/>
        </w:rPr>
      </w:pPr>
      <w:r>
        <w:rPr>
          <w:rFonts w:hint="default" w:ascii="Times New Roman" w:hAnsi="Times New Roman" w:eastAsia="宋体" w:cstheme="minorBidi"/>
          <w:kern w:val="2"/>
          <w:sz w:val="24"/>
          <w:szCs w:val="24"/>
          <w:lang w:val="en-US" w:eastAsia="zh-CN" w:bidi="ar-SA"/>
        </w:rPr>
        <w:t>（二）前轮转向机构详细设计</w:t>
      </w:r>
    </w:p>
    <w:p w14:paraId="625E82D0">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宋体" w:cstheme="minorBidi"/>
          <w:kern w:val="2"/>
          <w:sz w:val="24"/>
          <w:szCs w:val="24"/>
          <w:lang w:val="en-US" w:eastAsia="zh-CN" w:bidi="ar-SA"/>
        </w:rPr>
      </w:pPr>
      <w:r>
        <w:rPr>
          <w:rFonts w:hint="default" w:ascii="Times New Roman" w:hAnsi="Times New Roman" w:eastAsia="宋体" w:cstheme="minorBidi"/>
          <w:kern w:val="2"/>
          <w:sz w:val="24"/>
          <w:szCs w:val="24"/>
          <w:lang w:val="en-US" w:eastAsia="zh-CN" w:bidi="ar-SA"/>
        </w:rPr>
        <w:t>转向节采用</w:t>
      </w:r>
      <w:r>
        <w:rPr>
          <w:rFonts w:hint="eastAsia" w:cstheme="minorBidi"/>
          <w:kern w:val="2"/>
          <w:sz w:val="24"/>
          <w:szCs w:val="24"/>
          <w:lang w:val="en-US" w:eastAsia="zh-CN" w:bidi="ar-SA"/>
        </w:rPr>
        <w:t>H50黄铜</w:t>
      </w:r>
      <w:r>
        <w:rPr>
          <w:rFonts w:hint="default" w:ascii="Times New Roman" w:hAnsi="Times New Roman" w:eastAsia="宋体" w:cstheme="minorBidi"/>
          <w:kern w:val="2"/>
          <w:sz w:val="24"/>
          <w:szCs w:val="24"/>
          <w:lang w:val="en-US" w:eastAsia="zh-CN" w:bidi="ar-SA"/>
        </w:rPr>
        <w:t> CNC加工成型，主销内倾角设为8°，主销后倾角设为4°，以保证直线行驶时的自动回正能力及转向轻便性</w:t>
      </w:r>
      <w:r>
        <w:rPr>
          <w:rFonts w:hint="eastAsia" w:cstheme="minorBidi"/>
          <w:kern w:val="2"/>
          <w:sz w:val="24"/>
          <w:szCs w:val="24"/>
          <w:lang w:val="en-US" w:eastAsia="zh-CN" w:bidi="ar-SA"/>
        </w:rPr>
        <w:t>及减少运动时与支架的摩擦</w:t>
      </w:r>
      <w:r>
        <w:rPr>
          <w:rFonts w:hint="default" w:ascii="Times New Roman" w:hAnsi="Times New Roman" w:eastAsia="宋体" w:cstheme="minorBidi"/>
          <w:kern w:val="2"/>
          <w:sz w:val="24"/>
          <w:szCs w:val="24"/>
          <w:lang w:val="en-US" w:eastAsia="zh-CN" w:bidi="ar-SA"/>
        </w:rPr>
        <w:t>。横拉杆两端配备可调节式球头关节（M3螺纹，调节范围±5mm），用于现场标定前轮前束（目标值为0±1mm），消除因装配误差导致的直线跑偏。</w:t>
      </w:r>
    </w:p>
    <w:p w14:paraId="14705450">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宋体" w:cstheme="minorBidi"/>
          <w:kern w:val="2"/>
          <w:sz w:val="24"/>
          <w:szCs w:val="24"/>
          <w:lang w:val="en-US" w:eastAsia="zh-CN" w:bidi="ar-SA"/>
        </w:rPr>
      </w:pPr>
      <w:r>
        <w:rPr>
          <w:rFonts w:hint="default" w:ascii="Times New Roman" w:hAnsi="Times New Roman" w:eastAsia="宋体" w:cstheme="minorBidi"/>
          <w:kern w:val="2"/>
          <w:sz w:val="24"/>
          <w:szCs w:val="24"/>
          <w:lang w:val="en-US" w:eastAsia="zh-CN" w:bidi="ar-SA"/>
        </w:rPr>
        <w:t>舵机安装于前桥中央的铝合金支架上，通过四个M3内六角螺钉固定，支架底部设置橡胶减震垫（厚度2mm，硬度Shore A 60），以衰减路面高频振动向舵机内部的传导，延长舵机电位器寿命。</w:t>
      </w:r>
    </w:p>
    <w:p w14:paraId="0F454102">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宋体" w:cstheme="minorBidi"/>
          <w:kern w:val="2"/>
          <w:sz w:val="24"/>
          <w:szCs w:val="24"/>
          <w:lang w:val="en-US" w:eastAsia="zh-CN" w:bidi="ar-SA"/>
        </w:rPr>
      </w:pPr>
      <w:r>
        <w:rPr>
          <w:rFonts w:hint="default" w:ascii="Times New Roman" w:hAnsi="Times New Roman" w:eastAsia="宋体" w:cstheme="minorBidi"/>
          <w:kern w:val="2"/>
          <w:sz w:val="24"/>
          <w:szCs w:val="24"/>
          <w:lang w:val="en-US" w:eastAsia="zh-CN" w:bidi="ar-SA"/>
        </w:rPr>
        <w:t>（三）车体布局与防护设计</w:t>
      </w:r>
    </w:p>
    <w:p w14:paraId="7053301A">
      <w:pPr>
        <w:pStyle w:val="8"/>
        <w:keepNext w:val="0"/>
        <w:keepLines w:val="0"/>
        <w:widowControl/>
        <w:suppressLineNumbers w:val="0"/>
        <w:shd w:val="clear" w:fill="FFFFFF"/>
        <w:spacing w:before="160" w:beforeAutospacing="0" w:after="160" w:afterAutospacing="0"/>
        <w:ind w:left="0" w:right="0" w:firstLine="0"/>
        <w:rPr>
          <w:rFonts w:ascii="Times New Roman" w:hAnsi="Times New Roman" w:eastAsia="宋体" w:cstheme="minorBidi"/>
          <w:kern w:val="2"/>
          <w:sz w:val="24"/>
          <w:szCs w:val="24"/>
          <w:lang w:val="en-US" w:eastAsia="zh-CN" w:bidi="ar-SA"/>
        </w:rPr>
      </w:pPr>
      <w:r>
        <w:rPr>
          <w:rFonts w:hint="default" w:ascii="Times New Roman" w:hAnsi="Times New Roman" w:eastAsia="宋体" w:cstheme="minorBidi"/>
          <w:kern w:val="2"/>
          <w:sz w:val="24"/>
          <w:szCs w:val="24"/>
          <w:lang w:val="en-US" w:eastAsia="zh-CN" w:bidi="ar-SA"/>
        </w:rPr>
        <w:t>整车采用三层叠放架构：</w:t>
      </w:r>
    </w:p>
    <w:p w14:paraId="23919EED">
      <w:pPr>
        <w:pStyle w:val="8"/>
        <w:keepNext w:val="0"/>
        <w:keepLines w:val="0"/>
        <w:widowControl/>
        <w:suppressLineNumbers w:val="0"/>
        <w:spacing w:before="0" w:beforeAutospacing="0" w:after="0" w:afterAutospacing="0"/>
        <w:ind w:left="0" w:right="0"/>
        <w:rPr>
          <w:rFonts w:ascii="Times New Roman" w:hAnsi="Times New Roman" w:eastAsia="宋体" w:cstheme="minorBidi"/>
          <w:kern w:val="2"/>
          <w:sz w:val="24"/>
          <w:szCs w:val="24"/>
          <w:lang w:val="en-US" w:eastAsia="zh-CN" w:bidi="ar-SA"/>
        </w:rPr>
      </w:pPr>
      <w:r>
        <w:rPr>
          <w:rFonts w:hint="default" w:ascii="Times New Roman" w:hAnsi="Times New Roman" w:eastAsia="宋体" w:cstheme="minorBidi"/>
          <w:kern w:val="2"/>
          <w:sz w:val="24"/>
          <w:szCs w:val="24"/>
          <w:lang w:val="en-US" w:eastAsia="zh-CN" w:bidi="ar-SA"/>
        </w:rPr>
        <w:t>上层（感知层）：SLLidar C1激光雷达（顶部中央安装，扫描平面离地高度180mm）、GPS/天线模块（预留）；</w:t>
      </w:r>
    </w:p>
    <w:p w14:paraId="11AD199A">
      <w:pPr>
        <w:pStyle w:val="8"/>
        <w:keepNext w:val="0"/>
        <w:keepLines w:val="0"/>
        <w:widowControl/>
        <w:suppressLineNumbers w:val="0"/>
        <w:spacing w:before="0" w:beforeAutospacing="0" w:after="0" w:afterAutospacing="0"/>
        <w:ind w:left="0" w:right="0"/>
        <w:rPr>
          <w:rFonts w:ascii="Times New Roman" w:hAnsi="Times New Roman" w:eastAsia="宋体" w:cstheme="minorBidi"/>
          <w:kern w:val="2"/>
          <w:sz w:val="24"/>
          <w:szCs w:val="24"/>
          <w:lang w:val="en-US" w:eastAsia="zh-CN" w:bidi="ar-SA"/>
        </w:rPr>
      </w:pPr>
      <w:r>
        <w:rPr>
          <w:rFonts w:hint="default" w:ascii="Times New Roman" w:hAnsi="Times New Roman" w:eastAsia="宋体" w:cstheme="minorBidi"/>
          <w:kern w:val="2"/>
          <w:sz w:val="24"/>
          <w:szCs w:val="24"/>
          <w:lang w:val="en-US" w:eastAsia="zh-CN" w:bidi="ar-SA"/>
        </w:rPr>
        <w:t>中层（计算层）：RK3588 ELF2核心板及定制散热模组（含40×40×20mm散热风扇，主动风冷）刚性固定于减震铜柱上；</w:t>
      </w:r>
    </w:p>
    <w:p w14:paraId="18C0A9D0">
      <w:pPr>
        <w:pStyle w:val="8"/>
        <w:keepNext w:val="0"/>
        <w:keepLines w:val="0"/>
        <w:widowControl/>
        <w:suppressLineNumbers w:val="0"/>
        <w:spacing w:before="0" w:beforeAutospacing="0" w:after="0" w:afterAutospacing="0"/>
        <w:ind w:left="0" w:right="0"/>
        <w:rPr>
          <w:rFonts w:ascii="Times New Roman" w:hAnsi="Times New Roman" w:eastAsia="宋体" w:cstheme="minorBidi"/>
          <w:kern w:val="2"/>
          <w:sz w:val="24"/>
          <w:szCs w:val="24"/>
          <w:lang w:val="en-US" w:eastAsia="zh-CN" w:bidi="ar-SA"/>
        </w:rPr>
      </w:pPr>
      <w:r>
        <w:rPr>
          <w:rFonts w:hint="default" w:ascii="Times New Roman" w:hAnsi="Times New Roman" w:eastAsia="宋体" w:cstheme="minorBidi"/>
          <w:kern w:val="2"/>
          <w:sz w:val="24"/>
          <w:szCs w:val="24"/>
          <w:lang w:val="en-US" w:eastAsia="zh-CN" w:bidi="ar-SA"/>
        </w:rPr>
        <w:t>下层（动力层）：4S锂聚合物电池组（14.8V，5000mAh）、STM32控制底板、AT8236电机驱动器及舵机，均布置于底盘平面以下以降低重心。</w:t>
      </w:r>
    </w:p>
    <w:p w14:paraId="21BCFC9A">
      <w:pPr>
        <w:bidi w:val="0"/>
        <w:rPr>
          <w:rFonts w:hint="default"/>
          <w:lang w:val="en-US" w:eastAsia="zh-CN"/>
        </w:rPr>
      </w:pPr>
      <w:r>
        <w:rPr>
          <w:rFonts w:hint="eastAsia"/>
          <w:lang w:val="en-US" w:eastAsia="zh-CN"/>
        </w:rPr>
        <w:drawing>
          <wp:anchor distT="0" distB="0" distL="114300" distR="114300" simplePos="0" relativeHeight="251668480" behindDoc="0" locked="0" layoutInCell="1" allowOverlap="1">
            <wp:simplePos x="0" y="0"/>
            <wp:positionH relativeFrom="column">
              <wp:posOffset>843280</wp:posOffset>
            </wp:positionH>
            <wp:positionV relativeFrom="paragraph">
              <wp:posOffset>375285</wp:posOffset>
            </wp:positionV>
            <wp:extent cx="3973195" cy="2914015"/>
            <wp:effectExtent l="0" t="0" r="1905" b="6985"/>
            <wp:wrapTopAndBottom/>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22"/>
                    <a:stretch>
                      <a:fillRect/>
                    </a:stretch>
                  </pic:blipFill>
                  <pic:spPr>
                    <a:xfrm>
                      <a:off x="0" y="0"/>
                      <a:ext cx="3973195" cy="2914015"/>
                    </a:xfrm>
                    <a:prstGeom prst="rect">
                      <a:avLst/>
                    </a:prstGeom>
                    <a:noFill/>
                    <a:ln>
                      <a:noFill/>
                    </a:ln>
                  </pic:spPr>
                </pic:pic>
              </a:graphicData>
            </a:graphic>
          </wp:anchor>
        </w:drawing>
      </w:r>
      <w:r>
        <w:rPr>
          <w:rFonts w:hint="default"/>
          <w:lang w:val="en-US" w:eastAsia="zh-CN"/>
        </w:rPr>
        <w:t>重心高度实测≤55mm（距地面），轮距约240mm，轴距350mm，静态侧倾稳定角</w:t>
      </w:r>
    </w:p>
    <w:p w14:paraId="0A88E6E5">
      <w:pPr>
        <w:pStyle w:val="18"/>
        <w:bidi w:val="0"/>
        <w:rPr>
          <w:rFonts w:hint="default"/>
          <w:lang w:val="en-US" w:eastAsia="zh-CN"/>
        </w:rPr>
      </w:pPr>
      <w:r>
        <w:rPr>
          <w:rFonts w:hint="eastAsia"/>
          <w:lang w:val="en-US" w:eastAsia="zh-CN"/>
        </w:rPr>
        <w:t>图2.2.2（三）巡检小车外壳钣金展开图</w:t>
      </w:r>
    </w:p>
    <w:p w14:paraId="7FBF077E">
      <w:pPr>
        <w:bidi w:val="0"/>
        <w:rPr>
          <w:rFonts w:hint="default"/>
          <w:lang w:val="en-US" w:eastAsia="zh-CN"/>
        </w:rPr>
      </w:pPr>
      <w:r>
        <w:rPr>
          <w:rFonts w:hint="default"/>
          <w:lang w:val="en-US" w:eastAsia="zh-CN"/>
        </w:rPr>
        <w:t>≥30°，可安全通过≤15°侧倾坡道。外壳采用1.5mm厚PC/ABS混合工程塑料经3D打印成型，兼顾轻量化（总重≤3.2kg）与抗冲击性；前部及两侧安装弹性防撞条（聚氨酯材质，宽度10mm），可抵御≤0.5m/s速度下与障碍物的轻微碰撞，保护车体与传感器。</w:t>
      </w:r>
    </w:p>
    <w:p w14:paraId="2BCD91C8">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宋体" w:cstheme="minorBidi"/>
          <w:kern w:val="2"/>
          <w:sz w:val="24"/>
          <w:szCs w:val="24"/>
          <w:lang w:val="en-US" w:eastAsia="zh-CN" w:bidi="ar-SA"/>
        </w:rPr>
      </w:pPr>
      <w:r>
        <w:rPr>
          <w:rFonts w:hint="default" w:ascii="Times New Roman" w:hAnsi="Times New Roman" w:eastAsia="宋体" w:cstheme="minorBidi"/>
          <w:kern w:val="2"/>
          <w:sz w:val="24"/>
          <w:szCs w:val="24"/>
          <w:lang w:val="en-US" w:eastAsia="zh-CN" w:bidi="ar-SA"/>
        </w:rPr>
        <w:t>（四）摄像头固定安装支架</w:t>
      </w:r>
    </w:p>
    <w:p w14:paraId="156A6D8F">
      <w:pPr>
        <w:pStyle w:val="8"/>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宋体" w:cstheme="minorBidi"/>
          <w:kern w:val="2"/>
          <w:sz w:val="24"/>
          <w:szCs w:val="24"/>
          <w:lang w:val="en-US" w:eastAsia="zh-CN" w:bidi="ar-SA"/>
        </w:rPr>
      </w:pPr>
      <w:r>
        <w:rPr>
          <w:rFonts w:hint="default" w:ascii="Times New Roman" w:hAnsi="Times New Roman" w:eastAsia="宋体" w:cstheme="minorBidi"/>
          <w:kern w:val="2"/>
          <w:sz w:val="24"/>
          <w:szCs w:val="24"/>
          <w:lang w:val="en-US" w:eastAsia="zh-CN" w:bidi="ar-SA"/>
        </w:rPr>
        <w:t>机器人前端搭载一枚微型工业级内窥摄像头（焦距固定，视场角FOV≈120°，有效像素≥200万，最低照度≤1.5 Lux），采用刚性铝合金支架直接固定于车体前部横梁中心位置，无俯仰、偏航或滚转调节机构</w:t>
      </w:r>
      <w:r>
        <w:rPr>
          <w:rFonts w:hint="eastAsia" w:cstheme="minorBidi"/>
          <w:kern w:val="2"/>
          <w:sz w:val="24"/>
          <w:szCs w:val="24"/>
          <w:lang w:val="en-US" w:eastAsia="zh-CN" w:bidi="ar-SA"/>
        </w:rPr>
        <w:t>。</w:t>
      </w:r>
    </w:p>
    <w:p w14:paraId="1755EDFD">
      <w:pPr>
        <w:pStyle w:val="8"/>
        <w:keepNext w:val="0"/>
        <w:keepLines w:val="0"/>
        <w:widowControl/>
        <w:suppressLineNumbers w:val="0"/>
        <w:spacing w:before="0" w:beforeAutospacing="0" w:after="0" w:afterAutospacing="0"/>
        <w:ind w:left="0" w:right="0"/>
        <w:rPr>
          <w:rFonts w:ascii="Times New Roman" w:hAnsi="Times New Roman" w:eastAsia="宋体" w:cstheme="minorBidi"/>
          <w:kern w:val="2"/>
          <w:sz w:val="24"/>
          <w:szCs w:val="24"/>
          <w:lang w:val="en-US" w:eastAsia="zh-CN" w:bidi="ar-SA"/>
        </w:rPr>
      </w:pPr>
      <w:r>
        <w:rPr>
          <w:rFonts w:hint="default" w:ascii="Times New Roman" w:hAnsi="Times New Roman" w:eastAsia="宋体" w:cstheme="minorBidi"/>
          <w:kern w:val="2"/>
          <w:sz w:val="24"/>
          <w:szCs w:val="24"/>
          <w:lang w:val="en-US" w:eastAsia="zh-CN" w:bidi="ar-SA"/>
        </w:rPr>
        <w:t>安装参数：摄像头光轴与车体纵向中心线平行，安装高度距地面约</w:t>
      </w:r>
      <w:r>
        <w:rPr>
          <w:rFonts w:hint="eastAsia" w:cstheme="minorBidi"/>
          <w:kern w:val="2"/>
          <w:sz w:val="24"/>
          <w:szCs w:val="24"/>
          <w:lang w:val="en-US" w:eastAsia="zh-CN" w:bidi="ar-SA"/>
        </w:rPr>
        <w:t>4</w:t>
      </w:r>
      <w:r>
        <w:rPr>
          <w:rFonts w:hint="default" w:ascii="Times New Roman" w:hAnsi="Times New Roman" w:eastAsia="宋体" w:cstheme="minorBidi"/>
          <w:kern w:val="2"/>
          <w:sz w:val="24"/>
          <w:szCs w:val="24"/>
          <w:lang w:val="en-US" w:eastAsia="zh-CN" w:bidi="ar-SA"/>
        </w:rPr>
        <w:t>5mm，俯仰倾角为-8°（略微下倾），以兼顾前方道路及地面近距离区域。</w:t>
      </w:r>
    </w:p>
    <w:p w14:paraId="1193492F">
      <w:pPr>
        <w:pStyle w:val="8"/>
        <w:keepNext w:val="0"/>
        <w:keepLines w:val="0"/>
        <w:widowControl/>
        <w:suppressLineNumbers w:val="0"/>
        <w:spacing w:before="0" w:beforeAutospacing="0" w:after="0" w:afterAutospacing="0"/>
        <w:ind w:left="0" w:right="0"/>
        <w:rPr>
          <w:rFonts w:ascii="Times New Roman" w:hAnsi="Times New Roman" w:eastAsia="宋体" w:cstheme="minorBidi"/>
          <w:kern w:val="2"/>
          <w:sz w:val="24"/>
          <w:szCs w:val="24"/>
          <w:lang w:val="en-US" w:eastAsia="zh-CN" w:bidi="ar-SA"/>
        </w:rPr>
      </w:pPr>
      <w:r>
        <w:rPr>
          <w:rFonts w:hint="default" w:ascii="Times New Roman" w:hAnsi="Times New Roman" w:eastAsia="宋体" w:cstheme="minorBidi"/>
          <w:kern w:val="2"/>
          <w:sz w:val="24"/>
          <w:szCs w:val="24"/>
          <w:lang w:val="en-US" w:eastAsia="zh-CN" w:bidi="ar-SA"/>
        </w:rPr>
        <w:t>减震设计：支架与车架之间嵌入双层硅胶减震垫（厚度3+2mm，硬度Shore A 40/60复合），有效抑制行走过程中的高频颤动。</w:t>
      </w:r>
    </w:p>
    <w:p w14:paraId="1E8D28AA">
      <w:pPr>
        <w:pStyle w:val="8"/>
        <w:keepNext w:val="0"/>
        <w:keepLines w:val="0"/>
        <w:widowControl/>
        <w:suppressLineNumbers w:val="0"/>
        <w:spacing w:before="0" w:beforeAutospacing="0" w:after="0" w:afterAutospacing="0"/>
        <w:ind w:left="0" w:right="0"/>
        <w:rPr>
          <w:rFonts w:hint="default" w:ascii="Times New Roman" w:hAnsi="Times New Roman" w:eastAsia="宋体" w:cstheme="minorBidi"/>
          <w:kern w:val="2"/>
          <w:sz w:val="24"/>
          <w:szCs w:val="24"/>
          <w:lang w:val="en-US" w:eastAsia="zh-CN" w:bidi="ar-SA"/>
        </w:rPr>
      </w:pPr>
      <w:r>
        <w:rPr>
          <w:rFonts w:hint="default" w:ascii="Times New Roman" w:hAnsi="Times New Roman" w:eastAsia="宋体" w:cstheme="minorBidi"/>
          <w:kern w:val="2"/>
          <w:sz w:val="24"/>
          <w:szCs w:val="24"/>
          <w:lang w:val="en-US" w:eastAsia="zh-CN" w:bidi="ar-SA"/>
        </w:rPr>
        <w:t>成像边界：清晰成像距离范围20cm ~ 100cm；完全黑暗（0 Lux）环境下摄像头无法获取有效画面，实际使用中依赖厂区既有照明或外接移动补光设备。此为硬件固有约束，已在系统操作手册中予以明示。</w:t>
      </w:r>
    </w:p>
    <w:p w14:paraId="13C3423B">
      <w:pPr>
        <w:pStyle w:val="8"/>
        <w:keepNext w:val="0"/>
        <w:keepLines w:val="0"/>
        <w:widowControl/>
        <w:suppressLineNumbers w:val="0"/>
        <w:spacing w:before="0" w:beforeAutospacing="0" w:after="0" w:afterAutospacing="0"/>
        <w:ind w:left="0" w:right="0"/>
        <w:rPr>
          <w:rFonts w:hint="default" w:ascii="Times New Roman" w:hAnsi="Times New Roman" w:eastAsia="宋体" w:cstheme="minorBidi"/>
          <w:kern w:val="2"/>
          <w:sz w:val="24"/>
          <w:szCs w:val="24"/>
          <w:lang w:val="en-US" w:eastAsia="zh-CN" w:bidi="ar-SA"/>
        </w:rPr>
      </w:pPr>
    </w:p>
    <w:p w14:paraId="5E64EA77">
      <w:pPr>
        <w:bidi w:val="0"/>
        <w:ind w:left="0" w:leftChars="0" w:firstLine="0" w:firstLineChars="0"/>
        <w:rPr>
          <w:rFonts w:hint="eastAsia" w:ascii="Times New Roman" w:hAnsi="Times New Roman" w:eastAsia="宋体" w:cstheme="minorBidi"/>
          <w:b/>
          <w:kern w:val="2"/>
          <w:sz w:val="28"/>
          <w:szCs w:val="24"/>
          <w:lang w:val="en-US" w:eastAsia="zh-CN" w:bidi="ar-SA"/>
        </w:rPr>
      </w:pPr>
      <w:r>
        <w:rPr>
          <w:rFonts w:hint="eastAsia" w:ascii="Times New Roman" w:hAnsi="Times New Roman" w:eastAsia="宋体" w:cstheme="minorBidi"/>
          <w:b/>
          <w:kern w:val="2"/>
          <w:sz w:val="28"/>
          <w:szCs w:val="24"/>
          <w:lang w:val="en-US" w:eastAsia="zh-CN" w:bidi="ar-SA"/>
        </w:rPr>
        <w:t>2.2.3 电路各模块介绍</w:t>
      </w:r>
    </w:p>
    <w:p w14:paraId="2131E4A6">
      <w:pPr>
        <w:bidi w:val="0"/>
      </w:pPr>
      <w:r>
        <w:t>本节将从整体硬件拓扑出发，深入下位机底板的各个核心功能电路模块，详细阐述其设计原理，并标定各模块间的关键信号连线。</w:t>
      </w:r>
    </w:p>
    <w:p w14:paraId="0018A5D0">
      <w:pPr>
        <w:numPr>
          <w:ilvl w:val="0"/>
          <w:numId w:val="3"/>
        </w:numPr>
        <w:bidi w:val="0"/>
      </w:pPr>
      <w:r>
        <w:t>总体电路架构</w:t>
      </w:r>
    </w:p>
    <w:p w14:paraId="7AFD746E">
      <w:pPr>
        <w:bidi w:val="0"/>
      </w:pPr>
      <w:r>
        <w:t>自制底板以 STM32G431 为核心，采用星形拓扑辐射连接所有外围电路。动力电池提供唯一的能源输入，经底板电源管理网络分流为两路：一路经由电机驱动芯片为大功率执行器供电；另一路经由单片机使能的快充协议芯片升压/稳压为上位机供电。主控芯片通过多条数字总线（I2C、SPI、UART、PWM）实现对全板状态的实时采集与闭环控制。</w:t>
      </w:r>
    </w:p>
    <w:p w14:paraId="1C55F230">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center"/>
        <w:textAlignment w:val="auto"/>
        <w:rPr>
          <w:rFonts w:ascii="Times New Roman" w:hAnsi="Times New Roman" w:eastAsia="宋体"/>
          <w:sz w:val="24"/>
          <w:szCs w:val="24"/>
        </w:rPr>
      </w:pPr>
      <w:r>
        <w:rPr>
          <w:rFonts w:ascii="宋体" w:hAnsi="宋体" w:eastAsia="宋体" w:cs="宋体"/>
          <w:sz w:val="24"/>
          <w:szCs w:val="24"/>
        </w:rPr>
        <w:drawing>
          <wp:inline distT="0" distB="0" distL="114300" distR="114300">
            <wp:extent cx="4798695" cy="3027045"/>
            <wp:effectExtent l="0" t="0" r="1905" b="5715"/>
            <wp:docPr id="11"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descr="IMG_256"/>
                    <pic:cNvPicPr>
                      <a:picLocks noChangeAspect="1"/>
                    </pic:cNvPicPr>
                  </pic:nvPicPr>
                  <pic:blipFill>
                    <a:blip r:embed="rId23"/>
                    <a:stretch>
                      <a:fillRect/>
                    </a:stretch>
                  </pic:blipFill>
                  <pic:spPr>
                    <a:xfrm>
                      <a:off x="0" y="0"/>
                      <a:ext cx="4798695" cy="3027045"/>
                    </a:xfrm>
                    <a:prstGeom prst="rect">
                      <a:avLst/>
                    </a:prstGeom>
                    <a:noFill/>
                    <a:ln w="9525">
                      <a:noFill/>
                    </a:ln>
                  </pic:spPr>
                </pic:pic>
              </a:graphicData>
            </a:graphic>
          </wp:inline>
        </w:drawing>
      </w:r>
    </w:p>
    <w:p w14:paraId="08A50740">
      <w:pPr>
        <w:pStyle w:val="18"/>
        <w:bidi w:val="0"/>
      </w:pPr>
      <w:r>
        <w:t>图</w:t>
      </w:r>
      <w:r>
        <w:rPr>
          <w:rFonts w:hint="eastAsia"/>
          <w:lang w:val="en-US" w:eastAsia="zh-CN"/>
        </w:rPr>
        <w:t>2.2</w:t>
      </w:r>
      <w:r>
        <w:t xml:space="preserve"> 总体</w:t>
      </w:r>
      <w:r>
        <w:rPr>
          <w:rFonts w:hint="eastAsia"/>
          <w:lang w:val="en-US" w:eastAsia="zh-CN"/>
        </w:rPr>
        <w:t>PCB</w:t>
      </w:r>
      <w:r>
        <w:t>架构图</w:t>
      </w:r>
    </w:p>
    <w:p w14:paraId="13555BD3">
      <w:pPr>
        <w:bidi w:val="0"/>
      </w:pPr>
      <w:r>
        <w:t>图中</w:t>
      </w:r>
      <w:r>
        <w:rPr>
          <w:rFonts w:hint="eastAsia"/>
          <w:lang w:val="en-US" w:eastAsia="zh-CN"/>
        </w:rPr>
        <w:t>红色</w:t>
      </w:r>
      <w:r>
        <w:t>的</w:t>
      </w:r>
      <w:r>
        <w:rPr>
          <w:rFonts w:hint="eastAsia"/>
          <w:lang w:val="en-US" w:eastAsia="zh-CN"/>
        </w:rPr>
        <w:t>矩形</w:t>
      </w:r>
      <w:r>
        <w:t>框分别标识了"主控 MCU 区"、"电源开关与遥测区"、"电机驱动区"与"传感器通信区"，清晰展现了各模块的物理分区与布线规划。</w:t>
      </w:r>
    </w:p>
    <w:p w14:paraId="77473914">
      <w:pPr>
        <w:numPr>
          <w:ilvl w:val="0"/>
          <w:numId w:val="4"/>
        </w:numPr>
        <w:bidi w:val="0"/>
      </w:pPr>
      <w:r>
        <w:t>主控最小系统与外围接口电路</w:t>
      </w:r>
    </w:p>
    <w:p w14:paraId="3719E626">
      <w:pPr>
        <w:bidi w:val="0"/>
      </w:pPr>
      <w:r>
        <w:t>核心控制模块基于 STM32G431 芯片搭建，外围包含去耦电容网络、复位电路、晶振时钟电路以及调试接口（SWD）。该模块是整个电路板的逻辑中枢。</w:t>
      </w:r>
    </w:p>
    <w:p w14:paraId="24DF3ECD">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center"/>
        <w:textAlignment w:val="auto"/>
      </w:pPr>
      <w:r>
        <w:drawing>
          <wp:inline distT="0" distB="0" distL="114300" distR="114300">
            <wp:extent cx="3175635" cy="3827780"/>
            <wp:effectExtent l="0" t="0" r="9525" b="1270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4"/>
                    <a:stretch>
                      <a:fillRect/>
                    </a:stretch>
                  </pic:blipFill>
                  <pic:spPr>
                    <a:xfrm>
                      <a:off x="0" y="0"/>
                      <a:ext cx="3175635" cy="3827780"/>
                    </a:xfrm>
                    <a:prstGeom prst="rect">
                      <a:avLst/>
                    </a:prstGeom>
                    <a:noFill/>
                    <a:ln>
                      <a:noFill/>
                    </a:ln>
                  </pic:spPr>
                </pic:pic>
              </a:graphicData>
            </a:graphic>
          </wp:inline>
        </w:drawing>
      </w:r>
    </w:p>
    <w:p w14:paraId="09B89A26">
      <w:pPr>
        <w:pStyle w:val="18"/>
        <w:bidi w:val="0"/>
      </w:pPr>
      <w:r>
        <w:t>图</w:t>
      </w:r>
      <w:r>
        <w:rPr>
          <w:rFonts w:hint="eastAsia"/>
          <w:lang w:val="en-US" w:eastAsia="zh-CN"/>
        </w:rPr>
        <w:t>2.3</w:t>
      </w:r>
      <w:r>
        <w:t xml:space="preserve"> 主控最小系统电路</w:t>
      </w:r>
    </w:p>
    <w:p w14:paraId="0AFD5A7B">
      <w:pPr>
        <w:bidi w:val="0"/>
      </w:pPr>
      <w:r>
        <w:t>图中重点信号线标注如下：</w:t>
      </w:r>
    </w:p>
    <w:p w14:paraId="566ED17D">
      <w:pPr>
        <w:bidi w:val="0"/>
      </w:pPr>
      <w:r>
        <w:t>VDD_3V3 / GND（输入）：核心供电输入线。</w:t>
      </w:r>
    </w:p>
    <w:p w14:paraId="2794C4B7">
      <w:pPr>
        <w:bidi w:val="0"/>
      </w:pPr>
      <w:r>
        <w:t>SWDIO / SWCLK（双向）：固件烧录与硬件调试信号线。</w:t>
      </w:r>
    </w:p>
    <w:p w14:paraId="0639F08B">
      <w:pPr>
        <w:bidi w:val="0"/>
      </w:pPr>
      <w:r>
        <w:t>PA2 (TX) / PA3 (RX)（输出/输入）：引出至通信模块，用于连接上位机的主力高速 UART 信号线。</w:t>
      </w:r>
    </w:p>
    <w:p w14:paraId="453E5799">
      <w:pPr>
        <w:bidi w:val="0"/>
      </w:pPr>
      <w:r>
        <w:t>3. 智能供电与遥测电路（PMOS + SW3518S + INA219）</w:t>
      </w:r>
    </w:p>
    <w:p w14:paraId="20016D2E">
      <w:pPr>
        <w:bidi w:val="0"/>
      </w:pPr>
      <w:r>
        <w:t>该模块是底板能源管理的核心，负责将高压电池电能进行安全的物理级通断控制、电流精确监测，并最终转换为上位机所需的高功率 PD 快充输出。设计中特别引入了四线制开尔文连接，以保证大电流下的测流精度。</w:t>
      </w:r>
    </w:p>
    <w:p w14:paraId="153ACA4F">
      <w:pPr>
        <w:ind w:left="480"/>
      </w:pPr>
    </w:p>
    <w:p w14:paraId="3D8199AD">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center"/>
        <w:textAlignment w:val="auto"/>
      </w:pPr>
      <w:r>
        <w:drawing>
          <wp:inline distT="0" distB="0" distL="114300" distR="114300">
            <wp:extent cx="5206365" cy="2751455"/>
            <wp:effectExtent l="0" t="0" r="635" b="444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5"/>
                    <a:srcRect l="2871" b="3807"/>
                    <a:stretch>
                      <a:fillRect/>
                    </a:stretch>
                  </pic:blipFill>
                  <pic:spPr>
                    <a:xfrm>
                      <a:off x="0" y="0"/>
                      <a:ext cx="5206365" cy="2751455"/>
                    </a:xfrm>
                    <a:prstGeom prst="rect">
                      <a:avLst/>
                    </a:prstGeom>
                    <a:noFill/>
                    <a:ln>
                      <a:noFill/>
                    </a:ln>
                  </pic:spPr>
                </pic:pic>
              </a:graphicData>
            </a:graphic>
          </wp:inline>
        </w:drawing>
      </w:r>
    </w:p>
    <w:p w14:paraId="587B3E46">
      <w:pPr>
        <w:pStyle w:val="18"/>
        <w:bidi w:val="0"/>
      </w:pPr>
      <w:r>
        <w:t>图</w:t>
      </w:r>
      <w:r>
        <w:rPr>
          <w:rFonts w:hint="eastAsia"/>
          <w:lang w:val="en-US" w:eastAsia="zh-CN"/>
        </w:rPr>
        <w:t>2.4</w:t>
      </w:r>
      <w:r>
        <w:t xml:space="preserve"> 智能供电主电路（SW3518S）</w:t>
      </w:r>
    </w:p>
    <w:p w14:paraId="342E1C47">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center"/>
        <w:textAlignment w:val="auto"/>
      </w:pPr>
    </w:p>
    <w:p w14:paraId="405EBAE6">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center"/>
        <w:textAlignment w:val="auto"/>
      </w:pPr>
      <w:r>
        <w:drawing>
          <wp:inline distT="0" distB="0" distL="114300" distR="114300">
            <wp:extent cx="3502025" cy="2044065"/>
            <wp:effectExtent l="0" t="0" r="3175" b="63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26"/>
                    <a:srcRect l="7804" t="4816" r="7501" b="741"/>
                    <a:stretch>
                      <a:fillRect/>
                    </a:stretch>
                  </pic:blipFill>
                  <pic:spPr>
                    <a:xfrm>
                      <a:off x="0" y="0"/>
                      <a:ext cx="3502025" cy="2044065"/>
                    </a:xfrm>
                    <a:prstGeom prst="rect">
                      <a:avLst/>
                    </a:prstGeom>
                    <a:noFill/>
                    <a:ln>
                      <a:noFill/>
                    </a:ln>
                  </pic:spPr>
                </pic:pic>
              </a:graphicData>
            </a:graphic>
          </wp:inline>
        </w:drawing>
      </w:r>
    </w:p>
    <w:p w14:paraId="6EE2A6B7">
      <w:pPr>
        <w:pStyle w:val="18"/>
        <w:bidi w:val="0"/>
      </w:pPr>
      <w:r>
        <w:t>图</w:t>
      </w:r>
      <w:r>
        <w:rPr>
          <w:rFonts w:hint="eastAsia"/>
          <w:lang w:val="en-US" w:eastAsia="zh-CN"/>
        </w:rPr>
        <w:t>2.5</w:t>
      </w:r>
      <w:r>
        <w:t xml:space="preserve"> 电源遥测电路（INA219）</w:t>
      </w:r>
    </w:p>
    <w:p w14:paraId="4C07AD8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pPr>
      <w:r>
        <w:drawing>
          <wp:inline distT="0" distB="0" distL="114300" distR="114300">
            <wp:extent cx="3301365" cy="2596515"/>
            <wp:effectExtent l="0" t="0" r="635" b="698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27"/>
                    <a:srcRect t="13033" r="17710"/>
                    <a:stretch>
                      <a:fillRect/>
                    </a:stretch>
                  </pic:blipFill>
                  <pic:spPr>
                    <a:xfrm>
                      <a:off x="0" y="0"/>
                      <a:ext cx="3301365" cy="2596515"/>
                    </a:xfrm>
                    <a:prstGeom prst="rect">
                      <a:avLst/>
                    </a:prstGeom>
                    <a:noFill/>
                    <a:ln>
                      <a:noFill/>
                    </a:ln>
                  </pic:spPr>
                </pic:pic>
              </a:graphicData>
            </a:graphic>
          </wp:inline>
        </w:drawing>
      </w:r>
    </w:p>
    <w:p w14:paraId="4B2F3911">
      <w:pPr>
        <w:pStyle w:val="18"/>
        <w:bidi w:val="0"/>
      </w:pPr>
      <w:r>
        <w:t>图</w:t>
      </w:r>
      <w:r>
        <w:rPr>
          <w:rFonts w:hint="eastAsia"/>
          <w:lang w:val="en-US" w:eastAsia="zh-CN"/>
        </w:rPr>
        <w:t>2.6</w:t>
      </w:r>
      <w:r>
        <w:t xml:space="preserve"> 电源开关控制电路（PMOS）</w:t>
      </w:r>
    </w:p>
    <w:p w14:paraId="0FBF1BF4">
      <w:pPr>
        <w:bidi w:val="0"/>
      </w:pPr>
      <w:r>
        <w:t>图2-</w:t>
      </w:r>
      <w:r>
        <w:rPr>
          <w:rFonts w:hint="eastAsia"/>
          <w:lang w:val="en-US" w:eastAsia="zh-CN"/>
        </w:rPr>
        <w:t>4</w:t>
      </w:r>
      <w:r>
        <w:t>（SW3518S智能供电主电路）重点信号线：</w:t>
      </w:r>
    </w:p>
    <w:p w14:paraId="4FF55FD4">
      <w:pPr>
        <w:bidi w:val="0"/>
      </w:pPr>
      <w:bookmarkStart w:id="0" w:name="_GoBack"/>
      <w:r>
        <w:t>VIN（输入）：来自电池组的原始电源输入，经PMOS开关后接入SW3518S芯片VIN引脚。</w:t>
      </w:r>
    </w:p>
    <w:p w14:paraId="629DE223">
      <w:pPr>
        <w:bidi w:val="0"/>
      </w:pPr>
      <w:r>
        <w:t>VBUS（输出）：SW3518S经内部Buck降压后输出的PD快充总线电压，通过Type-C接口向上位机提供12V/100W供电。</w:t>
      </w:r>
    </w:p>
    <w:p w14:paraId="426A306F">
      <w:pPr>
        <w:bidi w:val="0"/>
      </w:pPr>
      <w:r>
        <w:t>HGATE / LGATE（输出）：SW3518S内部驱动器输出的半桥MOSFET栅极控制信号，经电阻R11连接至外置同步整流MOSFET（Q4/Q5）。</w:t>
      </w:r>
    </w:p>
    <w:p w14:paraId="5E93990A">
      <w:pPr>
        <w:bidi w:val="0"/>
      </w:pPr>
      <w:r>
        <w:t>CC1 / CC2（双向）：Type-C配置通道信号线，用于与上位机PD芯片进行供电协议握手与电压档位协商。</w:t>
      </w:r>
    </w:p>
    <w:bookmarkEnd w:id="0"/>
    <w:p w14:paraId="21013432">
      <w:pPr>
        <w:bidi w:val="0"/>
      </w:pPr>
      <w:r>
        <w:t>图2-</w:t>
      </w:r>
      <w:r>
        <w:rPr>
          <w:rFonts w:hint="eastAsia"/>
          <w:lang w:val="en-US" w:eastAsia="zh-CN"/>
        </w:rPr>
        <w:t>5</w:t>
      </w:r>
      <w:r>
        <w:t>（INA219电源遥测电路）重点信号线：</w:t>
      </w:r>
    </w:p>
    <w:p w14:paraId="135F0792">
      <w:pPr>
        <w:bidi w:val="0"/>
      </w:pPr>
      <w:r>
        <w:t>VIN+ / VIN-（模拟输入）：跨接在5mΩ高精度采样电阻R16两端的开尔文检测差分信号，用于测量母线电流。</w:t>
      </w:r>
    </w:p>
    <w:p w14:paraId="0E8EE004">
      <w:pPr>
        <w:bidi w:val="0"/>
      </w:pPr>
      <w:r>
        <w:t>SDA / SCL（双向）：I2C通信总线，连接至STM32的PC0/PC1引脚，以50Hz频率上报电压、电流及功率数据。</w:t>
      </w:r>
    </w:p>
    <w:p w14:paraId="17DDC853">
      <w:pPr>
        <w:bidi w:val="0"/>
      </w:pPr>
      <w:r>
        <w:t>VS（电源）：INA219芯片的3.3V供电输入，由LDO稳压后提供。</w:t>
      </w:r>
      <w:r>
        <w:br w:type="textWrapping"/>
      </w:r>
      <w:r>
        <w:t>图2-7（PMOS电源开关控制电路）重点信号线：</w:t>
      </w:r>
    </w:p>
    <w:p w14:paraId="6002D6A1">
      <w:pPr>
        <w:bidi w:val="0"/>
      </w:pPr>
      <w:r>
        <w:t>VCC（输入）：来自电池组的前级电源，经保险丝后接入PMOS管Q1的源极（S）。</w:t>
      </w:r>
    </w:p>
    <w:p w14:paraId="7A9D2BCE">
      <w:pPr>
        <w:bidi w:val="0"/>
      </w:pPr>
      <w:r>
        <w:t>VIN（输出）：PMOS管Q1的漏极（D）输出，作为SW3518S的输入电源，受控通断。</w:t>
      </w:r>
    </w:p>
    <w:p w14:paraId="28EC3322">
      <w:pPr>
        <w:bidi w:val="0"/>
      </w:pPr>
      <w:r>
        <w:t>PC13（输入）：STM32 GPIO输出的逻辑控制信号，经R18（10K）连接至NMOS管Q2的栅极，间接控制PMOS的开关状态。</w:t>
      </w:r>
    </w:p>
    <w:p w14:paraId="2D691C0E">
      <w:pPr>
        <w:bidi w:val="0"/>
      </w:pPr>
      <w:r>
        <w:t>AO4407A（Q1）：P沟道功率MOSFET，作为电源总开关，导通电阻低，可承受大电流。</w:t>
      </w:r>
    </w:p>
    <w:p w14:paraId="743DD22B">
      <w:pPr>
        <w:bidi w:val="0"/>
      </w:pPr>
      <w:r>
        <w:t>AO3400A（Q2）：N沟道小信号MOSFET，作为电平转换与逻辑控制驱动管。</w:t>
      </w:r>
    </w:p>
    <w:p w14:paraId="142FE91D">
      <w:pPr>
        <w:numPr>
          <w:ilvl w:val="0"/>
          <w:numId w:val="5"/>
        </w:numPr>
        <w:bidi w:val="0"/>
      </w:pPr>
      <w:r>
        <w:t>动力驱动与执行电路（AT8236 + 伺服舵机接口）</w:t>
      </w:r>
    </w:p>
    <w:p w14:paraId="18F79EEB">
      <w:pPr>
        <w:bidi w:val="0"/>
      </w:pPr>
      <w:r>
        <w:t>本模块负责将单片机输出的弱电逻辑信号放大为驱动电机的强电信号。采用 AT8236 H 桥驱动芯片控制后轮直流电机，并预留了标准 3 针接口用于控制前轮高精度转向舵机。</w:t>
      </w:r>
    </w:p>
    <w:p w14:paraId="2BE5CCEF">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center"/>
        <w:textAlignment w:val="auto"/>
      </w:pPr>
      <w:r>
        <w:drawing>
          <wp:inline distT="0" distB="0" distL="114300" distR="114300">
            <wp:extent cx="5755005" cy="2861945"/>
            <wp:effectExtent l="0" t="0" r="10795" b="825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28"/>
                    <a:stretch>
                      <a:fillRect/>
                    </a:stretch>
                  </pic:blipFill>
                  <pic:spPr>
                    <a:xfrm>
                      <a:off x="0" y="0"/>
                      <a:ext cx="5755005" cy="2861945"/>
                    </a:xfrm>
                    <a:prstGeom prst="rect">
                      <a:avLst/>
                    </a:prstGeom>
                    <a:noFill/>
                    <a:ln>
                      <a:noFill/>
                    </a:ln>
                  </pic:spPr>
                </pic:pic>
              </a:graphicData>
            </a:graphic>
          </wp:inline>
        </w:drawing>
      </w:r>
    </w:p>
    <w:p w14:paraId="188F9E99">
      <w:pPr>
        <w:pStyle w:val="18"/>
        <w:bidi w:val="0"/>
      </w:pPr>
      <w:r>
        <w:t>图</w:t>
      </w:r>
      <w:r>
        <w:rPr>
          <w:rFonts w:hint="eastAsia"/>
          <w:lang w:val="en-US" w:eastAsia="zh-CN"/>
        </w:rPr>
        <w:t>2.7</w:t>
      </w:r>
      <w:r>
        <w:t xml:space="preserve"> 动力驱动电路（AT8236）</w:t>
      </w:r>
    </w:p>
    <w:p w14:paraId="238C0951">
      <w:pPr>
        <w:bidi w:val="0"/>
      </w:pPr>
      <w:r>
        <w:t>图中重点信号线标注如下：</w:t>
      </w:r>
    </w:p>
    <w:p w14:paraId="119B9081">
      <w:pPr>
        <w:bidi w:val="0"/>
      </w:pPr>
      <w:r>
        <w:t>MOTOR_PWM_IN1 / MOTOR_PWM_IN2（输入）：来自STM32定时器（PC8/PC9）的互补PWM控制信号，接入两片AT8236的IN1/IN2引脚，控制左右后轮电机的转速与转向。</w:t>
      </w:r>
    </w:p>
    <w:p w14:paraId="06D2B2EF">
      <w:pPr>
        <w:bidi w:val="0"/>
      </w:pPr>
      <w:r>
        <w:t>SERVO_PWM（输入）：来自STM32（PB4/PB5/PA8）的50Hz舵机控制脉冲信号，经CN1/CN2接口输出至前轮转向舵机。</w:t>
      </w:r>
    </w:p>
    <w:p w14:paraId="16E020DD">
      <w:pPr>
        <w:bidi w:val="0"/>
      </w:pPr>
      <w:r>
        <w:t>MOTOR_OUT_A / MOTOR_OUT_B（大电流输出）：AT8236 H桥功率输出端，直连后轮直流电机端子，驱动电流可达数安培。</w:t>
      </w:r>
    </w:p>
    <w:p w14:paraId="3DBB0B48">
      <w:pPr>
        <w:bidi w:val="0"/>
      </w:pPr>
      <w:r>
        <w:t>ISEN1（模拟输出）：AT8236内部电流采样输出，通过外接100mΩ采样电阻（R2/R3）实现电机过流检测与闭环保护。</w:t>
      </w:r>
    </w:p>
    <w:p w14:paraId="3E0FBEC0">
      <w:pPr>
        <w:bidi w:val="0"/>
      </w:pPr>
      <w:r>
        <w:t>VREF（输入）：电机驱动参考电压输入，由3.3V经分压后提供，用于设定电流限制阈值。</w:t>
      </w:r>
    </w:p>
    <w:p w14:paraId="6DFCB5C7">
      <w:pPr>
        <w:bidi w:val="0"/>
      </w:pPr>
      <w:r>
        <w:t>5. 传感器数据链与存储电路（ICM42688 + W25Q64）</w:t>
      </w:r>
    </w:p>
    <w:p w14:paraId="1815514B">
      <w:pPr>
        <w:bidi w:val="0"/>
      </w:pPr>
      <w:r>
        <w:t>此部分涵盖底板的高频姿态数据硬实时采集以及非易失性数据存储，是保障底盘控制精度与支持 OTA 防丢砖机制的硬件基础。</w:t>
      </w:r>
    </w:p>
    <w:p w14:paraId="2477EC3B">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center"/>
        <w:textAlignment w:val="auto"/>
      </w:pPr>
      <w:r>
        <w:drawing>
          <wp:inline distT="0" distB="0" distL="114300" distR="114300">
            <wp:extent cx="5756275" cy="1887220"/>
            <wp:effectExtent l="0" t="0" r="4445" b="254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29"/>
                    <a:stretch>
                      <a:fillRect/>
                    </a:stretch>
                  </pic:blipFill>
                  <pic:spPr>
                    <a:xfrm>
                      <a:off x="0" y="0"/>
                      <a:ext cx="5756275" cy="1887220"/>
                    </a:xfrm>
                    <a:prstGeom prst="rect">
                      <a:avLst/>
                    </a:prstGeom>
                    <a:noFill/>
                    <a:ln>
                      <a:noFill/>
                    </a:ln>
                  </pic:spPr>
                </pic:pic>
              </a:graphicData>
            </a:graphic>
          </wp:inline>
        </w:drawing>
      </w:r>
    </w:p>
    <w:p w14:paraId="2552D91B">
      <w:pPr>
        <w:pStyle w:val="18"/>
        <w:bidi w:val="0"/>
      </w:pPr>
      <w:r>
        <w:t>图</w:t>
      </w:r>
      <w:r>
        <w:rPr>
          <w:rFonts w:hint="eastAsia"/>
          <w:lang w:val="en-US" w:eastAsia="zh-CN"/>
        </w:rPr>
        <w:t>2.8</w:t>
      </w:r>
      <w:r>
        <w:t xml:space="preserve"> IMU姿态传感器电路（ICM42688）</w:t>
      </w:r>
    </w:p>
    <w:p w14:paraId="42F07645">
      <w:pPr>
        <w:bidi w:val="0"/>
      </w:pPr>
      <w:r>
        <w:t>图中重点信号线标注如下：</w:t>
      </w:r>
    </w:p>
    <w:p w14:paraId="65FB114F">
      <w:pPr>
        <w:bidi w:val="0"/>
      </w:pPr>
      <w:r>
        <w:t>AP_SDO / AP_SDA / AP_SCLK / AP_CS（高速双向）：四线SPI总线，连接STM32（PA4-PA7）与ICM42688，用于以MHz级速率读取六轴加速度与陀螺仪原始数据。</w:t>
      </w:r>
    </w:p>
    <w:p w14:paraId="309D8F94">
      <w:pPr>
        <w:bidi w:val="0"/>
      </w:pPr>
      <w:r>
        <w:t>INT1/INT（输出）：ICM42688的数据就绪中断信号，接入STM32的外部中断（EXTI）引脚（PB0），触发1ms周期的姿态解算中断服务程序。</w:t>
      </w:r>
    </w:p>
    <w:p w14:paraId="674A62F2">
      <w:pPr>
        <w:bidi w:val="0"/>
      </w:pPr>
      <w:r>
        <w:t>VDDIO / VDD（电源）：分别为芯片IO接口与内核的3.3V供电，通过100nF/2.2uF去耦电容（C16/C19/C20）抑制高频噪声，保证传感器精度。</w:t>
      </w:r>
    </w:p>
    <w:p w14:paraId="17786541">
      <w:pPr>
        <w:pStyle w:val="18"/>
        <w:bidi w:val="0"/>
        <w:rPr>
          <w:highlight w:val="none"/>
        </w:rPr>
      </w:pPr>
      <w:r>
        <w:rPr>
          <w:highlight w:val="none"/>
        </w:rPr>
        <w:drawing>
          <wp:inline distT="0" distB="0" distL="114300" distR="114300">
            <wp:extent cx="5758815" cy="2856230"/>
            <wp:effectExtent l="0" t="0" r="1905" b="8890"/>
            <wp:docPr id="28" name="图片 28" descr="屏幕截图 2026-07-01 161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屏幕截图 2026-07-01 161523"/>
                    <pic:cNvPicPr>
                      <a:picLocks noChangeAspect="1"/>
                    </pic:cNvPicPr>
                  </pic:nvPicPr>
                  <pic:blipFill>
                    <a:blip r:embed="rId30"/>
                    <a:stretch>
                      <a:fillRect/>
                    </a:stretch>
                  </pic:blipFill>
                  <pic:spPr>
                    <a:xfrm>
                      <a:off x="0" y="0"/>
                      <a:ext cx="5758815" cy="2856230"/>
                    </a:xfrm>
                    <a:prstGeom prst="rect">
                      <a:avLst/>
                    </a:prstGeom>
                  </pic:spPr>
                </pic:pic>
              </a:graphicData>
            </a:graphic>
          </wp:inline>
        </w:drawing>
      </w:r>
      <w:r>
        <w:rPr>
          <w:highlight w:val="none"/>
        </w:rPr>
        <w:t>图</w:t>
      </w:r>
      <w:r>
        <w:rPr>
          <w:rFonts w:hint="eastAsia"/>
          <w:highlight w:val="none"/>
          <w:lang w:val="en-US" w:eastAsia="zh-CN"/>
        </w:rPr>
        <w:t>2.9</w:t>
      </w:r>
      <w:r>
        <w:rPr>
          <w:highlight w:val="none"/>
        </w:rPr>
        <w:t xml:space="preserve"> 数据存储电路（W25Q64）</w:t>
      </w:r>
    </w:p>
    <w:p w14:paraId="53A85A1A">
      <w:pPr>
        <w:bidi w:val="0"/>
      </w:pPr>
      <w:r>
        <w:t>图中重点信号线标注如下：</w:t>
      </w:r>
    </w:p>
    <w:p w14:paraId="21DE4ABD">
      <w:pPr>
        <w:bidi w:val="0"/>
      </w:pPr>
      <w:r>
        <w:t>CS#（输入）：STM32（PC5）输出的片选信号，低电平有效，用于在共享SPI总线上选中W25Q64进行独立通信。</w:t>
      </w:r>
    </w:p>
    <w:p w14:paraId="4CE2817F">
      <w:pPr>
        <w:bidi w:val="0"/>
      </w:pPr>
      <w:r>
        <w:t>DI（IO0 / 输入）：SPI数据输入（MOSI），连接STM32（PB10），用于向Flash发送命令、地址及写入数据。</w:t>
      </w:r>
    </w:p>
    <w:p w14:paraId="184C9E1F">
      <w:pPr>
        <w:bidi w:val="0"/>
      </w:pPr>
      <w:r>
        <w:t>DO（IO1 / 输出）：SPI数据输出（MISO），连接STM32（PC4），用于读取Flash中的固件数据或状态寄存器。</w:t>
      </w:r>
    </w:p>
    <w:p w14:paraId="5DA10D24">
      <w:pPr>
        <w:bidi w:val="0"/>
      </w:pPr>
      <w:r>
        <w:t>CLK（输入）：SPI时钟信号，连接STM32（PB2），提供数据传输的同步时钟。</w:t>
      </w:r>
    </w:p>
    <w:p w14:paraId="73B6B968">
      <w:pPr>
        <w:bidi w:val="0"/>
      </w:pPr>
      <w:r>
        <w:t>HOLD# / RESET#（IO3 / 输入）：保持/复位复用引脚，用于在传输过程中暂停通信或实现芯片硬件复位。</w:t>
      </w:r>
    </w:p>
    <w:p w14:paraId="51DFCA88">
      <w:pPr>
        <w:bidi w:val="0"/>
      </w:pPr>
      <w:r>
        <w:t>VCC（电源）：3.3V供电输入，通过100nF去耦电容（C41）滤除电源纹波，确保非易失性存储的可靠性。</w:t>
      </w:r>
    </w:p>
    <w:p w14:paraId="401D728A">
      <w:pPr>
        <w:ind w:left="960"/>
      </w:pPr>
    </w:p>
    <w:p w14:paraId="32D88757">
      <w:pPr>
        <w:ind w:left="960"/>
      </w:pPr>
    </w:p>
    <w:p w14:paraId="04CE131A">
      <w:pPr>
        <w:pStyle w:val="3"/>
        <w:bidi w:val="0"/>
      </w:pPr>
      <w:r>
        <w:rPr>
          <w:rFonts w:hint="eastAsia"/>
          <w:lang w:val="en-US" w:eastAsia="zh-CN"/>
        </w:rPr>
        <w:t>2.3</w:t>
      </w:r>
      <w:r>
        <w:rPr>
          <w:rFonts w:hint="eastAsia"/>
        </w:rPr>
        <w:t>软件系统介绍</w:t>
      </w:r>
    </w:p>
    <w:p w14:paraId="70BF81B8">
      <w:pPr>
        <w:pStyle w:val="4"/>
        <w:bidi w:val="0"/>
      </w:pPr>
      <w:r>
        <w:rPr>
          <w:rFonts w:hint="eastAsia"/>
        </w:rPr>
        <w:t>2.3.1</w:t>
      </w:r>
      <w:r>
        <w:t xml:space="preserve"> </w:t>
      </w:r>
      <w:r>
        <w:rPr>
          <w:rFonts w:hint="eastAsia"/>
        </w:rPr>
        <w:t>软件整体介绍</w:t>
      </w:r>
    </w:p>
    <w:p w14:paraId="58AAAB4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pPr>
      <w:r>
        <w:drawing>
          <wp:inline distT="0" distB="0" distL="114300" distR="114300">
            <wp:extent cx="5399405" cy="3865245"/>
            <wp:effectExtent l="0" t="0" r="10795"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1"/>
                    <a:stretch>
                      <a:fillRect/>
                    </a:stretch>
                  </pic:blipFill>
                  <pic:spPr>
                    <a:xfrm>
                      <a:off x="0" y="0"/>
                      <a:ext cx="5400000" cy="3865842"/>
                    </a:xfrm>
                    <a:prstGeom prst="rect">
                      <a:avLst/>
                    </a:prstGeom>
                  </pic:spPr>
                </pic:pic>
              </a:graphicData>
            </a:graphic>
          </wp:inline>
        </w:drawing>
      </w:r>
    </w:p>
    <w:p w14:paraId="2C235661">
      <w:pPr>
        <w:pStyle w:val="18"/>
        <w:bidi w:val="0"/>
      </w:pPr>
      <w:r>
        <w:t>图</w:t>
      </w:r>
      <w:r>
        <w:rPr>
          <w:rFonts w:hint="eastAsia"/>
          <w:lang w:val="en-US" w:eastAsia="zh-CN"/>
        </w:rPr>
        <w:t>2.10</w:t>
      </w:r>
      <w:r>
        <w:t xml:space="preserve"> 智能巡检小车软件系统架构图</w:t>
      </w:r>
    </w:p>
    <w:p w14:paraId="6686CD46">
      <w:pPr>
        <w:bidi w:val="0"/>
      </w:pPr>
      <w:r>
        <w:t>本系统软件采用 ROS 2 Humble 作为中间件框架，部署于 RK3588 上位机（Ubuntu 22.04 + Docker 容器化运行环境）。软件整体采用分层架构设计，自上而下分为应用决策层、导航规划层、感知融合层与底层驱动层四大层级。</w:t>
      </w:r>
    </w:p>
    <w:p w14:paraId="4C988753">
      <w:pPr>
        <w:bidi w:val="0"/>
      </w:pPr>
      <w:r>
        <w:t>应用决策层：以 Qwen3-VL 多模态大模型为核心，通过 rkllm runtime 直接调用 RK3588 NPU 进行端侧推理，实现视觉理解、异常研判与工具调用；巡逻任务调度器（patrol_commander.py）基于 ROS2 ActionClient 驱动 Nav2 航点导航，并在核心巡检点触发大模型分析（详见 2.3.2(三)(四)(五)）。</w:t>
      </w:r>
    </w:p>
    <w:p w14:paraId="674D2311">
      <w:pPr>
        <w:bidi w:val="0"/>
      </w:pPr>
      <w:r>
        <w:t>导航规划层：基于 Nav2 导航栈构建，负责全局路径规划与局部轨迹跟踪，包含阿克曼底盘运动学适配与速度平滑参数配置（详见 2.3.2(一)）。</w:t>
      </w:r>
    </w:p>
    <w:p w14:paraId="7DCCCE58">
      <w:pPr>
        <w:bidi w:val="0"/>
      </w:pPr>
      <w:r>
        <w:t>感知融合层：负责激光雷达点云获取与 EKF 多传感器融合，为导航闭环提供滤波后的里程计（传感器选型与融合参数详见 2.3.2(二)）。</w:t>
      </w:r>
    </w:p>
    <w:p w14:paraId="07170CDB">
      <w:pPr>
        <w:bidi w:val="0"/>
      </w:pPr>
      <w:r>
        <w:t>底层驱动层：负责 STM32 串口通信与 FTG 局部避障，UART 协议解析与安全过滤逻辑详见 2.3.2(二)。</w:t>
      </w:r>
    </w:p>
    <w:p w14:paraId="7DE0664B">
      <w:pPr>
        <w:pStyle w:val="4"/>
        <w:bidi w:val="0"/>
      </w:pPr>
      <w:r>
        <w:rPr>
          <w:rFonts w:hint="eastAsia"/>
        </w:rPr>
        <w:t>2.3.2</w:t>
      </w:r>
      <w:r>
        <w:t xml:space="preserve"> </w:t>
      </w:r>
      <w:r>
        <w:rPr>
          <w:rFonts w:hint="eastAsia"/>
        </w:rPr>
        <w:t>软件各模块介绍</w:t>
      </w:r>
    </w:p>
    <w:p w14:paraId="5EF7B55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pPr>
      <w:r>
        <w:drawing>
          <wp:inline distT="0" distB="0" distL="114300" distR="114300">
            <wp:extent cx="5039995" cy="3759200"/>
            <wp:effectExtent l="0" t="0" r="4445"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2"/>
                    <a:stretch>
                      <a:fillRect/>
                    </a:stretch>
                  </pic:blipFill>
                  <pic:spPr>
                    <a:xfrm>
                      <a:off x="0" y="0"/>
                      <a:ext cx="5040000" cy="3759797"/>
                    </a:xfrm>
                    <a:prstGeom prst="rect">
                      <a:avLst/>
                    </a:prstGeom>
                  </pic:spPr>
                </pic:pic>
              </a:graphicData>
            </a:graphic>
          </wp:inline>
        </w:drawing>
      </w:r>
    </w:p>
    <w:p w14:paraId="364513CE">
      <w:pPr>
        <w:pStyle w:val="18"/>
        <w:bidi w:val="0"/>
      </w:pPr>
      <w:r>
        <w:t>图 2-12 底层传感器接入与避障模块架构图</w:t>
      </w:r>
    </w:p>
    <w:p w14:paraId="684AB0F9">
      <w:pPr>
        <w:bidi w:val="0"/>
      </w:pPr>
      <w:r>
        <w:t>（一）Nav2 核心导航与参数适配</w:t>
      </w:r>
    </w:p>
    <w:p w14:paraId="64AD58AA">
      <w:pPr>
        <w:bidi w:val="0"/>
      </w:pPr>
      <w:r>
        <w:t>my_nav_launch.py 负责拉起 Nav2 导航栈的全部核心组件，并建立控制链路转发。通过 IncludeLaunchDescription 加载 bringup_launch.py，预加载环境地图（/root/my_new_map.yaml），启动 AMCL、planner_server、controller_server、behavior_server 等模块；同时利用 topic_tools/relay 将 Nav2 默认输出的 /cmd_vel 转发至 /cmd_vel_raw，进入下游避障节点进行二次过滤。nav2_ackermann_params.yaml 为阿克曼底盘定制导航参数：规划器采用 SmacPlannerHybrid，运动模型设为 REEDS_SHEPP（支持前向/倒车切换），最小转弯半径 0.25m；控制器采用 RegulatedPurePursuitController，lookahead_dist=0.25m，allow_reversing=true；代价地图 footprint 按真实车身尺寸精确配置为 [[0.19, -0.07], [-0.10, -0.07], [-0.10, 0.07], [0.19, 0.07]]。</w:t>
      </w:r>
    </w:p>
    <w:p w14:paraId="04D5A871">
      <w:pPr>
        <w:bidi w:val="0"/>
      </w:pPr>
    </w:p>
    <w:p w14:paraId="0E8878E5">
      <w:pPr>
        <w:bidi w:val="0"/>
      </w:pPr>
      <w:r>
        <w:t>（二）底层传感器接入与避障模块</w:t>
      </w:r>
    </w:p>
    <w:p w14:paraId="2CDC98C5">
      <w:pPr>
        <w:bidi w:val="0"/>
      </w:pPr>
      <w:r>
        <w:t>stm32_sllidar_avoid_launch.py 为底层传感与驱动层的一站式入口，同时启动激光雷达、EKF 融合、TF 静态发布、避障节点与 STM32 桥接节点。SLLidar C1 驱动通过 sllidar_ros2 包启动，输出 /scan 话题；TF 静态坐标变换设定 base_footprint → laser 绕 X 轴旋转 -90°，补偿雷达侧装姿态；Robot Localization（EKF）以 4 秒延时启动，融合 /odom 与 /scan 数据输出 /odometry/filtered。laser_avoid_test_node.py 作为 FTG 局部避障节点，在 Nav2 与 STM32 之间充当安全过滤网关：输入 /cmd_vel_raw，输出 /cmd_vel_safe；安全策略包括 front_stop_distance=0.30m（正前方 30cm 强制停车）、emergency_stop_distance=0.10m（10cm 内紧急制动）、lateral_stop_distance=0.25m（侧向障碍物限制转向）；支持路口探测逻辑（junction_confirm_cycles=6），多周期确认开放路径后安全通过。</w:t>
      </w:r>
    </w:p>
    <w:p w14:paraId="6EACB8F6">
      <w:pPr>
        <w:bidi w:val="0"/>
      </w:pPr>
      <w:r>
        <w:t>（三）多模态 AI 智能体模块</w:t>
      </w:r>
    </w:p>
    <w:p w14:paraId="1CCA455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pPr>
      <w:r>
        <w:drawing>
          <wp:inline distT="0" distB="0" distL="114300" distR="114300">
            <wp:extent cx="5039995" cy="3757930"/>
            <wp:effectExtent l="0" t="0" r="1905"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3"/>
                    <a:stretch>
                      <a:fillRect/>
                    </a:stretch>
                  </pic:blipFill>
                  <pic:spPr>
                    <a:xfrm>
                      <a:off x="0" y="0"/>
                      <a:ext cx="5040000" cy="3758212"/>
                    </a:xfrm>
                    <a:prstGeom prst="rect">
                      <a:avLst/>
                    </a:prstGeom>
                  </pic:spPr>
                </pic:pic>
              </a:graphicData>
            </a:graphic>
          </wp:inline>
        </w:drawing>
      </w:r>
    </w:p>
    <w:p w14:paraId="66A20995">
      <w:pPr>
        <w:pStyle w:val="18"/>
        <w:bidi w:val="0"/>
      </w:pPr>
      <w:r>
        <w:t>图 2-13 多模态 AI 智能体模块架构图</w:t>
      </w:r>
    </w:p>
    <w:p w14:paraId="05134408">
      <w:pPr>
        <w:bidi w:val="0"/>
      </w:pPr>
      <w:r>
        <w:t>main.cpp 为基于 RKLLM Runtime 的 C++ 原生节点，直接调用 RK3588 NPU 完成 Qwen3-VL 模型的端侧推理。节点名 llm_agent_node，订阅 /llm/prompt 接收指令，发布 /llm/response 输出推理结果。图像编码采用 RKNN 图像编码器（init_imgenc）对摄像头采集的图像进行嵌入，输出与 LLM 对齐的 image_embed 向量；支持 USB 摄像头（/dev/video21，ffmpeg 采集）与 MIPI 左摄像头（/dev/video11，nv12 格式 1920×1080）双路输入。</w:t>
      </w:r>
    </w:p>
    <w:p w14:paraId="6450E897">
      <w:pPr>
        <w:bidi w:val="0"/>
      </w:pPr>
      <w:r>
        <w:t>系统为 Qwen3-VL 实现了完整的 ReAct 推理-行动闭环（run_closed_loop_turn），支持多轮工具调用：capture_image（USB 摄像头抓拍前方图像）、capture_left_image（MIPI 左摄像头抓拍左侧图像）、rag_search（本地 RAG 检索，基于 ONNX 嵌入模型匹配知识库）、get_robot_status（获取电池电压、SOC、CPU 温度、存储与内存使用率）、run_shell_command（执行 bash 命令，移动图片、保存日志）、move_robot（控制小车前进/转向指定距离）。模型输出 &lt;tool_call&gt;{JSON}&lt;/tool_call&gt; 时，主程序解析 JSON 并执行对应工具；工具结果以 [tool_result] 格式回填至下一轮对话上下文；任务完成时模型输出 &lt;final&gt;最终回答&lt;/final&gt;。若输出不符合协议，主程序自动构建 repair prompt 要求模型修正，防止死循环。</w:t>
      </w:r>
    </w:p>
    <w:p w14:paraId="42DFBC1B">
      <w:pPr>
        <w:bidi w:val="0"/>
      </w:pPr>
      <w:r>
        <w:t>（四）巡检任务调度模块</w:t>
      </w:r>
    </w:p>
    <w:p w14:paraId="48CA9AEA">
      <w:pPr>
        <w:bidi w:val="0"/>
      </w:pPr>
    </w:p>
    <w:p w14:paraId="5CB18983">
      <w:pPr>
        <w:bidi w:val="0"/>
      </w:pPr>
      <w:r>
        <w:t>patrol_commander.py 为上层巡检业务的总入口，基于 ROS2 ActionClient 调用 Nav2 的 navigate_to_pose 动作服务器。从 YAML 文件（~/ros2_ws/my_waypoints.yaml）读取航点序列，每个航点包含 x、y、yaw，通过 euler_to_quaternion 转换为四元数构建 PoseStamped 目标，逐点发送并等待 Nav2 反馈 SUCCEEDED 后进入下一航点。航点索引 2、4、6、8 被设定为核心巡检点，到达后自动驻停，通过 /llm/prompt 向 llm_agent_node 发送指令，请求 capture_image 拍摄前方画面并报告环境状态；等待 /llm/response 返回巡检报告（最长等待 60s）。支持 USE_LLM 开关：设为 False 时仅执行纯导航调试，跳过 LLM 调用。</w:t>
      </w:r>
    </w:p>
    <w:p w14:paraId="35B7EF77">
      <w:pPr>
        <w:bidi w:val="0"/>
      </w:pPr>
      <w:r>
        <w:t>（五）本地 RAG 知识检索与状态监控</w:t>
      </w:r>
    </w:p>
    <w:p w14:paraId="6148EDFB">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pPr>
    </w:p>
    <w:p w14:paraId="5FE00E41">
      <w:pPr>
        <w:bidi w:val="0"/>
      </w:pPr>
      <w:r>
        <w:t>RAG 知识库以 inspection_rag_docs/safety_standards.md 为核心，包含工业车间 5S 安全巡检与隐患判定手册，按'看到的场景'分类（地面纸箱、蓝色防静电袋、办公椅、线缆、水渍油渍等）。使用 multilingual-e5-small ONNX 模型（部署于 RK3588 NPU）对知识库进行离线编码，构建本地语义索引。在线检索通过 rag_search 工具触发，用户查询包含 rag: 前缀或关键词（stm32、uart、gpio、encoder、imu 等）时，子进程调用 rag_index_onnx.py search，传入 query、index_dir、top_k 等参数；检索结果以 [local_rag_context] 格式注入 LLM 下一轮提示词，模型结合视觉画面与检索到的标准条文进行合规性研判。每次巡检的图像路径与 LLM 最终报告自动写入 /tmp/inspection_history.jsonl，格式为 JSON Lines。</w:t>
      </w:r>
    </w:p>
    <w:p w14:paraId="5445E9BC">
      <w:pPr>
        <w:bidi w:val="0"/>
      </w:pPr>
      <w:r>
        <w:t>get_robot_status.py 为 ROS2 节点，提供一键式系统状态查询。订阅 /battery_state 获取电池电压与 SOC；读取 /sys/class/thermal/thermal_zone0/temp 获取 CPU 温度；通过 shutil.disk_usage 获取存储信息；解析 /proc/meminfo 获取内存使用率。所有信息统一封装为 JSON 输出，便于 LLM 工具解析与日志记录。</w:t>
      </w:r>
    </w:p>
    <w:p w14:paraId="69C1EB74">
      <w:pPr>
        <w:bidi w:val="0"/>
      </w:pPr>
    </w:p>
    <w:p w14:paraId="623A3A7F">
      <w:pPr>
        <w:bidi w:val="0"/>
      </w:pPr>
      <w:r>
        <w:t>（六）下位机嵌入式软件（STM32G431）</w:t>
      </w:r>
    </w:p>
    <w:p w14:paraId="4287BE6D">
      <w:pPr>
        <w:jc w:val="center"/>
      </w:pPr>
    </w:p>
    <w:p w14:paraId="2028D5B2">
      <w:pPr>
        <w:jc w:val="center"/>
      </w:pPr>
      <w:r>
        <w:drawing>
          <wp:inline distT="0" distB="0" distL="114300" distR="114300">
            <wp:extent cx="5039995" cy="33896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4"/>
                    <a:srcRect t="2264" b="7568"/>
                    <a:stretch>
                      <a:fillRect/>
                    </a:stretch>
                  </pic:blipFill>
                  <pic:spPr>
                    <a:xfrm>
                      <a:off x="0" y="0"/>
                      <a:ext cx="5040000" cy="3389630"/>
                    </a:xfrm>
                    <a:prstGeom prst="rect">
                      <a:avLst/>
                    </a:prstGeom>
                  </pic:spPr>
                </pic:pic>
              </a:graphicData>
            </a:graphic>
          </wp:inline>
        </w:drawing>
      </w:r>
    </w:p>
    <w:p w14:paraId="29281894">
      <w:pPr>
        <w:pStyle w:val="18"/>
        <w:bidi w:val="0"/>
      </w:pPr>
      <w:r>
        <w:t>图 2-14 下位机嵌入式软件架构图（STM32G431）</w:t>
      </w:r>
    </w:p>
    <w:p w14:paraId="20F39513">
      <w:pPr>
        <w:bidi w:val="0"/>
      </w:pPr>
      <w:r>
        <w:t>主控程序（app/Core/Src/main.c）基于 HAL 库开发，采用前后台分离架构：后台 1ms 定时中断负责电机编码器采样与 PWM 输出，前台主循环 5ms 周期执行传感器融合与通信。传感器融合：上电后自动执行 6 秒/1200 样本的 IMU 陀螺仪零偏自适应校准，随后以 5ms 周期调用 FusionTracker 融合六轴加速度与陀螺仪数据，输出姿态角。运动控制闭环：1ms 控制周期内完成三路 PID 运算——直线保持 PID（利用 IMU 偏航角反馈锁定航向，补偿舵机中位漂移）、双轮同步 PID（基于左右编码器脉冲差校正后轮速差，抑制轮胎打滑）、舵机限幅与死区（最大转角限制 ±50°，低速死带 0.01m/s）。命令解析与安全：串口接收以 @ 为前缀的协议帧，支持 CMD（速度/角速度指令）、BRAKE（紧急制动）、LEFT90/RIGHT90（定点转向）及 PIDTEST（调试模式）。若 500ms 未收到有效指令，自动触发超时刹车并切断电机。电源与遥测：20ms 周期通过 INA219 采集母线电压、电流，估算 SOC 并上报；OLED 实时绘制仪表盘。OTA 跳转：解析到 update 命令时，向 W25Q64 写入 IAP 标志并软复位，由 Bootloader 接管升级。</w:t>
      </w:r>
    </w:p>
    <w:p w14:paraId="272E7DF3">
      <w:pPr>
        <w:rPr>
          <w:rFonts w:hint="eastAsia"/>
        </w:rPr>
      </w:pPr>
      <w:r>
        <w:rPr>
          <w:rFonts w:hint="eastAsia"/>
        </w:rPr>
        <w:t>STOP低功耗与RTC定时唤醒：巡检任务全部完成后，主控通过 HAL_GPIO_WritePin(GPIOC, GPIO_PIN_13, GPIO_PIN_RESET) 拉低 PC13，关断 PWR_STOPENTRY_WFI) 进入 STOP 模式，所有外设时钟停止，仅保留 RTC 与 PC13 唤醒线。RTC 通过 HAL_RTCEx_SetWakeUPMOS 切断 RK3588 供电；随后调用 HAL_PWR_EnterSTOPMode(PWR_LOWPOWERREGULATOR_ON, pTimer_IT(&amp;hrtc, wakeup_count, RTC_WAKEUPCLOCK_RTCCLK_DIV16) 预设唤醒周期，到达设定时刻后 RTC 闹钟中断唤醒 STM32，在 HAL_RTCEx_WakeUpTimerEventCallback 中调用 HAL_GPIO_WritePin(GPIOC, GPIO_PIN_13, GPIO_PIN_SET) 重新导通 PMOS，恢复 RK3588 供电并完成系统初始化，进入下一轮巡检循环。在 STOP 期间，STM32 功耗降至 μA 级，有效延长电池续航，保障长期部署下的能耗经济性。</w:t>
      </w:r>
    </w:p>
    <w:p w14:paraId="777F21FB">
      <w:pPr>
        <w:bidi w:val="0"/>
      </w:pPr>
      <w:r>
        <w:t>安全 Bootloader（G431bootloader/Core/Src/main.c）驻留于 Flash 起始区（0x0800_0000），上电后首先拉低 PC13 维持 PMOS 导通，确保上位机 RK3588 不掉电。防'变砖'与回滚机制：启动时向 W25Q64 的 BootInfo 扇区写入 boot_failure_count；若应用跳回 Bootloader 连续累计 ≥3 次，自动将 W25Q64 备份区固件还原至内部 Flash，重置计数后再次启动。Y-Modem 接收：支持 PB7 物理按键或主程序远程触发进入 IAP 模式，通过 UART 以 Y-Modem 协议接收新固件至 W25Q64 外部 Flash。原子刷写：接收完成后，Bootloader 先将当前应用完整备份至 W25Q64，再擦除内部 Flash 并写入新固件；更新成功后清零 is_ota_ready，复位启动。整个过程掉电不丢失，确保远程升级失败后可自愈回滚。</w:t>
      </w:r>
    </w:p>
    <w:p w14:paraId="3965F79B">
      <w:pPr>
        <w:pStyle w:val="2"/>
        <w:bidi w:val="0"/>
        <w:rPr>
          <w:rFonts w:ascii="Times New Roman" w:hAnsi="Times New Roman" w:eastAsia="宋体" w:cs="Times New Roman"/>
          <w:b/>
        </w:rPr>
      </w:pPr>
      <w:r>
        <w:rPr>
          <w:rFonts w:hint="eastAsia"/>
        </w:rPr>
        <w:t>第三部分 完成情况及性能参数</w:t>
      </w:r>
    </w:p>
    <w:p w14:paraId="7CF746DC">
      <w:pPr>
        <w:pStyle w:val="13"/>
        <w:numPr>
          <w:ilvl w:val="1"/>
          <w:numId w:val="6"/>
        </w:numPr>
        <w:spacing w:line="360" w:lineRule="auto"/>
        <w:ind w:firstLineChars="0"/>
        <w:rPr>
          <w:rFonts w:ascii="Times New Roman" w:hAnsi="Times New Roman" w:eastAsia="宋体" w:cs="Times New Roman"/>
          <w:sz w:val="24"/>
        </w:rPr>
      </w:pPr>
      <w:r>
        <w:rPr>
          <w:rFonts w:hint="eastAsia" w:eastAsiaTheme="minorEastAsia"/>
          <w:lang w:eastAsia="zh-CN"/>
        </w:rPr>
        <w:drawing>
          <wp:anchor distT="0" distB="0" distL="114300" distR="114300" simplePos="0" relativeHeight="251660288" behindDoc="0" locked="0" layoutInCell="1" allowOverlap="1">
            <wp:simplePos x="0" y="0"/>
            <wp:positionH relativeFrom="column">
              <wp:posOffset>2094865</wp:posOffset>
            </wp:positionH>
            <wp:positionV relativeFrom="paragraph">
              <wp:posOffset>465455</wp:posOffset>
            </wp:positionV>
            <wp:extent cx="2434590" cy="1477010"/>
            <wp:effectExtent l="0" t="0" r="3810" b="8890"/>
            <wp:wrapTopAndBottom/>
            <wp:docPr id="9" name="图片 9" descr="IMG_20260628_193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0260628_193304"/>
                    <pic:cNvPicPr>
                      <a:picLocks noChangeAspect="1"/>
                    </pic:cNvPicPr>
                  </pic:nvPicPr>
                  <pic:blipFill>
                    <a:blip r:embed="rId35"/>
                    <a:stretch>
                      <a:fillRect/>
                    </a:stretch>
                  </pic:blipFill>
                  <pic:spPr>
                    <a:xfrm>
                      <a:off x="0" y="0"/>
                      <a:ext cx="2434590" cy="1477010"/>
                    </a:xfrm>
                    <a:prstGeom prst="rect">
                      <a:avLst/>
                    </a:prstGeom>
                  </pic:spPr>
                </pic:pic>
              </a:graphicData>
            </a:graphic>
          </wp:anchor>
        </w:drawing>
      </w:r>
      <w:r>
        <w:rPr>
          <w:rFonts w:hint="eastAsia" w:ascii="Times New Roman" w:hAnsi="Times New Roman" w:eastAsia="宋体" w:cs="Times New Roman"/>
          <w:sz w:val="24"/>
        </w:rPr>
        <w:t xml:space="preserve"> 整体介绍</w:t>
      </w:r>
    </w:p>
    <w:p w14:paraId="744B624B">
      <w:pPr>
        <w:pStyle w:val="18"/>
        <w:bidi w:val="0"/>
        <w:rPr>
          <w:rFonts w:hint="default"/>
          <w:lang w:val="en-US" w:eastAsia="zh-CN"/>
        </w:rPr>
      </w:pPr>
      <w:r>
        <w:rPr>
          <w:rFonts w:hint="eastAsia" w:eastAsiaTheme="minorEastAsia"/>
          <w:lang w:eastAsia="zh-CN"/>
        </w:rPr>
        <w:drawing>
          <wp:anchor distT="0" distB="0" distL="114300" distR="114300" simplePos="0" relativeHeight="251659264" behindDoc="0" locked="0" layoutInCell="1" allowOverlap="1">
            <wp:simplePos x="0" y="0"/>
            <wp:positionH relativeFrom="column">
              <wp:posOffset>-344170</wp:posOffset>
            </wp:positionH>
            <wp:positionV relativeFrom="paragraph">
              <wp:posOffset>144780</wp:posOffset>
            </wp:positionV>
            <wp:extent cx="2406650" cy="1477010"/>
            <wp:effectExtent l="0" t="0" r="6350" b="8890"/>
            <wp:wrapTopAndBottom/>
            <wp:docPr id="42" name="图片 42" descr="IMG_20260628_193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IMG_20260628_193300"/>
                    <pic:cNvPicPr>
                      <a:picLocks noChangeAspect="1"/>
                    </pic:cNvPicPr>
                  </pic:nvPicPr>
                  <pic:blipFill>
                    <a:blip r:embed="rId36"/>
                    <a:srcRect l="23991" t="27575" r="7034" b="16003"/>
                    <a:stretch>
                      <a:fillRect/>
                    </a:stretch>
                  </pic:blipFill>
                  <pic:spPr>
                    <a:xfrm>
                      <a:off x="0" y="0"/>
                      <a:ext cx="2406650" cy="1477010"/>
                    </a:xfrm>
                    <a:prstGeom prst="rect">
                      <a:avLst/>
                    </a:prstGeom>
                  </pic:spPr>
                </pic:pic>
              </a:graphicData>
            </a:graphic>
          </wp:anchor>
        </w:drawing>
      </w:r>
      <w:r>
        <w:rPr>
          <w:rFonts w:hint="eastAsia"/>
          <w:lang w:val="en-US" w:eastAsia="zh-CN"/>
        </w:rPr>
        <w:t>图3-1巡检系统正面图及</w:t>
      </w:r>
      <m:oMath>
        <m:sSup>
          <m:sSupPr>
            <m:ctrlPr>
              <w:rPr>
                <w:rFonts w:ascii="Cambria Math" w:hAnsi="Cambria Math"/>
                <w:lang w:val="en-US"/>
              </w:rPr>
            </m:ctrlPr>
          </m:sSupPr>
          <m:e>
            <m:r>
              <m:rPr>
                <m:sty m:val="p"/>
              </m:rPr>
              <w:rPr>
                <w:rFonts w:hint="eastAsia" w:ascii="Times New Roman" w:hAnsi="Times New Roman"/>
                <w:lang w:val="en-US" w:eastAsia="zh-CN"/>
              </w:rPr>
              <m:t>45</m:t>
            </m:r>
            <m:ctrlPr>
              <w:rPr>
                <w:rFonts w:ascii="Cambria Math" w:hAnsi="Cambria Math"/>
                <w:lang w:val="en-US"/>
              </w:rPr>
            </m:ctrlPr>
          </m:e>
          <m:sup>
            <m:r>
              <m:rPr>
                <m:sty m:val="p"/>
              </m:rPr>
              <w:rPr>
                <w:rFonts w:hint="default" w:ascii="Times New Roman" w:hAnsi="Times New Roman"/>
                <w:lang w:val="en-US" w:eastAsia="zh-CN"/>
              </w:rPr>
              <m:t>o</m:t>
            </m:r>
            <m:ctrlPr>
              <w:rPr>
                <w:rFonts w:ascii="Cambria Math" w:hAnsi="Cambria Math"/>
                <w:lang w:val="en-US"/>
              </w:rPr>
            </m:ctrlPr>
          </m:sup>
        </m:sSup>
      </m:oMath>
      <w:r>
        <w:rPr>
          <w:rFonts w:hint="eastAsia"/>
          <w:lang w:val="en-US" w:eastAsia="zh-CN"/>
        </w:rPr>
        <w:t>角视图</w:t>
      </w:r>
    </w:p>
    <w:p w14:paraId="595E70C7">
      <w:pPr>
        <w:pStyle w:val="13"/>
        <w:numPr>
          <w:ilvl w:val="0"/>
          <w:numId w:val="0"/>
        </w:numPr>
        <w:spacing w:line="360" w:lineRule="auto"/>
        <w:ind w:leftChars="0"/>
        <w:rPr>
          <w:rFonts w:ascii="Times New Roman" w:hAnsi="Times New Roman" w:eastAsia="宋体" w:cs="Times New Roman"/>
          <w:sz w:val="24"/>
        </w:rPr>
      </w:pPr>
    </w:p>
    <w:p w14:paraId="60872FDC">
      <w:pPr>
        <w:pStyle w:val="13"/>
        <w:numPr>
          <w:ilvl w:val="1"/>
          <w:numId w:val="6"/>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 xml:space="preserve"> 工程成果</w:t>
      </w:r>
    </w:p>
    <w:p w14:paraId="72400020">
      <w:pPr>
        <w:pStyle w:val="13"/>
        <w:numPr>
          <w:ilvl w:val="0"/>
          <w:numId w:val="0"/>
        </w:numPr>
        <w:spacing w:line="360" w:lineRule="auto"/>
        <w:ind w:leftChars="0"/>
        <w:rPr>
          <w:rFonts w:ascii="Times New Roman" w:hAnsi="Times New Roman" w:eastAsia="宋体" w:cs="Times New Roman"/>
          <w:sz w:val="24"/>
        </w:rPr>
      </w:pPr>
    </w:p>
    <w:p w14:paraId="2CF769DD">
      <w:pPr>
        <w:pStyle w:val="3"/>
        <w:numPr>
          <w:ilvl w:val="2"/>
          <w:numId w:val="6"/>
        </w:numPr>
        <w:spacing w:line="360" w:lineRule="auto"/>
        <w:ind w:left="720" w:leftChars="0" w:hanging="720" w:firstLineChars="0"/>
        <w:rPr>
          <w:rFonts w:hint="eastAsia" w:ascii="Times New Roman" w:hAnsi="Times New Roman" w:eastAsia="宋体" w:cs="Times New Roman"/>
          <w:sz w:val="24"/>
        </w:rPr>
      </w:pPr>
      <w:r>
        <w:rPr>
          <w:rFonts w:hint="eastAsia" w:ascii="Times New Roman" w:hAnsi="Times New Roman" w:eastAsia="宋体" w:cs="Times New Roman"/>
          <w:sz w:val="24"/>
        </w:rPr>
        <w:t>机械成果；</w:t>
      </w:r>
    </w:p>
    <w:p w14:paraId="54AE2FBE">
      <w:pPr>
        <w:numPr>
          <w:ilvl w:val="0"/>
          <w:numId w:val="0"/>
        </w:numPr>
        <w:ind w:leftChars="0"/>
        <w:jc w:val="center"/>
        <w:rPr>
          <w:rFonts w:hint="default" w:ascii="Times New Roman" w:hAnsi="Times New Roman" w:eastAsia="宋体" w:cstheme="minorBidi"/>
          <w:kern w:val="2"/>
          <w:sz w:val="21"/>
          <w:szCs w:val="24"/>
          <w:lang w:val="en-US" w:eastAsia="zh-CN" w:bidi="ar-SA"/>
        </w:rPr>
      </w:pPr>
      <w:r>
        <w:rPr>
          <w:rFonts w:hint="eastAsia" w:ascii="Times New Roman" w:hAnsi="Times New Roman" w:eastAsia="宋体" w:cs="Times New Roman"/>
          <w:sz w:val="24"/>
        </w:rPr>
        <w:drawing>
          <wp:anchor distT="0" distB="0" distL="114300" distR="114300" simplePos="0" relativeHeight="251665408" behindDoc="0" locked="0" layoutInCell="1" allowOverlap="1">
            <wp:simplePos x="0" y="0"/>
            <wp:positionH relativeFrom="column">
              <wp:posOffset>2938145</wp:posOffset>
            </wp:positionH>
            <wp:positionV relativeFrom="paragraph">
              <wp:posOffset>103505</wp:posOffset>
            </wp:positionV>
            <wp:extent cx="1938020" cy="1257300"/>
            <wp:effectExtent l="0" t="0" r="5080" b="0"/>
            <wp:wrapTopAndBottom/>
            <wp:docPr id="19" name="图片 19" descr="IMG_20260607_190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MG_20260607_190845"/>
                    <pic:cNvPicPr>
                      <a:picLocks noChangeAspect="1"/>
                    </pic:cNvPicPr>
                  </pic:nvPicPr>
                  <pic:blipFill>
                    <a:blip r:embed="rId37"/>
                    <a:stretch>
                      <a:fillRect/>
                    </a:stretch>
                  </pic:blipFill>
                  <pic:spPr>
                    <a:xfrm>
                      <a:off x="0" y="0"/>
                      <a:ext cx="1938020" cy="1257300"/>
                    </a:xfrm>
                    <a:prstGeom prst="rect">
                      <a:avLst/>
                    </a:prstGeom>
                  </pic:spPr>
                </pic:pic>
              </a:graphicData>
            </a:graphic>
          </wp:anchor>
        </w:drawing>
      </w:r>
      <w:r>
        <w:rPr>
          <w:rFonts w:hint="eastAsia" w:ascii="Times New Roman" w:hAnsi="Times New Roman" w:eastAsia="宋体" w:cstheme="minorBidi"/>
          <w:kern w:val="2"/>
          <w:sz w:val="21"/>
          <w:szCs w:val="24"/>
          <w:lang w:val="en-US" w:eastAsia="zh-CN" w:bidi="ar-SA"/>
        </w:rPr>
        <w:drawing>
          <wp:anchor distT="0" distB="0" distL="114300" distR="114300" simplePos="0" relativeHeight="251664384" behindDoc="0" locked="0" layoutInCell="1" allowOverlap="1">
            <wp:simplePos x="0" y="0"/>
            <wp:positionH relativeFrom="column">
              <wp:posOffset>779780</wp:posOffset>
            </wp:positionH>
            <wp:positionV relativeFrom="paragraph">
              <wp:posOffset>109855</wp:posOffset>
            </wp:positionV>
            <wp:extent cx="2183130" cy="1268730"/>
            <wp:effectExtent l="0" t="0" r="1270" b="1270"/>
            <wp:wrapTopAndBottom/>
            <wp:docPr id="18" name="图片 18" descr="IMG_20260619_185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IMG_20260619_185045"/>
                    <pic:cNvPicPr>
                      <a:picLocks noChangeAspect="1"/>
                    </pic:cNvPicPr>
                  </pic:nvPicPr>
                  <pic:blipFill>
                    <a:blip r:embed="rId38"/>
                    <a:srcRect l="16774" t="28210" r="1528" b="36190"/>
                    <a:stretch>
                      <a:fillRect/>
                    </a:stretch>
                  </pic:blipFill>
                  <pic:spPr>
                    <a:xfrm>
                      <a:off x="0" y="0"/>
                      <a:ext cx="2183130" cy="1268730"/>
                    </a:xfrm>
                    <a:prstGeom prst="rect">
                      <a:avLst/>
                    </a:prstGeom>
                  </pic:spPr>
                </pic:pic>
              </a:graphicData>
            </a:graphic>
          </wp:anchor>
        </w:drawing>
      </w:r>
      <w:r>
        <w:rPr>
          <w:rFonts w:hint="eastAsia" w:ascii="Times New Roman" w:hAnsi="Times New Roman" w:eastAsia="宋体" w:cstheme="minorBidi"/>
          <w:kern w:val="2"/>
          <w:sz w:val="21"/>
          <w:szCs w:val="24"/>
          <w:lang w:val="en-US" w:eastAsia="zh-CN" w:bidi="ar-SA"/>
        </w:rPr>
        <w:t>图3.2.1巡检系统机械底盘及外壳</w:t>
      </w:r>
    </w:p>
    <w:p w14:paraId="1EF06005">
      <w:pPr>
        <w:pStyle w:val="3"/>
        <w:spacing w:line="360" w:lineRule="auto"/>
        <w:ind w:left="360" w:firstLine="0" w:firstLineChars="0"/>
        <w:rPr>
          <w:rFonts w:hint="eastAsia" w:eastAsia="宋体"/>
          <w:lang w:eastAsia="zh-CN"/>
        </w:rPr>
      </w:pPr>
      <w:r>
        <w:rPr>
          <w:rFonts w:hint="eastAsia" w:ascii="Times New Roman" w:hAnsi="Times New Roman" w:eastAsia="宋体" w:cs="Times New Roman"/>
          <w:sz w:val="24"/>
        </w:rPr>
        <w:t>3.2.2</w:t>
      </w:r>
      <w:r>
        <w:rPr>
          <w:rFonts w:ascii="Times New Roman" w:hAnsi="Times New Roman" w:eastAsia="宋体" w:cs="Times New Roman"/>
          <w:sz w:val="24"/>
        </w:rPr>
        <w:t xml:space="preserve"> </w:t>
      </w:r>
      <w:r>
        <w:rPr>
          <w:rFonts w:hint="eastAsia" w:ascii="Times New Roman" w:hAnsi="Times New Roman" w:eastAsia="宋体" w:cs="Times New Roman"/>
          <w:sz w:val="24"/>
        </w:rPr>
        <w:t>电路成果；</w:t>
      </w:r>
    </w:p>
    <w:p w14:paraId="4A2B2658">
      <w:pPr>
        <w:pStyle w:val="18"/>
        <w:bidi w:val="0"/>
        <w:jc w:val="both"/>
        <w:rPr>
          <w:rFonts w:hint="eastAsia" w:ascii="Times New Roman" w:hAnsi="Times New Roman" w:eastAsia="宋体" w:cstheme="minorBidi"/>
          <w:kern w:val="2"/>
          <w:sz w:val="21"/>
          <w:szCs w:val="24"/>
          <w:lang w:val="en-US" w:eastAsia="zh-CN" w:bidi="ar-SA"/>
        </w:rPr>
      </w:pPr>
    </w:p>
    <w:p w14:paraId="5C25AF8F">
      <w:pPr>
        <w:pStyle w:val="18"/>
        <w:bidi w:val="0"/>
        <w:rPr>
          <w:rFonts w:hint="eastAsia" w:ascii="Times New Roman" w:hAnsi="Times New Roman" w:eastAsia="宋体" w:cstheme="minorBidi"/>
          <w:kern w:val="2"/>
          <w:sz w:val="21"/>
          <w:szCs w:val="24"/>
          <w:lang w:val="en-US" w:eastAsia="zh-CN" w:bidi="ar-SA"/>
        </w:rPr>
      </w:pPr>
    </w:p>
    <w:p w14:paraId="70DE5EE2">
      <w:pPr>
        <w:pStyle w:val="18"/>
        <w:bidi w:val="0"/>
        <w:rPr>
          <w:rFonts w:hint="eastAsia" w:ascii="Times New Roman" w:hAnsi="Times New Roman" w:eastAsia="宋体" w:cstheme="minorBidi"/>
          <w:kern w:val="2"/>
          <w:sz w:val="21"/>
          <w:szCs w:val="24"/>
          <w:lang w:val="en-US" w:eastAsia="zh-CN" w:bidi="ar-SA"/>
        </w:rPr>
      </w:pPr>
      <w:r>
        <w:rPr>
          <w:rFonts w:hint="eastAsia" w:ascii="Times New Roman" w:hAnsi="Times New Roman" w:eastAsia="宋体" w:cstheme="minorBidi"/>
          <w:kern w:val="2"/>
          <w:sz w:val="21"/>
          <w:szCs w:val="24"/>
          <w:lang w:val="en-US" w:eastAsia="zh-CN" w:bidi="ar-SA"/>
        </w:rPr>
        <w:drawing>
          <wp:anchor distT="0" distB="0" distL="114300" distR="114300" simplePos="0" relativeHeight="251673600" behindDoc="0" locked="0" layoutInCell="1" allowOverlap="1">
            <wp:simplePos x="0" y="0"/>
            <wp:positionH relativeFrom="column">
              <wp:posOffset>1802130</wp:posOffset>
            </wp:positionH>
            <wp:positionV relativeFrom="paragraph">
              <wp:posOffset>1252855</wp:posOffset>
            </wp:positionV>
            <wp:extent cx="2216150" cy="3094990"/>
            <wp:effectExtent l="0" t="0" r="13970" b="8890"/>
            <wp:wrapTopAndBottom/>
            <wp:docPr id="26" name="图片 26" descr="7619406e1b4d8eb3765b00b64ddb30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7619406e1b4d8eb3765b00b64ddb301d"/>
                    <pic:cNvPicPr>
                      <a:picLocks noChangeAspect="1"/>
                    </pic:cNvPicPr>
                  </pic:nvPicPr>
                  <pic:blipFill>
                    <a:blip r:embed="rId39"/>
                    <a:srcRect l="14291" t="19962" r="25980" b="17511"/>
                    <a:stretch>
                      <a:fillRect/>
                    </a:stretch>
                  </pic:blipFill>
                  <pic:spPr>
                    <a:xfrm rot="5400000">
                      <a:off x="0" y="0"/>
                      <a:ext cx="2216150" cy="3094990"/>
                    </a:xfrm>
                    <a:prstGeom prst="rect">
                      <a:avLst/>
                    </a:prstGeom>
                  </pic:spPr>
                </pic:pic>
              </a:graphicData>
            </a:graphic>
          </wp:anchor>
        </w:drawing>
      </w:r>
      <w:r>
        <w:rPr>
          <w:rFonts w:hint="eastAsia" w:ascii="Times New Roman" w:hAnsi="Times New Roman" w:eastAsia="宋体" w:cstheme="minorBidi"/>
          <w:kern w:val="2"/>
          <w:sz w:val="21"/>
          <w:szCs w:val="24"/>
          <w:lang w:val="en-US" w:eastAsia="zh-CN" w:bidi="ar-SA"/>
        </w:rPr>
        <w:drawing>
          <wp:anchor distT="0" distB="0" distL="114300" distR="114300" simplePos="0" relativeHeight="251661312" behindDoc="0" locked="0" layoutInCell="1" allowOverlap="1">
            <wp:simplePos x="0" y="0"/>
            <wp:positionH relativeFrom="column">
              <wp:posOffset>3260725</wp:posOffset>
            </wp:positionH>
            <wp:positionV relativeFrom="paragraph">
              <wp:posOffset>-368300</wp:posOffset>
            </wp:positionV>
            <wp:extent cx="1353185" cy="2148840"/>
            <wp:effectExtent l="0" t="0" r="10160" b="5715"/>
            <wp:wrapTopAndBottom/>
            <wp:docPr id="17" name="图片 17" descr="IMG_20260629_134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20260629_134012"/>
                    <pic:cNvPicPr>
                      <a:picLocks noChangeAspect="1"/>
                    </pic:cNvPicPr>
                  </pic:nvPicPr>
                  <pic:blipFill>
                    <a:blip r:embed="rId40"/>
                    <a:srcRect l="12888" t="8844" r="22110" b="13802"/>
                    <a:stretch>
                      <a:fillRect/>
                    </a:stretch>
                  </pic:blipFill>
                  <pic:spPr>
                    <a:xfrm rot="16200000">
                      <a:off x="0" y="0"/>
                      <a:ext cx="1353185" cy="2148840"/>
                    </a:xfrm>
                    <a:prstGeom prst="rect">
                      <a:avLst/>
                    </a:prstGeom>
                  </pic:spPr>
                </pic:pic>
              </a:graphicData>
            </a:graphic>
          </wp:anchor>
        </w:drawing>
      </w:r>
      <w:r>
        <w:rPr>
          <w:rFonts w:hint="eastAsia" w:ascii="Times New Roman" w:hAnsi="Times New Roman" w:eastAsia="宋体" w:cstheme="minorBidi"/>
          <w:kern w:val="2"/>
          <w:sz w:val="21"/>
          <w:szCs w:val="24"/>
          <w:lang w:val="en-US" w:eastAsia="zh-CN" w:bidi="ar-SA"/>
        </w:rPr>
        <w:drawing>
          <wp:anchor distT="0" distB="0" distL="114300" distR="114300" simplePos="0" relativeHeight="251662336" behindDoc="0" locked="0" layoutInCell="1" allowOverlap="1">
            <wp:simplePos x="0" y="0"/>
            <wp:positionH relativeFrom="column">
              <wp:posOffset>1198880</wp:posOffset>
            </wp:positionH>
            <wp:positionV relativeFrom="paragraph">
              <wp:posOffset>-343535</wp:posOffset>
            </wp:positionV>
            <wp:extent cx="1348740" cy="2100580"/>
            <wp:effectExtent l="0" t="0" r="7620" b="10160"/>
            <wp:wrapTopAndBottom/>
            <wp:docPr id="16" name="图片 16" descr="IMG_20260629_134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20260629_134019"/>
                    <pic:cNvPicPr>
                      <a:picLocks noChangeAspect="1"/>
                    </pic:cNvPicPr>
                  </pic:nvPicPr>
                  <pic:blipFill>
                    <a:blip r:embed="rId41"/>
                    <a:srcRect l="26510" t="16621" r="10386" b="9669"/>
                    <a:stretch>
                      <a:fillRect/>
                    </a:stretch>
                  </pic:blipFill>
                  <pic:spPr>
                    <a:xfrm rot="16200000">
                      <a:off x="0" y="0"/>
                      <a:ext cx="1348740" cy="2100580"/>
                    </a:xfrm>
                    <a:prstGeom prst="rect">
                      <a:avLst/>
                    </a:prstGeom>
                  </pic:spPr>
                </pic:pic>
              </a:graphicData>
            </a:graphic>
          </wp:anchor>
        </w:drawing>
      </w:r>
      <w:r>
        <w:rPr>
          <w:rFonts w:hint="eastAsia" w:ascii="Times New Roman" w:hAnsi="Times New Roman" w:eastAsia="宋体" w:cstheme="minorBidi"/>
          <w:kern w:val="2"/>
          <w:sz w:val="21"/>
          <w:szCs w:val="24"/>
          <w:lang w:val="en-US" w:eastAsia="zh-CN" w:bidi="ar-SA"/>
        </w:rPr>
        <w:t>图3.2.2巡检系统电路pcb板实物</w:t>
      </w:r>
    </w:p>
    <w:p w14:paraId="3455D252">
      <w:pPr>
        <w:pStyle w:val="18"/>
        <w:bidi w:val="0"/>
        <w:rPr>
          <w:rFonts w:hint="default"/>
          <w:lang w:val="en-US" w:eastAsia="zh-CN"/>
        </w:rPr>
      </w:pPr>
      <w:r>
        <w:rPr>
          <w:rFonts w:hint="default"/>
          <w:lang w:val="en-US" w:eastAsia="zh-CN"/>
        </w:rPr>
        <w:t>图3.2.3巡检系统</w:t>
      </w:r>
      <w:r>
        <w:rPr>
          <w:rFonts w:hint="eastAsia"/>
          <w:lang w:val="en-US" w:eastAsia="zh-CN"/>
        </w:rPr>
        <w:t>底板焊接</w:t>
      </w:r>
      <w:r>
        <w:rPr>
          <w:rFonts w:hint="default"/>
          <w:lang w:val="en-US" w:eastAsia="zh-CN"/>
        </w:rPr>
        <w:t>实物</w:t>
      </w:r>
    </w:p>
    <w:p w14:paraId="057EE7E9">
      <w:pPr>
        <w:pStyle w:val="3"/>
        <w:spacing w:line="360" w:lineRule="auto"/>
        <w:ind w:left="360" w:firstLine="0" w:firstLineChars="0"/>
        <w:rPr>
          <w:rFonts w:hint="eastAsia" w:ascii="Times New Roman" w:hAnsi="Times New Roman" w:eastAsia="宋体" w:cstheme="minorBidi"/>
          <w:b w:val="0"/>
          <w:bCs w:val="0"/>
          <w:kern w:val="2"/>
          <w:sz w:val="21"/>
          <w:szCs w:val="24"/>
          <w:lang w:val="en-US" w:eastAsia="zh-CN" w:bidi="ar-SA"/>
        </w:rPr>
      </w:pPr>
      <w:r>
        <w:rPr>
          <w:rFonts w:hint="eastAsia" w:ascii="Times New Roman" w:hAnsi="Times New Roman" w:eastAsia="宋体" w:cs="Times New Roman"/>
          <w:sz w:val="24"/>
        </w:rPr>
        <w:t>3.2.3</w:t>
      </w:r>
      <w:r>
        <w:rPr>
          <w:rFonts w:ascii="Times New Roman" w:hAnsi="Times New Roman" w:eastAsia="宋体" w:cs="Times New Roman"/>
          <w:sz w:val="24"/>
        </w:rPr>
        <w:t xml:space="preserve"> </w:t>
      </w:r>
      <w:r>
        <w:rPr>
          <w:rFonts w:hint="eastAsia" w:ascii="Times New Roman" w:hAnsi="Times New Roman" w:eastAsia="宋体" w:cs="Times New Roman"/>
          <w:sz w:val="24"/>
        </w:rPr>
        <w:t>软件成果；</w:t>
      </w:r>
    </w:p>
    <w:p w14:paraId="0C44CF3E">
      <w:pPr>
        <w:pStyle w:val="18"/>
        <w:bidi w:val="0"/>
        <w:rPr>
          <w:rFonts w:hint="default"/>
          <w:lang w:val="en-US" w:eastAsia="zh-CN"/>
        </w:rPr>
      </w:pPr>
      <w:r>
        <w:rPr>
          <w:rFonts w:hint="eastAsia" w:ascii="Times New Roman" w:hAnsi="Times New Roman" w:eastAsia="宋体" w:cstheme="minorBidi"/>
          <w:kern w:val="2"/>
          <w:sz w:val="21"/>
          <w:szCs w:val="24"/>
          <w:lang w:val="en-US" w:eastAsia="zh-CN" w:bidi="ar-SA"/>
        </w:rPr>
        <w:drawing>
          <wp:anchor distT="0" distB="0" distL="114300" distR="114300" simplePos="0" relativeHeight="251663360" behindDoc="0" locked="0" layoutInCell="1" allowOverlap="1">
            <wp:simplePos x="0" y="0"/>
            <wp:positionH relativeFrom="column">
              <wp:posOffset>735965</wp:posOffset>
            </wp:positionH>
            <wp:positionV relativeFrom="paragraph">
              <wp:posOffset>50165</wp:posOffset>
            </wp:positionV>
            <wp:extent cx="4142105" cy="2057400"/>
            <wp:effectExtent l="0" t="0" r="10795" b="0"/>
            <wp:wrapTopAndBottom/>
            <wp:docPr id="10" name="图片 10" descr="f4c122b612c4dc5fd8418d92137df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4c122b612c4dc5fd8418d92137df5b0"/>
                    <pic:cNvPicPr>
                      <a:picLocks noChangeAspect="1"/>
                    </pic:cNvPicPr>
                  </pic:nvPicPr>
                  <pic:blipFill>
                    <a:blip r:embed="rId42"/>
                    <a:stretch>
                      <a:fillRect/>
                    </a:stretch>
                  </pic:blipFill>
                  <pic:spPr>
                    <a:xfrm>
                      <a:off x="0" y="0"/>
                      <a:ext cx="4142105" cy="2057400"/>
                    </a:xfrm>
                    <a:prstGeom prst="rect">
                      <a:avLst/>
                    </a:prstGeom>
                  </pic:spPr>
                </pic:pic>
              </a:graphicData>
            </a:graphic>
          </wp:anchor>
        </w:drawing>
      </w:r>
      <w:r>
        <w:rPr>
          <w:rFonts w:hint="eastAsia" w:ascii="Times New Roman" w:hAnsi="Times New Roman" w:eastAsia="宋体" w:cstheme="minorBidi"/>
          <w:kern w:val="2"/>
          <w:sz w:val="21"/>
          <w:szCs w:val="24"/>
          <w:lang w:val="en-US" w:eastAsia="zh-CN" w:bidi="ar-SA"/>
        </w:rPr>
        <w:t>图3.2.3巡检系统ui界面</w:t>
      </w:r>
    </w:p>
    <w:p w14:paraId="0D56E155">
      <w:pPr>
        <w:pStyle w:val="13"/>
        <w:numPr>
          <w:ilvl w:val="0"/>
          <w:numId w:val="0"/>
        </w:numPr>
        <w:tabs>
          <w:tab w:val="center" w:pos="4535"/>
        </w:tabs>
        <w:spacing w:line="360" w:lineRule="auto"/>
        <w:ind w:leftChars="0"/>
        <w:rPr>
          <w:rFonts w:hint="default" w:ascii="Times New Roman" w:hAnsi="Times New Roman" w:eastAsia="宋体" w:cs="Times New Roman"/>
          <w:sz w:val="24"/>
          <w:lang w:val="en-US"/>
        </w:rPr>
      </w:pPr>
      <w:r>
        <w:drawing>
          <wp:anchor distT="0" distB="0" distL="114300" distR="114300" simplePos="0" relativeHeight="251674624" behindDoc="0" locked="0" layoutInCell="1" allowOverlap="1">
            <wp:simplePos x="0" y="0"/>
            <wp:positionH relativeFrom="column">
              <wp:posOffset>1319530</wp:posOffset>
            </wp:positionH>
            <wp:positionV relativeFrom="paragraph">
              <wp:posOffset>102235</wp:posOffset>
            </wp:positionV>
            <wp:extent cx="2780030" cy="1902460"/>
            <wp:effectExtent l="0" t="0" r="8890" b="2540"/>
            <wp:wrapTopAndBottom/>
            <wp:docPr id="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
                    <pic:cNvPicPr>
                      <a:picLocks noChangeAspect="1"/>
                    </pic:cNvPicPr>
                  </pic:nvPicPr>
                  <pic:blipFill>
                    <a:blip r:embed="rId43"/>
                    <a:stretch>
                      <a:fillRect/>
                    </a:stretch>
                  </pic:blipFill>
                  <pic:spPr>
                    <a:xfrm>
                      <a:off x="0" y="0"/>
                      <a:ext cx="2780030" cy="1902460"/>
                    </a:xfrm>
                    <a:prstGeom prst="rect">
                      <a:avLst/>
                    </a:prstGeom>
                    <a:noFill/>
                    <a:ln>
                      <a:noFill/>
                    </a:ln>
                  </pic:spPr>
                </pic:pic>
              </a:graphicData>
            </a:graphic>
          </wp:anchor>
        </w:drawing>
      </w:r>
      <w:r>
        <w:rPr>
          <w:rFonts w:hint="eastAsia" w:cs="Times New Roman"/>
          <w:sz w:val="24"/>
          <w:lang w:eastAsia="zh-CN"/>
        </w:rPr>
        <w:tab/>
      </w:r>
      <w:r>
        <w:rPr>
          <w:rStyle w:val="19"/>
          <w:rFonts w:hint="eastAsia"/>
          <w:lang w:eastAsia="zh-CN"/>
        </w:rPr>
        <w:t>图3.2.</w:t>
      </w:r>
      <w:r>
        <w:rPr>
          <w:rStyle w:val="19"/>
          <w:rFonts w:hint="eastAsia"/>
          <w:lang w:val="en-US" w:eastAsia="zh-CN"/>
        </w:rPr>
        <w:t>4二维栅格地图</w:t>
      </w:r>
    </w:p>
    <w:p w14:paraId="1F1C58E9">
      <w:pPr>
        <w:pStyle w:val="13"/>
        <w:numPr>
          <w:ilvl w:val="0"/>
          <w:numId w:val="0"/>
        </w:numPr>
        <w:spacing w:line="360" w:lineRule="auto"/>
        <w:ind w:leftChars="0"/>
        <w:rPr>
          <w:rFonts w:ascii="Times New Roman" w:hAnsi="Times New Roman" w:eastAsia="宋体" w:cs="Times New Roman"/>
          <w:sz w:val="24"/>
        </w:rPr>
      </w:pPr>
    </w:p>
    <w:p w14:paraId="5C71D180">
      <w:pPr>
        <w:pStyle w:val="13"/>
        <w:numPr>
          <w:ilvl w:val="1"/>
          <w:numId w:val="6"/>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 xml:space="preserve"> 特性成果（逐个展示功能、性能参数等量化指标）</w:t>
      </w:r>
    </w:p>
    <w:p w14:paraId="697861E1">
      <w:pPr>
        <w:spacing w:line="360" w:lineRule="auto"/>
        <w:ind w:left="0" w:leftChars="0" w:firstLine="0" w:firstLineChars="0"/>
        <w:jc w:val="center"/>
        <w:rPr>
          <w:rFonts w:hint="default" w:ascii="Times New Roman" w:hAnsi="Times New Roman" w:eastAsia="宋体" w:cs="Times New Roman"/>
          <w:b/>
          <w:sz w:val="28"/>
          <w:lang w:val="en-US"/>
        </w:rPr>
      </w:pPr>
      <w:r>
        <w:rPr>
          <w:rFonts w:hint="default" w:ascii="Times New Roman" w:hAnsi="Times New Roman" w:eastAsia="宋体" w:cs="Times New Roman"/>
          <w:b/>
          <w:sz w:val="28"/>
          <w:lang w:val="en-US"/>
        </w:rPr>
        <w:drawing>
          <wp:anchor distT="0" distB="0" distL="114300" distR="114300" simplePos="0" relativeHeight="251666432" behindDoc="0" locked="0" layoutInCell="1" allowOverlap="1">
            <wp:simplePos x="0" y="0"/>
            <wp:positionH relativeFrom="column">
              <wp:posOffset>1069975</wp:posOffset>
            </wp:positionH>
            <wp:positionV relativeFrom="paragraph">
              <wp:posOffset>3810</wp:posOffset>
            </wp:positionV>
            <wp:extent cx="3417570" cy="1404620"/>
            <wp:effectExtent l="0" t="0" r="11430" b="5080"/>
            <wp:wrapTopAndBottom/>
            <wp:docPr id="20" name="图片 20" descr="IMG_20260624_172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IMG_20260624_172218"/>
                    <pic:cNvPicPr>
                      <a:picLocks noChangeAspect="1"/>
                    </pic:cNvPicPr>
                  </pic:nvPicPr>
                  <pic:blipFill>
                    <a:blip r:embed="rId44"/>
                    <a:srcRect r="2376" b="11912"/>
                    <a:stretch>
                      <a:fillRect/>
                    </a:stretch>
                  </pic:blipFill>
                  <pic:spPr>
                    <a:xfrm>
                      <a:off x="0" y="0"/>
                      <a:ext cx="3417570" cy="1404620"/>
                    </a:xfrm>
                    <a:prstGeom prst="rect">
                      <a:avLst/>
                    </a:prstGeom>
                  </pic:spPr>
                </pic:pic>
              </a:graphicData>
            </a:graphic>
          </wp:anchor>
        </w:drawing>
      </w:r>
      <w:r>
        <w:rPr>
          <w:rFonts w:hint="eastAsia" w:ascii="Times New Roman" w:hAnsi="Times New Roman" w:eastAsia="宋体" w:cstheme="minorBidi"/>
          <w:kern w:val="2"/>
          <w:sz w:val="21"/>
          <w:szCs w:val="24"/>
          <w:lang w:val="en-US" w:eastAsia="zh-CN" w:bidi="ar-SA"/>
        </w:rPr>
        <w:t>图3.3巡检系统</w:t>
      </w:r>
      <w:r>
        <w:rPr>
          <w:rFonts w:hint="eastAsia" w:cstheme="minorBidi"/>
          <w:kern w:val="2"/>
          <w:sz w:val="21"/>
          <w:szCs w:val="24"/>
          <w:lang w:val="en-US" w:eastAsia="zh-CN" w:bidi="ar-SA"/>
        </w:rPr>
        <w:t>现场照片</w:t>
      </w:r>
    </w:p>
    <w:p w14:paraId="4FC86A8C">
      <w:pPr>
        <w:pStyle w:val="2"/>
        <w:spacing w:line="360" w:lineRule="auto"/>
        <w:rPr>
          <w:rFonts w:ascii="Times New Roman" w:hAnsi="Times New Roman" w:eastAsia="宋体" w:cs="Times New Roman"/>
          <w:vanish/>
          <w:sz w:val="24"/>
        </w:rPr>
      </w:pPr>
      <w:r>
        <w:rPr>
          <w:rFonts w:hint="eastAsia" w:ascii="Times New Roman" w:hAnsi="Times New Roman" w:eastAsia="宋体" w:cs="Times New Roman"/>
          <w:b/>
          <w:sz w:val="28"/>
        </w:rPr>
        <w:t xml:space="preserve">第四部分 </w:t>
      </w:r>
      <w:r>
        <w:rPr>
          <w:rFonts w:ascii="Times New Roman" w:hAnsi="Times New Roman" w:eastAsia="宋体" w:cs="Times New Roman"/>
          <w:b/>
          <w:sz w:val="28"/>
        </w:rPr>
        <w:t xml:space="preserve"> </w:t>
      </w:r>
      <w:r>
        <w:rPr>
          <w:rFonts w:hint="eastAsia" w:ascii="Times New Roman" w:hAnsi="Times New Roman" w:eastAsia="宋体" w:cs="Times New Roman"/>
          <w:b/>
          <w:sz w:val="24"/>
        </w:rPr>
        <w:t>总结</w:t>
      </w:r>
    </w:p>
    <w:p w14:paraId="56AC5CEB">
      <w:pPr>
        <w:pStyle w:val="3"/>
        <w:numPr>
          <w:ilvl w:val="1"/>
          <w:numId w:val="7"/>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 xml:space="preserve"> 可扩展之处</w:t>
      </w:r>
    </w:p>
    <w:p w14:paraId="2D7577F7">
      <w:pPr>
        <w:pStyle w:val="3"/>
        <w:spacing w:line="360" w:lineRule="auto"/>
        <w:ind w:left="420" w:firstLine="0" w:firstLineChars="0"/>
        <w:rPr>
          <w:rFonts w:ascii="Times New Roman" w:hAnsi="Times New Roman" w:eastAsia="宋体" w:cs="Times New Roman"/>
          <w:sz w:val="24"/>
        </w:rPr>
      </w:pPr>
      <w:r>
        <w:rPr>
          <w:rFonts w:ascii="宋体" w:hAnsi="宋体" w:eastAsia="宋体"/>
          <w:sz w:val="24"/>
        </w:rPr>
        <w:t>本系统采用模块化设计，后续可从以下方向扩展：</w:t>
      </w:r>
    </w:p>
    <w:p w14:paraId="5BA9F680">
      <w:r>
        <w:rPr>
          <w:rFonts w:ascii="宋体" w:hAnsi="宋体" w:eastAsia="宋体"/>
          <w:b/>
          <w:sz w:val="25"/>
        </w:rPr>
        <w:t>1. 导航升级：引入端到端导航或 3D 感知，降低对先验地图的依赖，提升动态未知环境下的泛化能力。</w:t>
      </w:r>
    </w:p>
    <w:p w14:paraId="39A6ACE7">
      <w:r>
        <w:t>2. 多机协同：基于 ROS2 DDS、MQTT 或 VDA 5050 构建调度平台，实现多车任务分配、共享地图和协同巡检。</w:t>
      </w:r>
    </w:p>
    <w:p w14:paraId="330DA15E">
      <w:r>
        <w:t>3. 感知增强：接入 3D LiDAR、毫米波雷达和热成像，结合多传感器融合改善低矮、玻璃、烟尘和夜间场景识别。</w:t>
      </w:r>
    </w:p>
    <w:p w14:paraId="298E76F4">
      <w:r>
        <w:t>4. 自主运维：增加自动返航充电、云端日志监控和预测性维护分析，形成 7x24 小时无人值守能力。</w:t>
      </w:r>
    </w:p>
    <w:p w14:paraId="13D66A4E">
      <w:r>
        <w:t>5. 安全与模型优化：按功能安全标准完善硬件急停、置信度过滤和人工确认机制，并通过蒸馏、量化降低端侧模型时延与功耗。</w:t>
      </w:r>
    </w:p>
    <w:p w14:paraId="0E881B58">
      <w:pPr>
        <w:pStyle w:val="3"/>
        <w:numPr>
          <w:ilvl w:val="1"/>
          <w:numId w:val="7"/>
        </w:numPr>
        <w:spacing w:line="360" w:lineRule="auto"/>
        <w:ind w:firstLineChars="0"/>
        <w:rPr>
          <w:rFonts w:ascii="Times New Roman" w:hAnsi="Times New Roman" w:eastAsia="宋体" w:cs="Times New Roman"/>
          <w:sz w:val="24"/>
        </w:rPr>
      </w:pPr>
      <w:r>
        <w:rPr>
          <w:rFonts w:hint="eastAsia" w:ascii="Times New Roman" w:hAnsi="Times New Roman" w:eastAsia="宋体" w:cs="Times New Roman"/>
          <w:sz w:val="24"/>
        </w:rPr>
        <w:t xml:space="preserve"> 心得体会</w:t>
      </w:r>
    </w:p>
    <w:p w14:paraId="168DC5EE">
      <w:pPr>
        <w:spacing w:line="360" w:lineRule="auto"/>
        <w:ind w:firstLine="420" w:firstLineChars="175"/>
        <w:rPr>
          <w:rFonts w:ascii="Times New Roman" w:hAnsi="Times New Roman" w:eastAsia="宋体" w:cs="Times New Roman"/>
          <w:sz w:val="24"/>
        </w:rPr>
      </w:pPr>
      <w:r>
        <w:rPr>
          <w:rFonts w:ascii="宋体" w:hAnsi="宋体" w:eastAsia="宋体"/>
          <w:sz w:val="24"/>
        </w:rPr>
        <w:t>本次智能巡检小车开发覆盖机械、电路、嵌入式控制、ROS2 导航和多模态 AI 集成，过程中的主要体会如下：</w:t>
      </w:r>
    </w:p>
    <w:p w14:paraId="5DA07B2A">
      <w:r>
        <w:rPr>
          <w:rFonts w:ascii="宋体" w:hAnsi="宋体" w:eastAsia="宋体"/>
          <w:b/>
          <w:sz w:val="25"/>
        </w:rPr>
        <w:t>1. 分层架构是复杂系统稳定性的基础。项目初期曾尝试让 STM32 同时承担传感器融合、通信和决策，但资源很快受限。最终采用 RK3588 负责高算力推理与导航、STM32G431 负责实时执行，既发挥了 NPU 优势，也保证了 1 ms 级底盘控制的确定性。</w:t>
      </w:r>
    </w:p>
    <w:p w14:paraId="0D55BE16">
      <w:r>
        <w:t>2. 通信和电源细节决定可用性。串口通信在电机大电流切换时出现过偶发丢帧，加入 CRC、序号、ACK 重传和急停高优先级帧后才稳定；PD 握手与 INA219 初始化也需要严格时序管理，说明机电系统不能只看功能跑通，还要重视异常工况。</w:t>
      </w:r>
    </w:p>
    <w:p w14:paraId="23B7D11A">
      <w:r>
        <w:rPr>
          <w:rFonts w:ascii="宋体" w:hAnsi="宋体" w:eastAsia="宋体"/>
          <w:b w:val="0"/>
          <w:sz w:val="24"/>
        </w:rPr>
        <w:t>3. 仿真不能替代实车调试。Nav2 参数在 Gazebo 中表现良好，但真实场地受到轮胎差异、地面摩擦和转向间隙影响，轨迹误差明显增大。经过实地整定和前馈补偿后，系统才达到可用状态，这让我们更加重视 Sim-to-Real 差距。</w:t>
      </w:r>
    </w:p>
    <w:p w14:paraId="4C7560C9">
      <w:r>
        <w:rPr>
          <w:rFonts w:ascii="宋体" w:hAnsi="宋体" w:eastAsia="宋体"/>
          <w:b/>
          <w:sz w:val="25"/>
        </w:rPr>
        <w:t>4. 工程化工具能显著提升效率。OTA Bootloader 将固件升级时间从反复插拔调试器缩短到约 30 秒；RAG 知识库把巡检标准沉淀为可检索资料；模块化 topic 链路让导航、避障和控制能够分别测试，减少了联调成本。</w:t>
      </w:r>
    </w:p>
    <w:p w14:paraId="011A47AD">
      <w:r>
        <w:t>5. 文档化和开源生态同样重要。ROS2、Nav2、robot_localization 等开源组件节省了大量基础开发时间，使精力集中在业务创新上；而原理图、接口定义和参数文件的规范化记录，则保证了后续维护、移交和复现。通过本项目，我们不仅完成了作品，也建立了更完整的嵌入式机器人开发方法。</w:t>
      </w:r>
    </w:p>
    <w:p w14:paraId="04655DF5">
      <w:pPr>
        <w:pStyle w:val="2"/>
        <w:spacing w:line="360" w:lineRule="auto"/>
        <w:rPr>
          <w:rFonts w:ascii="Times New Roman" w:hAnsi="Times New Roman" w:eastAsia="宋体" w:cs="Times New Roman"/>
          <w:b/>
          <w:sz w:val="24"/>
        </w:rPr>
      </w:pPr>
      <w:r>
        <w:rPr>
          <w:rFonts w:hint="eastAsia" w:ascii="Times New Roman" w:hAnsi="Times New Roman" w:eastAsia="宋体" w:cs="Times New Roman"/>
          <w:b/>
          <w:sz w:val="28"/>
        </w:rPr>
        <w:t xml:space="preserve">第五部分 </w:t>
      </w:r>
      <w:r>
        <w:rPr>
          <w:rFonts w:ascii="Times New Roman" w:hAnsi="Times New Roman" w:eastAsia="宋体" w:cs="Times New Roman"/>
          <w:b/>
          <w:sz w:val="28"/>
        </w:rPr>
        <w:t xml:space="preserve"> </w:t>
      </w:r>
      <w:r>
        <w:rPr>
          <w:rFonts w:hint="eastAsia" w:ascii="Times New Roman" w:hAnsi="Times New Roman" w:eastAsia="宋体" w:cs="Times New Roman"/>
          <w:b/>
          <w:sz w:val="24"/>
        </w:rPr>
        <w:t>参考文献</w:t>
      </w:r>
    </w:p>
    <w:p w14:paraId="472087B7">
      <w:pPr>
        <w:widowControl/>
        <w:spacing w:line="300" w:lineRule="auto"/>
        <w:rPr>
          <w:rFonts w:hint="eastAsia" w:ascii="Times New Roman" w:hAnsi="Times New Roman" w:eastAsia="宋体" w:cs="Times New Roman"/>
          <w:kern w:val="0"/>
          <w:sz w:val="24"/>
          <w:lang w:val="en-US" w:eastAsia="zh-CN"/>
        </w:rPr>
      </w:pPr>
      <w:r>
        <w:rPr>
          <w:rFonts w:hint="eastAsia" w:ascii="Times New Roman" w:hAnsi="Times New Roman" w:eastAsia="宋体" w:cs="Times New Roman"/>
          <w:kern w:val="0"/>
          <w:sz w:val="24"/>
          <w:lang w:val="en-US" w:eastAsia="zh-CN"/>
        </w:rPr>
        <w:t>[1]马奕昕. 自适应轮式管外检测机器人结构设计与运动分析[D]. 2024.</w:t>
      </w:r>
    </w:p>
    <w:p w14:paraId="7496DC20">
      <w:pPr>
        <w:widowControl/>
        <w:spacing w:line="300" w:lineRule="auto"/>
        <w:rPr>
          <w:rFonts w:hint="eastAsia" w:ascii="Times New Roman" w:hAnsi="Times New Roman" w:eastAsia="宋体" w:cs="Times New Roman"/>
          <w:kern w:val="0"/>
          <w:sz w:val="24"/>
          <w:lang w:val="en-US" w:eastAsia="zh-CN"/>
        </w:rPr>
      </w:pPr>
      <w:r>
        <w:rPr>
          <w:rFonts w:hint="eastAsia" w:ascii="Times New Roman" w:hAnsi="Times New Roman" w:eastAsia="宋体" w:cs="Times New Roman"/>
          <w:kern w:val="0"/>
          <w:sz w:val="24"/>
          <w:lang w:val="en-US" w:eastAsia="zh-CN"/>
        </w:rPr>
        <w:t>[</w:t>
      </w:r>
      <w:r>
        <w:rPr>
          <w:rFonts w:hint="eastAsia" w:cs="Times New Roman"/>
          <w:kern w:val="0"/>
          <w:sz w:val="24"/>
          <w:lang w:val="en-US" w:eastAsia="zh-CN"/>
        </w:rPr>
        <w:t>2</w:t>
      </w:r>
      <w:r>
        <w:rPr>
          <w:rFonts w:hint="eastAsia" w:ascii="Times New Roman" w:hAnsi="Times New Roman" w:eastAsia="宋体" w:cs="Times New Roman"/>
          <w:kern w:val="0"/>
          <w:sz w:val="24"/>
          <w:lang w:val="en-US" w:eastAsia="zh-CN"/>
        </w:rPr>
        <w:t>]王永雄,叶青. 管道机器人自主导航系统设计[J]. 制造业自动化,2010,32(1):113-115. DOI:10.3969/j.issn.1009-0134.2010.01.036.</w:t>
      </w:r>
    </w:p>
    <w:p w14:paraId="62CBADD5">
      <w:pPr>
        <w:widowControl/>
        <w:spacing w:line="300" w:lineRule="auto"/>
        <w:rPr>
          <w:rFonts w:hint="eastAsia" w:ascii="Times New Roman" w:hAnsi="Times New Roman" w:eastAsia="宋体" w:cs="Times New Roman"/>
          <w:kern w:val="0"/>
          <w:sz w:val="24"/>
          <w:lang w:val="en-US" w:eastAsia="zh-CN"/>
        </w:rPr>
      </w:pPr>
      <w:r>
        <w:rPr>
          <w:rFonts w:hint="eastAsia" w:ascii="Times New Roman" w:hAnsi="Times New Roman" w:eastAsia="宋体" w:cs="Times New Roman"/>
          <w:kern w:val="0"/>
          <w:sz w:val="24"/>
          <w:lang w:val="en-US" w:eastAsia="zh-CN"/>
        </w:rPr>
        <w:t>[</w:t>
      </w:r>
      <w:r>
        <w:rPr>
          <w:rFonts w:hint="eastAsia" w:cs="Times New Roman"/>
          <w:kern w:val="0"/>
          <w:sz w:val="24"/>
          <w:lang w:val="en-US" w:eastAsia="zh-CN"/>
        </w:rPr>
        <w:t>3</w:t>
      </w:r>
      <w:r>
        <w:rPr>
          <w:rFonts w:hint="eastAsia" w:ascii="Times New Roman" w:hAnsi="Times New Roman" w:eastAsia="宋体" w:cs="Times New Roman"/>
          <w:kern w:val="0"/>
          <w:sz w:val="24"/>
          <w:lang w:val="en-US" w:eastAsia="zh-CN"/>
        </w:rPr>
        <w:t>]李洋,冯敏,叶韬,等. 基于机器视觉的管道巡检机器人设计与实现探讨[J]. 科技尚品,2021(7):3-4. DOI:10.12310/j.issn.1674-1064.2021.07.002.</w:t>
      </w:r>
    </w:p>
    <w:p w14:paraId="385C122B">
      <w:pPr>
        <w:widowControl/>
        <w:spacing w:line="300" w:lineRule="auto"/>
        <w:rPr>
          <w:rFonts w:hint="eastAsia" w:ascii="Times New Roman" w:hAnsi="Times New Roman" w:eastAsia="宋体" w:cs="Times New Roman"/>
          <w:kern w:val="0"/>
          <w:sz w:val="24"/>
          <w:lang w:val="en-US" w:eastAsia="zh-CN"/>
        </w:rPr>
      </w:pPr>
      <w:r>
        <w:rPr>
          <w:rFonts w:hint="eastAsia" w:ascii="Times New Roman" w:hAnsi="Times New Roman" w:eastAsia="宋体" w:cs="Times New Roman"/>
          <w:kern w:val="0"/>
          <w:sz w:val="24"/>
          <w:lang w:val="en-US" w:eastAsia="zh-CN"/>
        </w:rPr>
        <w:t>[</w:t>
      </w:r>
      <w:r>
        <w:rPr>
          <w:rFonts w:hint="eastAsia" w:cs="Times New Roman"/>
          <w:kern w:val="0"/>
          <w:sz w:val="24"/>
          <w:lang w:val="en-US" w:eastAsia="zh-CN"/>
        </w:rPr>
        <w:t>4</w:t>
      </w:r>
      <w:r>
        <w:rPr>
          <w:rFonts w:hint="eastAsia" w:ascii="Times New Roman" w:hAnsi="Times New Roman" w:eastAsia="宋体" w:cs="Times New Roman"/>
          <w:kern w:val="0"/>
          <w:sz w:val="24"/>
          <w:lang w:val="en-US" w:eastAsia="zh-CN"/>
        </w:rPr>
        <w:t>]郭政堃,王颜辉,姚志广,等.基于PID控制算法的自动巡线机器人的设计与实现[J].自动化应用,2024,65(4):54-56.DOI:10.19769/j.zdhy.2024.04.019.</w:t>
      </w:r>
    </w:p>
    <w:p w14:paraId="2117886D">
      <w:pPr>
        <w:widowControl/>
        <w:spacing w:line="300" w:lineRule="auto"/>
        <w:rPr>
          <w:rFonts w:hint="eastAsia" w:ascii="Times New Roman" w:hAnsi="Times New Roman" w:eastAsia="宋体" w:cs="Times New Roman"/>
          <w:kern w:val="0"/>
          <w:sz w:val="24"/>
          <w:lang w:val="en-US" w:eastAsia="zh-CN"/>
        </w:rPr>
      </w:pPr>
      <w:r>
        <w:rPr>
          <w:rFonts w:hint="eastAsia" w:ascii="Times New Roman" w:hAnsi="Times New Roman" w:eastAsia="宋体" w:cs="Times New Roman"/>
          <w:kern w:val="0"/>
          <w:sz w:val="24"/>
          <w:lang w:val="en-US" w:eastAsia="zh-CN"/>
        </w:rPr>
        <w:t>[5]桂鹏.基于阿克曼底盘的户外移动机器人路径规划研究[D]. 2024.DOI:10.27819/d.cnki.gzgjl.2024.000397.</w:t>
      </w:r>
    </w:p>
    <w:p w14:paraId="23EB6B48">
      <w:pPr>
        <w:widowControl/>
        <w:spacing w:line="300" w:lineRule="auto"/>
        <w:rPr>
          <w:rFonts w:hint="eastAsia" w:ascii="Times New Roman" w:hAnsi="Times New Roman" w:eastAsia="宋体" w:cs="Times New Roman"/>
          <w:kern w:val="0"/>
          <w:sz w:val="24"/>
          <w:lang w:val="en-US" w:eastAsia="zh-CN"/>
        </w:rPr>
      </w:pPr>
    </w:p>
    <w:sectPr>
      <w:headerReference r:id="rId7" w:type="first"/>
      <w:footerReference r:id="rId10" w:type="first"/>
      <w:headerReference r:id="rId5" w:type="default"/>
      <w:footerReference r:id="rId8" w:type="default"/>
      <w:headerReference r:id="rId6" w:type="even"/>
      <w:footerReference r:id="rId9" w:type="even"/>
      <w:pgSz w:w="11906" w:h="16838"/>
      <w:pgMar w:top="1418" w:right="1418" w:bottom="1418" w:left="1418" w:header="709" w:footer="709"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36385704"/>
      <w:docPartObj>
        <w:docPartGallery w:val="autotext"/>
      </w:docPartObj>
    </w:sdtPr>
    <w:sdtEndPr>
      <w:rPr>
        <w:lang w:val="zh-CN"/>
      </w:rPr>
    </w:sdtEndPr>
    <w:sdtContent>
      <w:p w14:paraId="0DF66800">
        <w:pPr>
          <w:pStyle w:val="6"/>
          <w:jc w:val="center"/>
          <w:rPr>
            <w:rFonts w:hint="eastAsia"/>
          </w:rPr>
        </w:pPr>
        <w:r>
          <w:fldChar w:fldCharType="begin"/>
        </w:r>
        <w:r>
          <w:instrText xml:space="preserve"> PAGE   \* MERGEFORMAT </w:instrText>
        </w:r>
        <w:r>
          <w:fldChar w:fldCharType="separate"/>
        </w:r>
        <w:r>
          <w:rPr>
            <w:lang w:val="zh-CN"/>
          </w:rPr>
          <w:t>3</w:t>
        </w:r>
        <w:r>
          <w:rPr>
            <w:lang w:val="zh-CN"/>
          </w:rPr>
          <w:fldChar w:fldCharType="end"/>
        </w:r>
      </w:p>
    </w:sdtContent>
  </w:sdt>
  <w:p w14:paraId="41007435">
    <w:pPr>
      <w:pStyle w:val="6"/>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9C356">
    <w:pPr>
      <w:pStyle w:val="6"/>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9100D">
    <w:pPr>
      <w:pStyle w:val="6"/>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80"/>
      </w:pPr>
      <w:r>
        <w:separator/>
      </w:r>
    </w:p>
  </w:footnote>
  <w:footnote w:type="continuationSeparator" w:id="1">
    <w:p>
      <w:pPr>
        <w:spacing w:before="0" w:after="0"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751E8">
    <w:pPr>
      <w:jc w:val="center"/>
      <w:rPr>
        <w:rFonts w:hint="eastAsia"/>
      </w:rPr>
    </w:pPr>
    <w:r>
      <w:rPr>
        <w:rFonts w:hint="eastAsia"/>
      </w:rPr>
      <w:drawing>
        <wp:inline distT="0" distB="0" distL="0" distR="0">
          <wp:extent cx="4618990" cy="702310"/>
          <wp:effectExtent l="0" t="0" r="0" b="0"/>
          <wp:docPr id="1656786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86199"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618990" cy="70231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70AF1">
    <w:pPr>
      <w:pStyle w:val="7"/>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307DC">
    <w:pPr>
      <w:pStyle w:val="7"/>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6E9F54"/>
    <w:multiLevelType w:val="singleLevel"/>
    <w:tmpl w:val="F96E9F54"/>
    <w:lvl w:ilvl="0" w:tentative="0">
      <w:start w:val="2"/>
      <w:numFmt w:val="decimal"/>
      <w:suff w:val="space"/>
      <w:lvlText w:val="%1."/>
      <w:lvlJc w:val="left"/>
    </w:lvl>
  </w:abstractNum>
  <w:abstractNum w:abstractNumId="1">
    <w:nsid w:val="1A462133"/>
    <w:multiLevelType w:val="multilevel"/>
    <w:tmpl w:val="1A462133"/>
    <w:lvl w:ilvl="0" w:tentative="0">
      <w:start w:val="3"/>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
    <w:nsid w:val="21E90FAC"/>
    <w:multiLevelType w:val="multilevel"/>
    <w:tmpl w:val="21E90FAC"/>
    <w:lvl w:ilvl="0" w:tentative="0">
      <w:start w:val="1"/>
      <w:numFmt w:val="decimal"/>
      <w:lvlText w:val="%1"/>
      <w:lvlJc w:val="left"/>
      <w:pPr>
        <w:ind w:left="420" w:hanging="420"/>
      </w:pPr>
      <w:rPr>
        <w:rFonts w:hint="default"/>
      </w:rPr>
    </w:lvl>
    <w:lvl w:ilvl="1" w:tentative="0">
      <w:start w:val="1"/>
      <w:numFmt w:val="decimal"/>
      <w:lvlText w:val="%1.%2"/>
      <w:lvlJc w:val="left"/>
      <w:pPr>
        <w:ind w:left="420" w:hanging="4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3">
    <w:nsid w:val="2A5F37ED"/>
    <w:multiLevelType w:val="multilevel"/>
    <w:tmpl w:val="2A5F37ED"/>
    <w:lvl w:ilvl="0" w:tentative="0">
      <w:start w:val="4"/>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4">
    <w:nsid w:val="367CA094"/>
    <w:multiLevelType w:val="singleLevel"/>
    <w:tmpl w:val="367CA094"/>
    <w:lvl w:ilvl="0" w:tentative="0">
      <w:start w:val="1"/>
      <w:numFmt w:val="decimal"/>
      <w:suff w:val="space"/>
      <w:lvlText w:val="%1."/>
      <w:lvlJc w:val="left"/>
    </w:lvl>
  </w:abstractNum>
  <w:abstractNum w:abstractNumId="5">
    <w:nsid w:val="51A12818"/>
    <w:multiLevelType w:val="singleLevel"/>
    <w:tmpl w:val="51A12818"/>
    <w:lvl w:ilvl="0" w:tentative="0">
      <w:start w:val="4"/>
      <w:numFmt w:val="chineseCounting"/>
      <w:suff w:val="nothing"/>
      <w:lvlText w:val="（%1）"/>
      <w:lvlJc w:val="left"/>
      <w:rPr>
        <w:rFonts w:hint="eastAsia"/>
      </w:rPr>
    </w:lvl>
  </w:abstractNum>
  <w:abstractNum w:abstractNumId="6">
    <w:nsid w:val="6AD148C3"/>
    <w:multiLevelType w:val="singleLevel"/>
    <w:tmpl w:val="6AD148C3"/>
    <w:lvl w:ilvl="0" w:tentative="0">
      <w:start w:val="4"/>
      <w:numFmt w:val="decimal"/>
      <w:suff w:val="space"/>
      <w:lvlText w:val="%1."/>
      <w:lvlJc w:val="left"/>
    </w:lvl>
  </w:abstractNum>
  <w:num w:numId="1">
    <w:abstractNumId w:val="2"/>
  </w:num>
  <w:num w:numId="2">
    <w:abstractNumId w:val="5"/>
  </w:num>
  <w:num w:numId="3">
    <w:abstractNumId w:val="4"/>
  </w:num>
  <w:num w:numId="4">
    <w:abstractNumId w:val="0"/>
  </w:num>
  <w:num w:numId="5">
    <w:abstractNumId w:val="6"/>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E1E"/>
    <w:rsid w:val="000039E8"/>
    <w:rsid w:val="000255DE"/>
    <w:rsid w:val="00224F85"/>
    <w:rsid w:val="0024412D"/>
    <w:rsid w:val="0025690D"/>
    <w:rsid w:val="00286959"/>
    <w:rsid w:val="002F022D"/>
    <w:rsid w:val="002F2518"/>
    <w:rsid w:val="00317182"/>
    <w:rsid w:val="003B690E"/>
    <w:rsid w:val="004155F7"/>
    <w:rsid w:val="00467CC3"/>
    <w:rsid w:val="00476C7E"/>
    <w:rsid w:val="00481574"/>
    <w:rsid w:val="004C2090"/>
    <w:rsid w:val="00503769"/>
    <w:rsid w:val="0050781A"/>
    <w:rsid w:val="005874DA"/>
    <w:rsid w:val="0064608B"/>
    <w:rsid w:val="00647442"/>
    <w:rsid w:val="006A3AB3"/>
    <w:rsid w:val="006A782C"/>
    <w:rsid w:val="006D7446"/>
    <w:rsid w:val="007B6F6C"/>
    <w:rsid w:val="00852CF1"/>
    <w:rsid w:val="008C4E92"/>
    <w:rsid w:val="008E493E"/>
    <w:rsid w:val="008F2DB5"/>
    <w:rsid w:val="00906A75"/>
    <w:rsid w:val="00A20197"/>
    <w:rsid w:val="00A879D4"/>
    <w:rsid w:val="00AC487C"/>
    <w:rsid w:val="00AD0A11"/>
    <w:rsid w:val="00AE61E7"/>
    <w:rsid w:val="00BA28F9"/>
    <w:rsid w:val="00BB63A6"/>
    <w:rsid w:val="00BE5959"/>
    <w:rsid w:val="00BF498F"/>
    <w:rsid w:val="00C91281"/>
    <w:rsid w:val="00CB5731"/>
    <w:rsid w:val="00D0540C"/>
    <w:rsid w:val="00D66B66"/>
    <w:rsid w:val="00D66E1E"/>
    <w:rsid w:val="00E85988"/>
    <w:rsid w:val="00E93094"/>
    <w:rsid w:val="00EF13AD"/>
    <w:rsid w:val="00EF2E0E"/>
    <w:rsid w:val="00F53034"/>
    <w:rsid w:val="00F75CE1"/>
    <w:rsid w:val="01577679"/>
    <w:rsid w:val="03627B33"/>
    <w:rsid w:val="044C2917"/>
    <w:rsid w:val="07393A77"/>
    <w:rsid w:val="0C41127C"/>
    <w:rsid w:val="0C871385"/>
    <w:rsid w:val="0E9222DB"/>
    <w:rsid w:val="0EEE56EB"/>
    <w:rsid w:val="11E44B84"/>
    <w:rsid w:val="13E66333"/>
    <w:rsid w:val="19601E2E"/>
    <w:rsid w:val="1ABA46D4"/>
    <w:rsid w:val="1D9E642C"/>
    <w:rsid w:val="1F1D7927"/>
    <w:rsid w:val="20267FC9"/>
    <w:rsid w:val="22804455"/>
    <w:rsid w:val="23CC535A"/>
    <w:rsid w:val="26013AFE"/>
    <w:rsid w:val="29742671"/>
    <w:rsid w:val="297D15CE"/>
    <w:rsid w:val="32CB171C"/>
    <w:rsid w:val="34414541"/>
    <w:rsid w:val="35B27916"/>
    <w:rsid w:val="35B93AAE"/>
    <w:rsid w:val="36E634D7"/>
    <w:rsid w:val="38066D52"/>
    <w:rsid w:val="3CF947C0"/>
    <w:rsid w:val="41DB45B2"/>
    <w:rsid w:val="436239D7"/>
    <w:rsid w:val="439671DC"/>
    <w:rsid w:val="47D93B3C"/>
    <w:rsid w:val="4A2D63C1"/>
    <w:rsid w:val="4A841827"/>
    <w:rsid w:val="4F3273BB"/>
    <w:rsid w:val="50760AC1"/>
    <w:rsid w:val="52262073"/>
    <w:rsid w:val="54F16A4B"/>
    <w:rsid w:val="568D446F"/>
    <w:rsid w:val="5A0C1AF4"/>
    <w:rsid w:val="5E1B6270"/>
    <w:rsid w:val="5EA26311"/>
    <w:rsid w:val="60A316F3"/>
    <w:rsid w:val="60D076D0"/>
    <w:rsid w:val="615269E1"/>
    <w:rsid w:val="61646714"/>
    <w:rsid w:val="62406A2D"/>
    <w:rsid w:val="67386679"/>
    <w:rsid w:val="68476A17"/>
    <w:rsid w:val="69D27D52"/>
    <w:rsid w:val="6AC63F9C"/>
    <w:rsid w:val="6AF642C9"/>
    <w:rsid w:val="731F06ED"/>
    <w:rsid w:val="74CC2A62"/>
    <w:rsid w:val="77742C28"/>
    <w:rsid w:val="7CC60B42"/>
    <w:rsid w:val="7DDA3B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0" w:after="0" w:line="360" w:lineRule="auto"/>
      <w:ind w:firstLine="72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12"/>
    <w:qFormat/>
    <w:uiPriority w:val="9"/>
    <w:pPr>
      <w:keepNext/>
      <w:keepLines/>
      <w:spacing w:line="240" w:lineRule="auto"/>
      <w:ind w:firstLine="0"/>
      <w:jc w:val="center"/>
      <w:outlineLvl w:val="0"/>
    </w:pPr>
    <w:rPr>
      <w:rFonts w:ascii="Times New Roman" w:hAnsi="Times New Roman" w:eastAsia="黑体"/>
      <w:b/>
      <w:bCs/>
      <w:kern w:val="44"/>
      <w:sz w:val="32"/>
      <w:szCs w:val="32"/>
    </w:rPr>
  </w:style>
  <w:style w:type="paragraph" w:styleId="3">
    <w:name w:val="heading 2"/>
    <w:basedOn w:val="1"/>
    <w:next w:val="1"/>
    <w:link w:val="17"/>
    <w:unhideWhenUsed/>
    <w:qFormat/>
    <w:uiPriority w:val="9"/>
    <w:pPr>
      <w:keepNext/>
      <w:keepLines/>
      <w:spacing w:line="240" w:lineRule="auto"/>
      <w:ind w:firstLine="0" w:firstLineChars="0"/>
      <w:jc w:val="left"/>
      <w:outlineLvl w:val="1"/>
    </w:pPr>
    <w:rPr>
      <w:rFonts w:ascii="Times New Roman" w:hAnsi="Times New Roman" w:eastAsia="楷体" w:cstheme="majorBidi"/>
      <w:b/>
      <w:bCs/>
      <w:sz w:val="30"/>
      <w:szCs w:val="30"/>
    </w:rPr>
  </w:style>
  <w:style w:type="paragraph" w:styleId="4">
    <w:name w:val="heading 3"/>
    <w:basedOn w:val="1"/>
    <w:next w:val="1"/>
    <w:unhideWhenUsed/>
    <w:qFormat/>
    <w:uiPriority w:val="9"/>
    <w:pPr>
      <w:keepNext/>
      <w:keepLines/>
      <w:spacing w:beforeLines="0" w:beforeAutospacing="0" w:afterLines="0" w:afterAutospacing="0" w:line="240" w:lineRule="auto"/>
      <w:ind w:firstLine="0" w:firstLineChars="0"/>
      <w:outlineLvl w:val="2"/>
    </w:pPr>
    <w:rPr>
      <w:b/>
      <w:sz w:val="28"/>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6"/>
    <w:semiHidden/>
    <w:unhideWhenUsed/>
    <w:qFormat/>
    <w:uiPriority w:val="99"/>
    <w:pPr>
      <w:spacing w:before="120" w:after="60"/>
      <w:jc w:val="left"/>
      <w:outlineLvl w:val="2"/>
    </w:pPr>
    <w:rPr>
      <w:rFonts w:ascii="Times New Roman" w:hAnsi="Times New Roman" w:eastAsia="黑体"/>
      <w:b/>
      <w:sz w:val="28"/>
      <w:szCs w:val="28"/>
    </w:rPr>
  </w:style>
  <w:style w:type="paragraph" w:styleId="6">
    <w:name w:val="footer"/>
    <w:basedOn w:val="1"/>
    <w:link w:val="15"/>
    <w:unhideWhenUsed/>
    <w:qFormat/>
    <w:uiPriority w:val="99"/>
    <w:pPr>
      <w:tabs>
        <w:tab w:val="center" w:pos="4153"/>
        <w:tab w:val="right" w:pos="8306"/>
      </w:tabs>
      <w:snapToGrid w:val="0"/>
      <w:jc w:val="left"/>
    </w:pPr>
    <w:rPr>
      <w:sz w:val="18"/>
      <w:szCs w:val="18"/>
    </w:rPr>
  </w:style>
  <w:style w:type="paragraph" w:styleId="7">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semiHidden/>
    <w:unhideWhenUsed/>
    <w:qFormat/>
    <w:uiPriority w:val="99"/>
    <w:rPr>
      <w:sz w:val="24"/>
    </w:rPr>
  </w:style>
  <w:style w:type="table" w:styleId="10">
    <w:name w:val="Table Grid"/>
    <w:basedOn w:val="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标题 1 字符"/>
    <w:basedOn w:val="11"/>
    <w:link w:val="2"/>
    <w:qFormat/>
    <w:uiPriority w:val="9"/>
    <w:rPr>
      <w:rFonts w:eastAsia="黑体"/>
      <w:b/>
      <w:bCs/>
      <w:kern w:val="44"/>
      <w:sz w:val="44"/>
      <w:szCs w:val="44"/>
    </w:rPr>
  </w:style>
  <w:style w:type="paragraph" w:styleId="13">
    <w:name w:val="List Paragraph"/>
    <w:basedOn w:val="1"/>
    <w:qFormat/>
    <w:uiPriority w:val="34"/>
    <w:pPr>
      <w:ind w:firstLine="420" w:firstLineChars="200"/>
    </w:pPr>
  </w:style>
  <w:style w:type="character" w:customStyle="1" w:styleId="14">
    <w:name w:val="页眉 字符"/>
    <w:basedOn w:val="11"/>
    <w:link w:val="7"/>
    <w:qFormat/>
    <w:uiPriority w:val="99"/>
    <w:rPr>
      <w:sz w:val="18"/>
      <w:szCs w:val="18"/>
    </w:rPr>
  </w:style>
  <w:style w:type="character" w:customStyle="1" w:styleId="15">
    <w:name w:val="页脚 字符"/>
    <w:basedOn w:val="11"/>
    <w:link w:val="6"/>
    <w:qFormat/>
    <w:uiPriority w:val="99"/>
    <w:rPr>
      <w:sz w:val="18"/>
      <w:szCs w:val="18"/>
    </w:rPr>
  </w:style>
  <w:style w:type="character" w:customStyle="1" w:styleId="16">
    <w:name w:val="批注框文本 字符"/>
    <w:basedOn w:val="11"/>
    <w:link w:val="5"/>
    <w:semiHidden/>
    <w:qFormat/>
    <w:uiPriority w:val="99"/>
    <w:rPr>
      <w:sz w:val="18"/>
      <w:szCs w:val="18"/>
    </w:rPr>
  </w:style>
  <w:style w:type="character" w:customStyle="1" w:styleId="17">
    <w:name w:val="标题 2 字符"/>
    <w:basedOn w:val="11"/>
    <w:link w:val="3"/>
    <w:qFormat/>
    <w:uiPriority w:val="9"/>
    <w:rPr>
      <w:rFonts w:ascii="Times New Roman" w:hAnsi="Times New Roman" w:eastAsia="楷体" w:cstheme="majorBidi"/>
      <w:b/>
      <w:bCs/>
      <w:sz w:val="32"/>
      <w:szCs w:val="32"/>
    </w:rPr>
  </w:style>
  <w:style w:type="paragraph" w:customStyle="1" w:styleId="18">
    <w:name w:val="图表标题"/>
    <w:basedOn w:val="1"/>
    <w:link w:val="19"/>
    <w:qFormat/>
    <w:uiPriority w:val="0"/>
    <w:pPr>
      <w:spacing w:line="240" w:lineRule="auto"/>
      <w:ind w:firstLine="0" w:firstLineChars="0"/>
      <w:jc w:val="center"/>
    </w:pPr>
    <w:rPr>
      <w:rFonts w:hint="eastAsia"/>
      <w:sz w:val="21"/>
    </w:rPr>
  </w:style>
  <w:style w:type="character" w:customStyle="1" w:styleId="19">
    <w:name w:val="图表标题 Char"/>
    <w:link w:val="18"/>
    <w:qFormat/>
    <w:uiPriority w:val="0"/>
    <w:rPr>
      <w:rFonts w:hint="eastAsia"/>
      <w:sz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6" Type="http://schemas.openxmlformats.org/officeDocument/2006/relationships/fontTable" Target="fontTable.xml"/><Relationship Id="rId45" Type="http://schemas.openxmlformats.org/officeDocument/2006/relationships/numbering" Target="numbering.xml"/><Relationship Id="rId44" Type="http://schemas.openxmlformats.org/officeDocument/2006/relationships/image" Target="media/image34.jpeg"/><Relationship Id="rId43" Type="http://schemas.openxmlformats.org/officeDocument/2006/relationships/image" Target="media/image33.png"/><Relationship Id="rId42" Type="http://schemas.openxmlformats.org/officeDocument/2006/relationships/image" Target="media/image32.jpeg"/><Relationship Id="rId41" Type="http://schemas.openxmlformats.org/officeDocument/2006/relationships/image" Target="media/image31.jpeg"/><Relationship Id="rId40" Type="http://schemas.openxmlformats.org/officeDocument/2006/relationships/image" Target="media/image30.jpeg"/><Relationship Id="rId4" Type="http://schemas.openxmlformats.org/officeDocument/2006/relationships/endnotes" Target="endnotes.xml"/><Relationship Id="rId39" Type="http://schemas.openxmlformats.org/officeDocument/2006/relationships/image" Target="media/image29.jpeg"/><Relationship Id="rId38" Type="http://schemas.openxmlformats.org/officeDocument/2006/relationships/image" Target="media/image28.jpeg"/><Relationship Id="rId37" Type="http://schemas.openxmlformats.org/officeDocument/2006/relationships/image" Target="media/image27.jpeg"/><Relationship Id="rId36" Type="http://schemas.openxmlformats.org/officeDocument/2006/relationships/image" Target="media/image26.jpeg"/><Relationship Id="rId35" Type="http://schemas.openxmlformats.org/officeDocument/2006/relationships/image" Target="media/image25.jpe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jpe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jpe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PIC</Company>
  <Pages>31</Pages>
  <Words>11161</Words>
  <Characters>15622</Characters>
  <Lines>5</Lines>
  <Paragraphs>1</Paragraphs>
  <TotalTime>26</TotalTime>
  <ScaleCrop>false</ScaleCrop>
  <LinksUpToDate>false</LinksUpToDate>
  <CharactersWithSpaces>16495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2023-10-07T15:25:00Z</dcterms:created>
  <dc:creator>清风凉夏233</dc:creator>
  <cp:lastModifiedBy>清风凉夏233</cp:lastModifiedBy>
  <dcterms:modified xsi:type="dcterms:W3CDTF">2026-07-05T15:57:26Z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eyJoZGlkIjoiNzQ2MGRmYWI1ZWU4YTg4Y2VlMTBlNTZlZjQ4YzFlZmMiLCJ1c2VySWQiOiIxMTQ3NzY5NjAyIn0=</vt:lpwstr>
  </property>
  <property fmtid="{D5CDD505-2E9C-101B-9397-08002B2CF9AE}" pid="3" name="KSOProductBuildVer">
    <vt:lpwstr>2052-12.1.0.26895</vt:lpwstr>
  </property>
  <property fmtid="{D5CDD505-2E9C-101B-9397-08002B2CF9AE}" pid="4" name="ICV">
    <vt:lpwstr>B0AB72535D23423998969B569D709006_12</vt:lpwstr>
  </property>
</Properties>
</file>