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SimSun" w:hAnsi="SimSun" w:eastAsia="SimSun"/>
        </w:rPr>
        <w:t>福建公路应急事件处置预案审阅稿</w:t>
      </w:r>
    </w:p>
    <w:p>
      <w:pPr>
        <w:pStyle w:val="DocumentSubtitle"/>
        <w:jc w:val="center"/>
      </w:pPr>
      <w:r>
        <w:rPr>
          <w:rFonts w:ascii="SimSun" w:hAnsi="SimSun" w:eastAsia="SimSun"/>
        </w:rPr>
        <w:t>16类事件与智能体调用文本</w:t>
      </w:r>
    </w:p>
    <w:p>
      <w:pPr>
        <w:spacing w:after="140" w:line="348" w:lineRule="auto"/>
      </w:pPr>
      <w:r>
        <w:rPr>
          <w:rFonts w:ascii="SimSun" w:hAnsi="SimSun" w:eastAsia="SimSun"/>
          <w:b/>
          <w:sz w:val="22"/>
        </w:rPr>
        <w:t>使用说明：</w:t>
      </w:r>
      <w:r>
        <w:rPr>
          <w:rFonts w:ascii="SimSun" w:hAnsi="SimSun" w:eastAsia="SimSun"/>
          <w:sz w:val="22"/>
        </w:rPr>
        <w:t>智能体先根据事件类型选择对应预案，再结合现场事实和人工意见调整处置内容。本文件不设定资源类型或数量基线；资源需求应按事件实际情况提出，再由系统从已启用的数据库库存中匹配。未核实的事实不得臆造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  DT01  崩塌（落石）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落石/土方覆盖车道数与估算方量；边坡是否仍掉块；上方裂缝、危岩和降雨；人员车辆受困；上下行可用车道；邻近桥隧及管线。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对落石轨迹及可能再次坠落的区域实施隔离，核查边坡掉块、裂缝和受困车辆。地质技术人员确认进入条件后，组织搜救、分层清方和土石方外运，作业期间保持边坡观察，禁止人员在危岩下方停留。根据现场条件采取临时防护；如持续落石或降雨加剧，立即撤出危险区并扩大封控，不得为抢通道路冒险作业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2  DT02  滑坡（坡体位移）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裂缝位置和变化速率；坡脚鼓胀、渗水；路面/挡墙变形；降雨与地下水；影响车道和建筑；人员受威胁范围。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划定滑坡体及其可能影响的范围，转移受威胁人员，停止坡脚开挖等可能加剧失稳的作业。组织专业人员检查裂缝、位移、渗水及路面变形，确认稳定性后再制定截排水、支护或清方措施。机械和观察人员应处于安全位置；发现位移加快、裂缝扩大或新的掉块时，立即撤离并重新研判，不得仅凭表面暂时稳定恢复通行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3  DT03  泥石流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沟谷来水和泥砂变化；上游降雨、堰塞与物源；淤埋长度/厚度；人员车辆受困；桥涵堵塞；可能再次下泄时间窗。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封闭泥石流沟口、冲淤区及可能受影响的路段，引导人员撤离沟道和低洼地带，核查受困情况及上游降雨变化。未经风险评估，不得进入沟道抢险或强行疏通堵塞物。待来流减弱且具备安全作业条件后，组织清淤、排水和道路抢通，检查桥涵及排水设施。再次出现异常来流或强降雨时，暂停作业并撤至安全区域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4  DT04  沉陷与塌陷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坑洞尺寸和扩展；地下空洞/管线；路基裂缝；车辆坠入与伤亡；相邻桥涵；积水和冲刷；可用车道承载情况。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对沉陷、塌陷及周边疑似空洞区域设置隔离，禁止车辆碾压和人员靠近边缘，核实受困情况以及邻近管线、桥涵受影响程度。安排专业人员探查空洞范围和地基状况，确认安全后制定支护、回填或临时跨越措施。机械不得直接停放在未经核实的路面上；若变形继续发展，应扩大管制范围，避免盲目填土掩盖未排除的隐患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5  DT05  水毁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水深、流速和变化；积水/冲毁长度；路基掏空；桥涵水位与漂浮物；受困人员车辆；降雨趋势；可用绕行路线。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封闭积水、冲毁及疑似路基淘空路段，禁止车辆涉险通行，优先转移受困人员并核查上下游水情。具备安全条件后，组织疏通排水设施、抽排积水和清除淤积物，检查路基、边坡、桥涵及护栏受损情况。修复措施应以现场检测结果为依据；水位上涨或出现冲刷扩大迹象时，立即停止危险区域作业，不得以积水退去作为恢复通行的唯一依据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6  ET101  拥堵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排队长度和增长趋势；平均速度；起止点和方向；诱因；应急车道状态；服务区容量；可分流节点；特殊车辆滞留。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查拥堵起点、排队范围和形成原因，在上游设置预警，引导车辆有序减速，防止队尾追撞。根据现场通行条件调整交通组织，保持应急通道畅通；若存在事故或故障车辆，协调专业力量优先处置阻断点。必要时采取分流措施，但不得将车辆引向未经确认的绕行道路。持续观察排队变化，避免临时放行造成新的交织冲突或下游拥堵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7  ET102  明火（火灾）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燃烧对象；危险品标识；人员被困；风向/隧道通风；爆炸风险；火势范围；上游来车；消防水源和疏散方向。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在安全距离外实施交通管制，疏散受威胁人员，核查燃烧物、烟气扩散和受困情况，及时协调消防及医疗力量。不得安排普通清障人员靠近未知危险物或进入浓烟区域。由专业人员组织灭火、救援和风险隔离，必要时扩大封控范围；隧道内事件应统筹通风与疏散要求。火势受控后继续检查复燃风险及道路设施损伤，未经确认不得开展清障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8  ET103  抛撒物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物料种类、范围和厚度；是否危险化学品/油污；来源车辆；影响车道；路面附着和打滑；上游交通；排水口污染风险。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在抛撒路段上游设置预警并隔离受影响车道，核查物料种类、覆盖范围和路面打滑风险。物料性质不明时，不得徒手接触或直接冲入排水设施；涉及油污、危险品时转交专业力量处置。确认安全后，从受保护的一侧分段收集、装运和清洁路面，防止清理作业引发二次事故。清理结束后检查残留物、路面损伤及排水口污染，必要时补充防滑处理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9  ET104  设备故障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设备名称和编号；失效功能；影响范围；告警日志；供电/通信状态；冗余系统；隧道环境；人工接管条件。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实故障设备及失效功能，检查供电、通信和相关告警，判断是否影响交通安全。具备条件时启用备用系统或安排人工值守，防止关键功能空缺；涉及电气风险的作业须由专业人员隔离危险源后进行。抢修期间保留必要的现场警示，修复后依次开展单机测试和相关联动测试。原因尚未查明或测试未通过时，继续保持安全降级措施，不得反复强行启用设备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10  ET105  占用应急车道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占用位置和长度；车辆/人员数量；是否故障或救援需要；救援车辆通行需求；主线交通状态；可安全驶离位置。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查占用位置、持续时间及是否存在故障或救援需求，在保证人员安全的前提下引导车辆驶离应急车道。确属故障且无法移动的，设置警示并安排清障救援，避免简单驱离造成新的风险。对妨碍救援通行的路段优先疏导，协调交通管理力量维护秩序。处置人员不得在无防护条件下穿行车流，并应持续检查相邻车道及后方来车，防止占道问题再次发生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11  ET106  交通事故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车辆数和类型；人员伤亡/受困；危险品；事故位置和占道；泄漏/火灾；车流队尾；车辆稳定性；公安现场要求。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在事故上游设置警示并实施必要的车道管制，核查伤亡、受困、车辆损坏及泄漏风险，优先组织人员救助。涉及起火或危险物时，由专业力量处置，不得急于拖移车辆。满足安全条件并按现场管理要求留存信息后，组织清障、车辆转移和路面清洁，保持救援通道畅通。吊装、拖移期间划定作业区，避免围观及二次碰撞，人员救治不得因等待清障而延误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12  ET107  异常停车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停车位置和车道；车辆类型；人员情况；故障现象；是否可移动；后方视距；燃油/货物风险；最近安全停靠点。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查停车位置、车辆状态及人员是否需要帮助，在上游设置警示，引导车内人员在条件允许时转移至安全区域。车辆能够安全移动的，引导其驶离危险位置；无法移动的，安排拖移或设备抢修。发现伤病、起火或泄漏迹象时，及时协调相应专业力量。不得将异常停车直接认定为普通违停，也不得让人员长时间停留在行车道内等待救援，处置期间保持后方预警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13  ET108  浓雾检测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实测能见度；雾区起止和变化；路面湿滑；风向；车流速度；事故情况；相邻站点数据；可控入口和分流点。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查浓雾影响路段及能见度变化，通过现场警示和交通信息提示引导车辆减速、保持间距。根据实际通行风险采取限速、分流或临时封闭措施，避免车辆在视线不足时集中驶入危险路段。巡查人员应在安全位置观察队尾和易发追撞区域，必要时补充警示与照明，但不得以照明代替管制。能见度短暂改善时仍需持续观察，防止雾区移动或反复造成判断偏差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14  ET109  路障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障碍物材质、尺寸、重量和稳定性；来源；占道；是否带电/有毒/尖锐；可移动方式；上游交通；道路结构损伤。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查路障的位置、尺寸及稳定性，在上游设置警示并隔离受影响车道，防止车辆突然变道或撞击。先判断障碍物是否带电、存在坠落风险或涉及危险物，未经确认不得直接搬移。具备安全条件后，按障碍物特点组织人工或机械清除，吊装及拖移作业须保持安全间距。清除后检查路面、护栏和附属设施，避免碎片或损伤形成新的隐患，必要时继续保留局部管制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15  ET110  施工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施工原因和许可；作业区长度；占道；机械设备；人员；交通组织；地下管线；夜间照明；预计工序（非承诺工期）。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查施工引发的突发险情、影响车道及防护缺口，先暂停存在危险的作业，补齐上游预警和作业区隔离。协调现场力量排查开挖面、机械、临时设施及人员受威胁情况，按险情性质组织抢险和交通疏导。抢险措施不得与正常施工安排混淆，也不得让未受保护的人员进入车流。风险消除后复查临时交通组织和防护设施，确认具备条件再决定恢复作业或通行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p>
      <w:r>
        <w:br w:type="page"/>
      </w:r>
    </w:p>
    <w:p>
      <w:pPr>
        <w:pStyle w:val="Heading1"/>
        <w:keepNext/>
      </w:pPr>
      <w:r>
        <w:rPr>
          <w:rFonts w:ascii="SimSun" w:hAnsi="SimSun" w:eastAsia="SimSun"/>
        </w:rPr>
        <w:t>16  ET112  道路积雪</w:t>
      </w:r>
    </w:p>
    <w:p>
      <w:pPr>
        <w:pStyle w:val="Heading2"/>
        <w:keepNext/>
      </w:pPr>
      <w:r>
        <w:rPr>
          <w:rFonts w:ascii="SimSun" w:hAnsi="SimSun" w:eastAsia="SimSun"/>
        </w:rPr>
        <w:t>需核实的现场信息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积雪/冰层厚度；路面温度；降雪趋势；坡道桥面隧道口；摩擦状况；滞留车辆；封控节点；融雪物资使用限制。</w:t>
      </w:r>
    </w:p>
    <w:p>
      <w:pPr>
        <w:pStyle w:val="Heading2"/>
        <w:keepNext/>
      </w:pPr>
      <w:r>
        <w:rPr>
          <w:rFonts w:ascii="SimSun" w:hAnsi="SimSun" w:eastAsia="SimSun"/>
        </w:rPr>
        <w:t>应急处置预案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接报后，核实事发位置、交通影响和人员安全状况，保护现场。【现场事实简述】。未明确的信息继续核查。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核查积雪、结冰及路面附着状况，优先关注桥面、坡道和隧道出入口，设置警示并根据风险采取交通管制。具备安全条件后，组织分段除雪和防滑处置，保持作业车辆之间的安全间距，防止作业过程阻断救援通道。融雪材料按现场技术要求使用，不得凭估计随意扩大用量。持续检查清理后的再结冰情况；降雪加剧或通行条件恶化时，及时调整作业和管制范围。</w:t>
      </w:r>
    </w:p>
    <w:p>
      <w:pPr>
        <w:spacing w:after="140" w:line="348" w:lineRule="auto"/>
        <w:ind w:firstLine="440"/>
      </w:pPr>
      <w:r>
        <w:rPr>
          <w:rFonts w:ascii="SimSun" w:hAnsi="SimSun" w:eastAsia="SimSun"/>
          <w:sz w:val="22"/>
        </w:rPr>
        <w:t>处置期间持续报告风险变化、交通影响和工作进展，根据现场情况调整力量；资源不足时及时协调支援，不将尚未到位的资源视为可用。完成作业后，组织检查道路及附属设施，确认人员撤离、危险因素受控并具备安全通行条件，再按现场管理要求分阶段解除管制，做好后续巡查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134" w:bottom="907" w:left="1134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color w:val="5A5A5A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Arial Unicode MS" w:hAnsi="Arial Unicode MS" w:eastAsia="Arial Unicode MS"/>
        <w:color w:val="5A5A5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imSun" w:hAnsi="SimSun" w:eastAsia="SimSun"/>
        <w:sz w:val="18"/>
      </w:rPr>
      <w:t>福建公路应急事件处置预案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00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20"/>
      <w:outlineLvl w:val="0"/>
    </w:pPr>
    <w:rPr>
      <w:rFonts w:asciiTheme="majorHAnsi" w:eastAsiaTheme="majorEastAsia" w:hAnsiTheme="majorHAnsi" w:cstheme="majorBidi" w:ascii="SimSun" w:hAnsi="SimSun" w:eastAsia="SimSun"/>
      <w:b/>
      <w:bCs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SimSun" w:hAnsi="SimSun" w:eastAsia="SimSu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Arial Unicode MS" w:hAnsi="Arial Unicode MS" w:eastAsia="SimSun"/>
      <w:b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umentSubtitle">
    <w:name w:val="Document Subtitle"/>
    <w:rPr>
      <w:rFonts w:ascii="SimSun" w:hAnsi="SimSun" w:eastAsia="SimSun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福建公路应急事件处置预案审阅稿</dc:title>
  <dc:subject>16类事件的智能体调用预案，不限定应急资源基线</dc:subject>
  <dc:creator>福建路面交通Agent项目组</dc:creator>
  <cp:keywords/>
  <dc:description>用于人工润色；确认后转换为MySQL版本化预案。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