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5BFF" w:sz="12"/>
              <w:right w:val="none" w:color="FFFFFF" w:sz="0"/>
            </w:tcBorders>
            <w:tcMar>
              <w:top w:type="dxa" w:w="80"/>
              <w:left w:type="dxa" w:w="0"/>
              <w:bottom w:type="dxa" w:w="200"/>
              <w:right w:type="dxa" w:w="0"/>
            </w:tcMar>
          </w:tcPr>
          <w:p>
            <w:pPr>
              <w:spacing w:after="60"/>
            </w:pPr>
            <w:r>
              <w:rPr>
                <w:rFonts w:ascii="Arial" w:cs="Arial" w:eastAsia="Arial" w:hAnsi="Arial"/>
                <w:b/>
                <w:bCs/>
                <w:color w:val="5A5A5A"/>
                <w:sz w:val="18"/>
                <w:szCs w:val="18"/>
              </w:rPr>
              <w:t xml:space="preserve">FLOAID MEDTECH PVT. LTD.</w:t>
            </w:r>
          </w:p>
          <w:p>
            <w:pPr>
              <w:spacing w:after="60"/>
            </w:pPr>
            <w:r>
              <w:rPr>
                <w:rFonts w:ascii="Arial" w:cs="Arial" w:eastAsia="Arial" w:hAnsi="Arial"/>
                <w:b/>
                <w:bCs/>
                <w:color w:val="1A1A1A"/>
                <w:sz w:val="40"/>
                <w:szCs w:val="40"/>
              </w:rPr>
              <w:t xml:space="preserve">Floex VR Trainer — Next Milestone Roadmap</w:t>
            </w:r>
          </w:p>
          <w:p>
            <w:r>
              <w:rPr>
                <w:rFonts w:ascii="Arial" w:cs="Arial" w:eastAsia="Arial" w:hAnsi="Arial"/>
                <w:color w:val="5A5A5A"/>
                <w:sz w:val="22"/>
                <w:szCs w:val="22"/>
              </w:rPr>
              <w:t xml:space="preserve">Option 2 · Selective Animation Without Physiology · 3 weeks</w:t>
            </w:r>
          </w:p>
        </w:tc>
      </w:tr>
    </w:tbl>
    <w:p>
      <w:pPr>
        <w:spacing w:after="120" w:before="280"/>
      </w:pPr>
      <w:r>
        <w:rPr>
          <w:rFonts w:ascii="Arial" w:cs="Arial" w:eastAsia="Arial" w:hAnsi="Arial"/>
          <w:b/>
          <w:bCs/>
          <w:color w:val="2E5BFF"/>
          <w:sz w:val="26"/>
          <w:szCs w:val="26"/>
        </w:rPr>
        <w:t xml:space="preserve">Where we are today</w:t>
      </w:r>
    </w:p>
    <w:p>
      <w:r>
        <w:rPr>
          <w:rFonts w:ascii="Arial" w:cs="Arial" w:eastAsia="Arial" w:hAnsi="Arial"/>
        </w:rPr>
        <w:t xml:space="preserve">Product A — the console familiarisation trainer — is functionally complete. All four pump head canvases (three singles plus the double pump head in slot 4) are interactive. Every screen navigates, every picker commits and cancels correctly, the timer ticks across navigation, the click-hold bug is fixed. The double pump head 3D model is imported and placed. What is left for Product A as originally scoped is visual polish.</w:t>
      </w:r>
    </w:p>
    <w:p>
      <w:pPr>
        <w:spacing w:after="80"/>
      </w:pPr>
      <w:r>
        <w:rPr>
          <w:rFonts w:ascii="Arial" w:cs="Arial" w:eastAsia="Arial" w:hAnsi="Arial"/>
        </w:rPr>
        <w:t xml:space="preserve"/>
      </w:r>
    </w:p>
    <w:p>
      <w:r>
        <w:rPr>
          <w:rFonts w:ascii="Arial" w:cs="Arial" w:eastAsia="Arial" w:hAnsi="Arial"/>
        </w:rPr>
        <w:t xml:space="preserve">Shiv has given a go-ahead for additional functionality beyond the original Product A scope. This roadmap covers the next 3-week milestone: bringing the trainer visually alive without crossing into physiology simulation. It is the natural extension of Product A and the necessary geometry foundation for any future animation work.</w:t>
      </w:r>
    </w:p>
    <w:p>
      <w:pPr>
        <w:spacing w:after="120" w:before="240"/>
      </w:pPr>
      <w:r>
        <w:rPr>
          <w:rFonts w:ascii="Arial" w:cs="Arial" w:eastAsia="Arial" w:hAnsi="Arial"/>
          <w:b/>
          <w:bCs/>
          <w:color w:val="2E5BFF"/>
          <w:sz w:val="26"/>
          <w:szCs w:val="26"/>
        </w:rPr>
        <w:t xml:space="preserve">Concept</w:t>
      </w:r>
    </w:p>
    <w:p>
      <w:r>
        <w:rPr>
          <w:rFonts w:ascii="Arial" w:cs="Arial" w:eastAsia="Arial" w:hAnsi="Arial"/>
        </w:rPr>
        <w:t xml:space="preserve">The trainer looks alive and responds to user actions. Pump impellers spin when the user taps START, stop on STOP, reverse with the Direction picker. Alarm lights blink, bypass toggles cause visible state changes, audio cues localise to the machine. Display values remain preset — no patient state, no physiology, no clinical scenarios.</w:t>
      </w:r>
    </w:p>
    <w:p>
      <w:pPr>
        <w:spacing w:after="80"/>
      </w:pPr>
      <w:r>
        <w:rPr>
          <w:rFonts w:ascii="Arial" w:cs="Arial" w:eastAsia="Arial" w:hAnsi="Arial"/>
        </w:rPr>
        <w:t xml:space="preserve"/>
      </w:r>
    </w:p>
    <w:p>
      <w:r>
        <w:rPr>
          <w:rFonts w:ascii="Arial" w:cs="Arial" w:eastAsia="Arial" w:hAnsi="Arial"/>
        </w:rPr>
        <w:t xml:space="preserve">This is the largest visual upgrade possible without committing to the full simulator path. It preserves Product A's display-only philosophy while making the trainer immersive enough to demo with confidence.</w:t>
      </w:r>
    </w:p>
    <w:p>
      <w:pPr>
        <w:spacing w:after="140" w:before="240"/>
      </w:pPr>
      <w:r>
        <w:rPr>
          <w:rFonts w:ascii="Arial" w:cs="Arial" w:eastAsia="Arial" w:hAnsi="Arial"/>
          <w:b/>
          <w:bCs/>
          <w:color w:val="2E5BFF"/>
          <w:sz w:val="26"/>
          <w:szCs w:val="26"/>
        </w:rPr>
        <w:t xml:space="preserve">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960"/>
        <w:gridCol w:w="2960"/>
        <w:gridCol w:w="2560"/>
      </w:tblGrid>
      <w:tr>
        <w:trPr>
          <w:tblHeader/>
        </w:trPr>
        <w:tc>
          <w:tcPr>
            <w:tcW w:type="dxa" w:w="88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Week</w:t>
            </w:r>
          </w:p>
        </w:tc>
        <w:tc>
          <w:tcPr>
            <w:tcW w:type="dxa" w:w="29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Focus</w:t>
            </w:r>
          </w:p>
        </w:tc>
        <w:tc>
          <w:tcPr>
            <w:tcW w:type="dxa" w:w="29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End-of-week deliverable</w:t>
            </w:r>
          </w:p>
        </w:tc>
        <w:tc>
          <w:tcPr>
            <w:tcW w:type="dxa" w:w="25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Watch for</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20"/>
                <w:szCs w:val="20"/>
              </w:rPr>
              <w:t xml:space="preserve">Wk 1</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Geometry foundation. Reimport all 4 single pump heads through the FreeCAD → Blender → Unity pipeline, this time preserving the rotor/impeller assembly as a separate top-level mesh. Same for the double pump head's two rotors. Replace fused-mesh versions in scene; re-align canvases.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Four single pump heads and the double pump head all have addressable rotor sub-meshes. Scene visually unchanged from today. All click and navigation behaviour still works.</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9"/>
                <w:szCs w:val="19"/>
              </w:rPr>
              <w:t xml:space="preserve">Re-aligning canvases after replacement will take 1-2 hours of nudging. Schedule for it.</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20"/>
                <w:szCs w:val="20"/>
              </w:rPr>
              <w:t xml:space="preserve">Wk 2</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Motor rotation. Spin the rotor sub-mesh on START tap, stop on STOP tap, binary on/off at a fixed visual speed (~100 RPM). Direction picker (Forward/Reverse) flips rotation sign. Independent control per pump for the double pump head.</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Visible motor rotation on all four pump heads. Direction respected. State syncs with existing PumpHeadState.running and PumpHeadState.directionForward.</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9"/>
                <w:szCs w:val="19"/>
              </w:rPr>
              <w:t xml:space="preserve">Scope drift toward RPM coupling ("spin speed should reflect RPM display"). Hold the line: binary on/off only.</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20"/>
                <w:szCs w:val="20"/>
              </w:rPr>
              <w:t xml:space="preserve">Wk 3</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Remaining visual life + polish. Bypass toggle visible reaction, alarm light blink on state changes, basic spatial audio (pump sound, alarm beep) via Meta XR Audio SDK. Polish carry-overs: tube_circle_3.png green fix, BSA OK/EXIT wiring, second medical_instrument_tray removal. Performance profile on Quest 3.</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Stable 72 fps with all animations running. Polish backlog cleared. Demo-ready build. Recorded 5-minute walkthrough.</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9"/>
                <w:szCs w:val="19"/>
              </w:rPr>
              <w:t xml:space="preserve">Performance budget tightens once rotations are running on all 5 motors plus audio. Profile early in the week, not late.</w:t>
            </w:r>
          </w:p>
        </w:tc>
      </w:tr>
    </w:tbl>
    <w:p>
      <w:pPr>
        <w:spacing w:after="120" w:before="280"/>
      </w:pPr>
      <w:r>
        <w:rPr>
          <w:rFonts w:ascii="Arial" w:cs="Arial" w:eastAsia="Arial" w:hAnsi="Arial"/>
          <w:b/>
          <w:bCs/>
          <w:color w:val="2E5BFF"/>
          <w:sz w:val="26"/>
          <w:szCs w:val="26"/>
        </w:rPr>
        <w:t xml:space="preserve">Exit criterion</w:t>
      </w:r>
    </w:p>
    <w:p>
      <w:r>
        <w:rPr>
          <w:rFonts w:ascii="Arial" w:cs="Arial" w:eastAsia="Arial" w:hAnsi="Arial"/>
        </w:rPr>
        <w:t xml:space="preserve">A perfusionist puts on the Quest 3, walks to the Floex, taps START on a pump head, and sees the impeller spinning. Sees the screens. Can navigate every menu. Hears the pump. The trainer feels alive. Display values are preset — they do not model anything physiological. This is the trainer Shiv can demo to advisors, to KRB, to customer prospects, with no need to apologise for what is missing.</w:t>
      </w:r>
    </w:p>
    <w:p>
      <w:pPr>
        <w:spacing w:after="120" w:before="240"/>
      </w:pPr>
      <w:r>
        <w:rPr>
          <w:rFonts w:ascii="Arial" w:cs="Arial" w:eastAsia="Arial" w:hAnsi="Arial"/>
          <w:b/>
          <w:bCs/>
          <w:color w:val="2E5BFF"/>
          <w:sz w:val="26"/>
          <w:szCs w:val="26"/>
        </w:rPr>
        <w:t xml:space="preserve">The central risk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BFF" w:sz="24"/>
              <w:bottom w:val="none" w:color="FFFFFF" w:sz="0"/>
              <w:right w:val="none" w:color="FFFFFF" w:sz="0"/>
            </w:tcBorders>
            <w:shd w:fill="F2F4F8" w:val="clear"/>
            <w:tcMar>
              <w:top w:type="dxa" w:w="200"/>
              <w:left w:type="dxa" w:w="240"/>
              <w:bottom w:type="dxa" w:w="200"/>
              <w:right w:type="dxa" w:w="240"/>
            </w:tcMar>
          </w:tcPr>
          <w:p>
            <w:r>
              <w:rPr>
                <w:rFonts w:ascii="Arial" w:cs="Arial" w:eastAsia="Arial" w:hAnsi="Arial"/>
                <w:color w:val="1A1A1A"/>
                <w:sz w:val="20"/>
                <w:szCs w:val="20"/>
              </w:rPr>
              <w:t xml:space="preserve">Visual feedback that looks like physics quickly becomes physics. Once the impeller spins, the next ask is "why does it spin when no tubing is loaded?", then "why doesn't the flow change when I crank RPM up?", and you are three asks deep into building a simulator. This is the #1 named risk for this project, and it does not go away with Option 2.</w:t>
            </w:r>
          </w:p>
          <w:p>
            <w:pPr>
              <w:spacing w:after="80"/>
            </w:pPr>
            <w:r>
              <w:rPr>
                <w:rFonts w:ascii="Arial" w:cs="Arial" w:eastAsia="Arial" w:hAnsi="Arial"/>
              </w:rPr>
              <w:t xml:space="preserve"/>
            </w:r>
          </w:p>
          <w:p>
            <w:r>
              <w:rPr>
                <w:rFonts w:ascii="Arial" w:cs="Arial" w:eastAsia="Arial" w:hAnsi="Arial"/>
                <w:color w:val="1A1A1A"/>
                <w:sz w:val="20"/>
                <w:szCs w:val="20"/>
              </w:rPr>
              <w:t xml:space="preserve">Defending Option 2's scope is the most important judgment call of the next three weeks. Each visual reaction must be binary or preset — never a function of another value. If Shiv or a perfusionist asks for coupling, the answer is "that is Option 3 work", not "I can do that quickly."</w:t>
            </w:r>
          </w:p>
        </w:tc>
      </w:tr>
    </w:tbl>
    <w:p>
      <w:pPr>
        <w:spacing w:after="120" w:before="280"/>
      </w:pPr>
      <w:r>
        <w:rPr>
          <w:rFonts w:ascii="Arial" w:cs="Arial" w:eastAsia="Arial" w:hAnsi="Arial"/>
          <w:b/>
          <w:bCs/>
          <w:color w:val="2E5BFF"/>
          <w:sz w:val="26"/>
          <w:szCs w:val="26"/>
        </w:rPr>
        <w:t xml:space="preserve">What comes after this milestone</w:t>
      </w:r>
    </w:p>
    <w:p>
      <w:r>
        <w:rPr>
          <w:rFonts w:ascii="Arial" w:cs="Arial" w:eastAsia="Arial" w:hAnsi="Arial"/>
          <w:sz w:val="22"/>
          <w:szCs w:val="22"/>
        </w:rPr>
        <w:t xml:space="preserve">Two paths open up after Option 2 ships:</w:t>
      </w:r>
    </w:p>
    <w:p>
      <w:pPr>
        <w:spacing w:after="60"/>
      </w:pPr>
      <w:r>
        <w:rPr>
          <w:rFonts w:ascii="Arial" w:cs="Arial" w:eastAsia="Arial" w:hAnsi="Arial"/>
        </w:rPr>
        <w:t xml:space="preserve"/>
      </w:r>
    </w:p>
    <w:p>
      <w:pPr>
        <w:pStyle w:val="ListParagraph"/>
        <w:numPr>
          <w:ilvl w:val="0"/>
          <w:numId w:val="2"/>
        </w:numPr>
      </w:pPr>
      <w:r>
        <w:rPr>
          <w:rFonts w:ascii="Arial" w:cs="Arial" w:eastAsia="Arial" w:hAnsi="Arial"/>
          <w:b/>
          <w:bCs/>
          <w:sz w:val="22"/>
          <w:szCs w:val="22"/>
        </w:rPr>
        <w:t xml:space="preserve">Ship Option 2 as v1.0</w:t>
      </w:r>
      <w:r>
        <w:rPr>
          <w:rFonts w:ascii="Arial" w:cs="Arial" w:eastAsia="Arial" w:hAnsi="Arial"/>
          <w:sz w:val="22"/>
          <w:szCs w:val="22"/>
        </w:rPr>
        <w:t xml:space="preserve"> — deploy to one or two customers, gather real perfusionist feedback before committing to the full simulator. Lowest-risk path. The customers may tell us Option 2 is enough.</w:t>
      </w:r>
    </w:p>
    <w:p>
      <w:pPr>
        <w:pStyle w:val="ListParagraph"/>
        <w:numPr>
          <w:ilvl w:val="0"/>
          <w:numId w:val="2"/>
        </w:numPr>
      </w:pPr>
      <w:r>
        <w:rPr>
          <w:rFonts w:ascii="Arial" w:cs="Arial" w:eastAsia="Arial" w:hAnsi="Arial"/>
          <w:b/>
          <w:bCs/>
          <w:sz w:val="22"/>
          <w:szCs w:val="22"/>
        </w:rPr>
        <w:t xml:space="preserve">Proceed to Option 3</w:t>
      </w:r>
      <w:r>
        <w:rPr>
          <w:rFonts w:ascii="Arial" w:cs="Arial" w:eastAsia="Arial" w:hAnsi="Arial"/>
          <w:sz w:val="22"/>
          <w:szCs w:val="22"/>
        </w:rPr>
        <w:t xml:space="preserve"> — full physiology engine, three clinical scenarios (priming, CPB initiation, weaning), alarm system, instructor UI, telemetry. The original 36-week roadmap. Roughly 5-7 months from Option 2 exit. Requires sustained KRB and consultant availability.</w:t>
      </w:r>
    </w:p>
    <w:p>
      <w:pPr>
        <w:spacing w:after="80"/>
      </w:pPr>
      <w:r>
        <w:rPr>
          <w:rFonts w:ascii="Arial" w:cs="Arial" w:eastAsia="Arial" w:hAnsi="Arial"/>
        </w:rPr>
        <w:t xml:space="preserve"/>
      </w:r>
    </w:p>
    <w:p>
      <w:r>
        <w:rPr>
          <w:rFonts w:ascii="Arial" w:cs="Arial" w:eastAsia="Arial" w:hAnsi="Arial"/>
        </w:rPr>
        <w:t xml:space="preserve">Option 2's geometry reimport work is the necessary foundation for either path. Doing this milestone first preserves all optionality.</w:t>
      </w:r>
    </w:p>
    <w:p>
      <w:pPr>
        <w:spacing w:after="0" w:before="360"/>
        <w:jc w:val="center"/>
      </w:pPr>
      <w:r>
        <w:rPr>
          <w:rFonts w:ascii="Arial" w:cs="Arial" w:eastAsia="Arial" w:hAnsi="Arial"/>
          <w:i/>
          <w:iCs/>
          <w:color w:val="5A5A5A"/>
          <w:sz w:val="20"/>
          <w:szCs w:val="20"/>
        </w:rPr>
        <w:t xml:space="preserve">Three weeks · One person · Ship something demo-ready.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Floex VR Trainer · Option 2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Floex VR Trainer — Option 2 Roadmap</dc:title>
  <dc:creator>Pranjal Agarwal</dc:creator>
  <dc:description>Next milestone roadmap for the Floex VR Trainer project</dc:description>
  <cp:lastModifiedBy>Un-named</cp:lastModifiedBy>
  <cp:revision>1</cp:revision>
  <dcterms:created xsi:type="dcterms:W3CDTF">2026-06-07T02:31:25.263Z</dcterms:created>
  <dcterms:modified xsi:type="dcterms:W3CDTF">2026-06-07T02:31:25.264Z</dcterms:modified>
</cp:coreProperties>
</file>

<file path=docProps/custom.xml><?xml version="1.0" encoding="utf-8"?>
<Properties xmlns="http://schemas.openxmlformats.org/officeDocument/2006/custom-properties" xmlns:vt="http://schemas.openxmlformats.org/officeDocument/2006/docPropsVTypes"/>
</file>