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 w:eastAsia="Noto Sans CJK SC"/>
          <w:b/>
          <w:color w:val="17365D"/>
          <w:sz w:val="44"/>
        </w:rPr>
        <w:t>项目管理引擎模块联调准备表</w:t>
      </w:r>
    </w:p>
    <w:p>
      <w:pPr>
        <w:jc w:val="center"/>
      </w:pPr>
      <w:r>
        <w:rPr>
          <w:rFonts w:ascii="Arial" w:hAnsi="Arial" w:eastAsia="Noto Sans CJK SC"/>
          <w:b w:val="0"/>
          <w:color w:val="586A7E"/>
          <w:sz w:val="23"/>
        </w:rPr>
        <w:t>用于平台联合联调前的能力、接口、依赖、Mock 与风险说明</w:t>
      </w:r>
    </w:p>
    <w:p>
      <w:pPr>
        <w:jc w:val="center"/>
      </w:pPr>
      <w:r>
        <w:rPr>
          <w:rFonts w:ascii="Arial" w:hAnsi="Arial" w:eastAsia="Noto Sans CJK SC"/>
          <w:b w:val="0"/>
          <w:color w:val="5A6473"/>
          <w:sz w:val="20"/>
        </w:rPr>
        <w:t>版本：v0.6-final  |  运行模式：Mock 独立功能验证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0"/>
              </w:rPr>
              <w:t>模块名称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0"/>
              </w:rPr>
              <w:t>项目管理引擎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0"/>
              </w:rPr>
              <w:t>负责人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0"/>
              </w:rPr>
              <w:t>潘禄涛</w:t>
            </w:r>
          </w:p>
        </w:tc>
      </w:tr>
    </w:tbl>
    <w:p>
      <w:pPr>
        <w:spacing w:after="0"/>
      </w:pPr>
    </w:p>
    <w:p>
      <w:pPr>
        <w:pStyle w:val="Heading1"/>
      </w:pPr>
      <w:r>
        <w:t>一、我提供给其他模块的能力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1. 项目立项登记：支持普通项目、重大项目登记，自动生成项目编号，并登记重大项目审批结果。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2. 项目运行维护：维护项目生命周期状态，受理普通项目与重大项目之间的档位转换，并登记流程办结结果。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3. 项目成员名册：支持成员加入、岗位和项目角色变更、权限范围变更、退出及名册查询，保留历史版本。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4. 项目收尾与封存：按项目成员名册组织批量收权，登记数据、文件和数字资产归档目录，满足条件后封存项目。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5. 封存后授权查询：登记封存项目重新授权结果，校验授权有效期、动作和资源范围后提供事后查询。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6. 异步任务与流程回调：提供 accepted、task_id、进度回调、最终回调、状态查询和幂等处理。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7. 项目台账与全过程追踪：查询项目列表、项目详情、状态事件、成员事件、权限记录、收尾归档和治理证据。</w:t>
      </w:r>
    </w:p>
    <w:p>
      <w:pPr>
        <w:spacing w:before="60" w:after="100"/>
      </w:pPr>
      <w:r>
        <w:rPr>
          <w:rFonts w:ascii="Arial" w:hAnsi="Arial" w:eastAsia="Noto Sans CJK SC"/>
          <w:b w:val="0"/>
          <w:color w:val="5A6473"/>
          <w:sz w:val="18"/>
        </w:rPr>
        <w:t>说明：完整 action、capability_id、请求字段和错误码详见《项目管理引擎接口对接说明_v0.6》及 OpenAPI 附件。</w:t>
      </w:r>
    </w:p>
    <w:p>
      <w:pPr>
        <w:pStyle w:val="Heading1"/>
      </w:pPr>
      <w:r>
        <w:t>二、我提供的接口</w:t>
      </w:r>
    </w:p>
    <w:p>
      <w:pPr>
        <w:pStyle w:val="Heading2"/>
      </w:pPr>
      <w:r>
        <w:t>接口 1：统一层内消息入口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 /api/v1/l2/internal/messages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统一消息信封：source、target、trace_id、request_id、route_type、action、capability_id、actor、context、idempotency_key、deadline_at、payload。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success / accepted / failed 标准回复；成功时返回业务结果，长任务返回 task_id，权限和安全治理返回 decision_id、audit_ref。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字段缺失、来源或路由不合法、能力或版本不匹配、deadline 超时、重复 message_id、幂等冲突、权限拒绝或安全阻断。</w:t>
            </w:r>
          </w:p>
        </w:tc>
      </w:tr>
    </w:tbl>
    <w:p>
      <w:pPr>
        <w:spacing w:after="0"/>
      </w:pPr>
    </w:p>
    <w:p>
      <w:pPr>
        <w:pStyle w:val="Heading2"/>
      </w:pPr>
      <w:r>
        <w:t>接口 2：项目登记、审批结果与档位维护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 /api/v1/projects/register；POST /api/v1/projects/{project_id}/approval-result；POST /api/v1/projects/{project_id}/grade-change-requests；POST /api/v1/projects/{project_id}/grade-change-result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项目名称、类别、档位、预算属性、发起人；审批或档位转换结果、依据、流程编号、task_id、trace_id 和幂等键。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项目编号和当前状态；重大项目或档位转换返回 accepted/task_id；流程办结后返回审批或档位变更登记结果。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字段缺失、非法档位、项目状态不允许、重复结果、目标档位相同、权限拒绝、安全阻断、父消息或任务编号不匹配。</w:t>
            </w:r>
          </w:p>
        </w:tc>
      </w:tr>
    </w:tbl>
    <w:p>
      <w:pPr>
        <w:spacing w:after="0"/>
      </w:pPr>
    </w:p>
    <w:p>
      <w:pPr>
        <w:pStyle w:val="Heading2"/>
      </w:pPr>
      <w:r>
        <w:t>接口 3：项目成员名册维护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 /api/v1/projects/{project_id}/members；PUT /api/v1/projects/{project_id}/members/{person_id}；POST /api/v1/projects/{project_id}/members/{person_id}/remove；GET /api/v1/projects/{project_id}/members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人员编号、岗位、项目角色、权限范围、允许动作、有效期、授权或收权依据、操作人、trace_id 和幂等键。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当前成员记录、历史成员版本、成员事件、权限办理结果和 decision_id。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人员不存在或停用、重复有效成员、项目状态不允许、授权/变更/收权拒绝、成员不在有效名册。</w:t>
            </w:r>
          </w:p>
        </w:tc>
      </w:tr>
    </w:tbl>
    <w:p>
      <w:pPr>
        <w:spacing w:after="0"/>
      </w:pPr>
    </w:p>
    <w:p>
      <w:pPr>
        <w:pStyle w:val="Heading2"/>
      </w:pPr>
      <w:r>
        <w:t>接口 4：项目收尾、归档与封存授权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POST /api/v1/projects/{project_id}/closure；GET /api/v1/projects/{project_id}/archive-catalog；POST/GET /api/v1/projects/{project_id}/archive-authorizations；GET /api/v1/projects/{project_id}/authorized-archive-query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收尾依据、待归档资源引用、申请人、授权动作、授权范围、有效期、办理依据、trace_id 和幂等键。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收尾和批量收权结果、归档目录、data_ref/artifact_ref/asset_ref、封存授权记录及授权查询结果。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收权失败、归档失败、项目未封存、无有效授权、授权过期、动作不匹配、资源范围不匹配。</w:t>
            </w:r>
          </w:p>
        </w:tc>
      </w:tr>
    </w:tbl>
    <w:p>
      <w:pPr>
        <w:spacing w:after="0"/>
      </w:pPr>
    </w:p>
    <w:p>
      <w:pPr>
        <w:pStyle w:val="Heading2"/>
      </w:pPr>
      <w:r>
        <w:t>接口 5：异步任务与流程回调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/api/v1/tasks/{task_id}；POST /api/v1/tasks/{task_id}/progress；POST /api/v1/tasks/{task_id}/final-callback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task_id、message_id、parent_message_id、进度百分比、任务状态、最终结果、trace_id 和幂等键。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任务状态、进度、回调记录和最终结果；重复回调返回原处理结果或稳定冲突错误。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任务不存在、进度倒退、父消息不匹配、任务已进入终态、最终结果冲突、重复回调内容不一致。</w:t>
            </w:r>
          </w:p>
        </w:tc>
      </w:tr>
    </w:tbl>
    <w:p>
      <w:pPr>
        <w:spacing w:after="0"/>
      </w:pPr>
    </w:p>
    <w:p>
      <w:pPr>
        <w:pStyle w:val="Heading2"/>
      </w:pPr>
      <w:r>
        <w:t>接口 6：项目查询、全过程追踪与健康检查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AB8C6"/>
          <w:left w:val="single" w:sz="5" w:space="0" w:color="AAB8C6"/>
          <w:bottom w:val="single" w:sz="5" w:space="0" w:color="AAB8C6"/>
          <w:right w:val="single" w:sz="5" w:space="0" w:color="AAB8C6"/>
          <w:insideH w:val="single" w:sz="5" w:space="0" w:color="AAB8C6"/>
          <w:insideV w:val="single" w:sz="5" w:space="0" w:color="AAB8C6"/>
        </w:tblBorders>
      </w:tblPr>
      <w:tblGrid>
        <w:gridCol w:w="5185"/>
        <w:gridCol w:w="5185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B89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路径/方法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GET /health；GET /api/v1/projects；GET /api/v1/projects/{project_id}；GET /api/v1/projects/{project_id}/trace；GET /api/v1/projects/{project_id}/governance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健康检查无业务输入；业务查询输入 actor_person_id、project_id、查询范围和 trace_id。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版本和运行状态；项目列表、项目详情、全过程事件以及权限 decision_id、安全 audit_ref、档位和异步任务证据。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错误情况</w:t>
            </w:r>
          </w:p>
        </w:tc>
        <w:tc>
          <w:tcPr>
            <w:tcW w:type="dxa" w:w="7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服务未启动、项目不存在、查询权限不足、安全检查阻断或查询范围不允许。</w:t>
            </w:r>
          </w:p>
        </w:tc>
      </w:tr>
    </w:tbl>
    <w:p>
      <w:pPr>
        <w:spacing w:after="0"/>
      </w:pPr>
    </w:p>
    <w:p>
      <w:pPr>
        <w:pStyle w:val="Heading1"/>
      </w:pPr>
      <w:r>
        <w:t>三、我需要调用哪些模块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1. 需要调用模块：流程执行引擎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重大项目审批、档位转换、项目收尾流程，以及进度和最终结果回调。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统一任务派发、task.dispatch、flow.callback、task_id、parent_message_id、状态查询、重试和流程恢复契约。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2. 需要调用模块：L1.8 账号网关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解析当前真人、岗位、组织、租户和账号状态。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identity.resolve；返回可验证的 actor context、岗位和账号有效状态。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3. 需要调用模块：L1.1 权限管理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对每次登记、查询、成员授权/变更/收权和封存重新授权进行实时判权。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permission.decide；返回 allow/deny、decision_id、reason、obligations 和有效期。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4. 需要调用模块：L1.9 安全合规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进行输入输出检查、脱敏、外发限制和安全审计。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security.inspect；返回 ALLOW/BLOCK、audit_ref、reason 和 obligations。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5. 需要调用模块：L2 数据操作引擎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组织项目台账、成员、状态、任务和归档目录的业务数据写入、更新与查询。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data.persist/update/query/archive；返回数据引用、事务结果、版本和错误信息。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是，当前为简化 Mock</w:t>
      </w:r>
    </w:p>
    <w:p>
      <w:pPr>
        <w:spacing w:before="80" w:after="40"/>
      </w:pPr>
      <w:r>
        <w:rPr>
          <w:rFonts w:ascii="Arial" w:hAnsi="Arial" w:eastAsia="Noto Sans CJK SC"/>
          <w:b/>
          <w:sz w:val="20"/>
        </w:rPr>
        <w:t>6. 需要调用模块：L1.7 数据模块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调用目的：</w:t>
      </w:r>
      <w:r>
        <w:rPr>
          <w:rFonts w:ascii="Arial" w:hAnsi="Arial" w:eastAsia="Noto Sans CJK SC"/>
          <w:b w:val="0"/>
          <w:sz w:val="19"/>
        </w:rPr>
        <w:t>执行项目结构化数据、文件和数字资产引用的物理存取。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需要对方提供什么接口：</w:t>
      </w:r>
      <w:r>
        <w:rPr>
          <w:rFonts w:ascii="Arial" w:hAnsi="Arial" w:eastAsia="Noto Sans CJK SC"/>
          <w:b w:val="0"/>
          <w:sz w:val="19"/>
        </w:rPr>
        <w:t>data/artifact/asset 存取服务；版本、保留、删除、恢复和只增不改约束。</w:t>
      </w:r>
    </w:p>
    <w:p>
      <w:pPr>
        <w:pStyle w:val="ListBullet2"/>
        <w:spacing w:after="40"/>
      </w:pPr>
      <w:r>
        <w:rPr>
          <w:rFonts w:ascii="Arial" w:hAnsi="Arial" w:eastAsia="Noto Sans CJK SC"/>
          <w:b/>
          <w:sz w:val="19"/>
        </w:rPr>
        <w:t>当前是否已 Mock：</w:t>
      </w:r>
      <w:r>
        <w:rPr>
          <w:rFonts w:ascii="Arial" w:hAnsi="Arial" w:eastAsia="Noto Sans CJK SC"/>
          <w:b w:val="0"/>
          <w:sz w:val="19"/>
        </w:rPr>
        <w:t>是，当前由 SQLite 和归档适配器模拟</w:t>
      </w:r>
    </w:p>
    <w:p>
      <w:pPr>
        <w:pStyle w:val="Heading1"/>
      </w:pPr>
      <w:r>
        <w:t>四、当前 Mock 的内容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1. 流程执行引擎的任务派发、accepted、进度回调、最终回调和流程结果登记。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2. L1.8 当前真人、岗位、组织、租户和账号状态。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3. L1.1 动作级判权、成员授权/变更/收权、封存项目重新授权和 decision_id。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4. L1.9 输入输出安全检查、脱敏义务、安全阻断和 audit_ref。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5. L2 数据操作、L1.7 物理存取、归档封存、data_ref/artifact_ref/asset_ref 和本地 SQLite。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6. 本地 service_code、capability_id、来源路由矩阵、协议版本和能力登记版本。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7. 人员停用、权限拒绝、安全阻断、收权失败、归档失败、重复消息和错误回调等异常规则。</w:t>
      </w:r>
    </w:p>
    <w:p>
      <w:pPr>
        <w:pStyle w:val="Heading1"/>
      </w:pPr>
      <w:r>
        <w:t>五、后续联调风险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1. 正式统一路径、service_code、capability_id、协议版本、能力字典版本和能力登记版本尚未最终确认。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2. 项目状态、项目档位、成员状态和流程任务状态的正式枚举可能与本地字典不同。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3. actor、权限范围、obligations、decision_id 和 audit_ref 的正式 Schema 可能与 Mock 不同。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4. 流程回调可能出现重复、乱序、超时、parent_message_id 或 task_id 不一致。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5. L2 数据操作与 L1.7 的事务、分页、版本、只增不改和恢复机制可能与 SQLite 实现不同。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6. data_ref、artifact_ref、asset_ref 的正式格式、保存期限和授权范围尚待确认。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7. 正式认证、网络白名单、并发容量、超时、重试和错误码规范尚未联合验证。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8. 正式环境必须限制本地便利 REST，避免 L4 绕过 L2 统一层接口直接调用项目管理引擎。</w:t>
      </w:r>
    </w:p>
    <w:p>
      <w:pPr>
        <w:pStyle w:val="Heading1"/>
      </w:pPr>
      <w:r>
        <w:t>六、联调前我能保证什么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1. 本模块能独立启动，/health 可检查版本和运行状态。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2. 本模块有完整的正常和异常 Mock 测试数据。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3. 本模块已有服务级验证、44 项单元测试、API 验证、Dashboard 验证和最终交付自检结果。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4. 本模块有统一消息信封、来源路由矩阵、能力路由、版本、deadline、重复消息和幂等校验。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5. trace_id、message_id、parent_message_id、task_id、decision_id 和 audit_ref 可贯穿全过程证据链。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6. 项目登记、档位转换、成员加入/变更/退出、收尾归档、封存重新授权和事后查询主链可运行。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7. Mock 适配器集中在 adapters/repository 边界，替换真实接口时核心业务服务不需推倒重写。</w:t>
      </w:r>
    </w:p>
    <w:p>
      <w:pPr>
        <w:spacing w:after="60" w:line="276" w:lineRule="auto"/>
      </w:pPr>
      <w:r>
        <w:rPr>
          <w:rFonts w:ascii="Arial" w:hAnsi="Arial" w:eastAsia="Noto Sans CJK SC"/>
          <w:b w:val="0"/>
          <w:sz w:val="20"/>
        </w:rPr>
        <w:t>8. 本模块有 README、接口对接说明、OpenAPI、Postman、请求示例、错误码和联调测试用例。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35" w:bottom="765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A6473"/>
        <w:sz w:val="16"/>
      </w:rPr>
      <w:t>内部联调资料｜本地 Mock 验证版本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color w:val="5A6473"/>
        <w:sz w:val="16"/>
      </w:rPr>
      <w:t>项目管理引擎模块联调准备表｜v0.6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