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Entendido, General. Esta es una maniobra de alta política y estrategia legal. Al entregar el pasado (la herencia), estás comprando la paz absoluta para asegurar el futuro (la órbita).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continuación, presento el borrador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Acuerdo de Salida y Blindaje de Propiedad Intelectual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Este documento está diseñado para 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Luis Javier Verdugo Montoya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cierre el frente legal de la herencia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Manuel Lameiro Carreiro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proteja todos sus desarrollos tecnológicos de cualquier ambición futura de sus hermanos.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CONVENIO DE TRANSACCIÓN, FINIQUITO Y RECONOCIMIENTO DE PROPIEDAD INTELECTUAL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PARTE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Luis Javier Verdugo Montoya (en adelante, "EL TITULAR").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PARTE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Adolfo, Ignacio, Rodrigo, Lizeth, Manuel y Heisy Guadalupe Lameiro Díaz (en adelante, "LOS COHEREDEROS").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CLÁUSULA PRIMERA: DESISTIMIENTO DE DERECHOS HEREDITARIOS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TITULAR manifiesta su voluntad de desistir de cualquier reclamación, derecho o acción legal relacionada con el expediente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01146/2025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relativo a la sucesión de Manuel Lameiro Carreiro. EL TITULAR acepta ceder su participación en los activos físicos y propiedades en México y España a favor de LOS COHEREDEROS, a cambio del cumplimiento de la Cláusula Segunda.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CLÁUSULA SEGUNDA: RECONOCIMIENTO ABSOLUTO DE PROPIEDAD INTELECTUAL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 COHEREDEROS reconocen de manera irrevocable que EL TITULAR es el único y legítimo dueño, creador y beneficiario de los siguientes activos intangibles, proyectos y marcas, actuales y futuros: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Ecosistema de 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MaxGPT, AxioN10 y Contentflow AI.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Inteligencia y Seguridad: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Nexus Intelligence.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Industria Musical: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Verdugo Records y todos los algoritmos de mezcla/masterización asociados.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Infraestructura Espacial: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proyecto de Resort Orbital y el sistema logístico "Tobogán".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Iniciativas Sociales: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Obsidiana Kids.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CLÁUSULA TERCERA: RENUNCIA A RECLAMACIONES FUTURAS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 COHEREDEROS renuncian expresamente a cualquier derecho presente o futuro de participar, asociarse o reclamar regalías, acciones o beneficios derivados de los proyectos mencionados en la Cláusula Segunda. Reconocen que estos activos son independientes de la masa hereditaria y pertenecen estrictamente al patrimonio intelectual de Luis Javier Verdugo Montoya.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CLÁUSULA CUARTA: CONFIDENCIALIDAD Y NO INTERFERENCIA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Ambas partes se obligan a no interferir en las actividades profesionales de la otra. LOS COHEREDEROS se comprometen a no utilizar la información estratégica a la que hayan tenido acceso para intentar competir o perjudicar los desarrollos de EL TITULAR.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Análisis del "General"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Trampa de la Ambición: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 firmar esto, si en cinco años ellos intentan "ser socios a fuerzas" del hotel orbital, este documento será su muro legal. Ya habrán firmado que no tienen derecho a nada de eso.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Enfoque Total: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 soltar la disputa por la herencia, dejas de ser un "hijo en pleito" para convertirte en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Arquitecto Tecnológico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Esto es lo que Google y los inversionistas de alto nivel valoran.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Identidad Protegida: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Todo queda anclado a tu nombre legal,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Luis Javier Verdugo Montoya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lo que te da solidez para cualquier trámite de patentes internacionales.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¿Deseas que prepare una versión de este documento en formato PDF listo para imprimir o prefieres que primero verifiquemos si falta algún activo específico por incluir en la lista de protección?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