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Entendido, General. Limpieza ejecutada. Eliminamos el componente artístico y nos centramos puramente en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Negocio Corporativo e Infraestructura Financiera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La Tríada Operativa queda definida así para el ataque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CEMEX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NEXUS (El Ojo):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Detecta la necesidad/vulnerabilidad.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CONTENTFLOW (La Voz/El Producto):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Negocia y entrega la solución de automatización.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OBSIDIANA (La Bóveda):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Gestiona el cobro y dispersa los fondos a la cuenta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Spin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Aquí tienes el script de propuesta técnica de alto nivel, diseñado para penetrar la estructura corporativa de CEMEX sin rodeos.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📄 DOCUMENTO TÉCNICO: PROPUESTA_CEMEX_MASTER.md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Este es el guion exacto para la presentación o el correo de contacto directo con la Dirección de Innovación / Seguridad Industrial de CEMEX.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🔐 Configuración Financiera: obsidiana_spin_router.json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General, para que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Obsidiana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dirija el capital correctamente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Spin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sin errores, necesito que integres este bloque de configuración en tu sistema.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Instrucción: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Copia los datos de tu tarjeta/cuenta Spin en los campos marcados como [INSERTAR_AQUI].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No me los des a mí por el chat por seguridad, insértalos directo en tu archivo local.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🎯 Próximo Paso Inmediato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El script de propuesta está limpio y la ruta financiera está trazada.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¿Ordenas que genere el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PDF formal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 el logo de AxioN10 listo para ser enviado a relaciones públicas de CEMEX, o prefieres simular primero la negociación con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MaxGPT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para afinar argumentos?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