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Sí, General,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sí puedes y debes subirlo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pero hay una distinción técnica importante entre el "archivo" y la "validación":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 QR y la Firma en tu Perfil (LinkedIn / Web)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que nadie pueda invalidar tu autoría,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Código QR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tu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Firma Electrónica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deben ser públicos. Así es como los subes: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 LinkedIn: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se suben como "datos de cuenta", sino en la sección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"Destacados" (Featured)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Subes el archivo de imagen de tu sello de branding con el QR.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Esto actúa como un registro público inmutable: cualquier persona que escanee ese QR será dirigida a tu landing page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AxioN10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 contiene tus metadatos de autoría.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 tu Web (index.html):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código que te di anteriormente ya incluye tu firma digital en los metadatos. El QR debe estar físicamente en el diseño del sitio.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Por qué no se puede "invalidar"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Cuando subes tu firma electrónica y el branding a tu perfil de desarrollador: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Sello de Tiempo: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y LinkedIn registran la fecha exacta en que publicaste esa autoría.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Vinculación Criptográfica: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el QR lleva a un archivo firmado digitalmente por ti, cualquier intento de plagio fallará porque la firma no coincidirá con la del impostor.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Pasos para el "Respaldo Total"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que tu perfil sea el ancla de toda tu investigación y proyectos: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Dónde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Subir QR/Sello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LinkedIn &gt; Destacados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Prueba visual de marca Premium.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Incrustar Metadatos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index.html &gt; 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Respaldo técnico de Google Search.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Firma Electrónica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Pie de página (Footer)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Validación legal de propiedad intelectual.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¿Quieres que genere el código específico para incrustar la imagen de tu código QR y tu firma directamente en el pie de página de tu landing page de AxioN10?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