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0C0B2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383790" cy="1788160"/>
            <wp:effectExtent l="0" t="0" r="3810" b="254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1788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337435" cy="1753235"/>
            <wp:effectExtent l="0" t="0" r="12065" b="12065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7435" cy="17532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B0C874">
      <w:pPr>
        <w:rPr>
          <w:rFonts w:ascii="宋体" w:hAnsi="宋体" w:eastAsia="宋体" w:cs="宋体"/>
          <w:sz w:val="24"/>
          <w:szCs w:val="24"/>
        </w:rPr>
      </w:pPr>
    </w:p>
    <w:p w14:paraId="06CA577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详细实验数据解释图片见文件尾</w:t>
      </w:r>
    </w:p>
    <w:p w14:paraId="3275527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6B0F88C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1D7AD3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现在roc不高我估计是tcga数据集选择还有点问题</w:t>
      </w:r>
      <w:bookmarkStart w:id="0" w:name="_GoBack"/>
      <w:bookmarkEnd w:id="0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，一个病人的图像文件多，有的选错了图像数据</w:t>
      </w:r>
    </w:p>
    <w:p w14:paraId="2328395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D0B760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A4C8BF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训练集/验证集划分方式7：3</w:t>
      </w:r>
    </w:p>
    <w:p w14:paraId="260CD709">
      <w:pPr>
        <w:rPr>
          <w:rFonts w:ascii="宋体" w:hAnsi="宋体" w:eastAsia="宋体" w:cs="宋体"/>
          <w:sz w:val="24"/>
          <w:szCs w:val="24"/>
        </w:rPr>
      </w:pPr>
    </w:p>
    <w:p w14:paraId="1CB5D6A8">
      <w:pPr>
        <w:rPr>
          <w:rFonts w:ascii="宋体" w:hAnsi="宋体" w:eastAsia="宋体" w:cs="宋体"/>
          <w:sz w:val="24"/>
          <w:szCs w:val="24"/>
        </w:rPr>
      </w:pPr>
    </w:p>
    <w:p w14:paraId="373B91DB">
      <w:pPr>
        <w:rPr>
          <w:rFonts w:ascii="宋体" w:hAnsi="宋体" w:eastAsia="宋体" w:cs="宋体"/>
          <w:sz w:val="24"/>
          <w:szCs w:val="24"/>
        </w:rPr>
      </w:pPr>
    </w:p>
    <w:p w14:paraId="07342597">
      <w:pPr>
        <w:rPr>
          <w:rFonts w:ascii="宋体" w:hAnsi="宋体" w:eastAsia="宋体" w:cs="宋体"/>
          <w:sz w:val="24"/>
          <w:szCs w:val="24"/>
        </w:rPr>
      </w:pPr>
    </w:p>
    <w:p w14:paraId="49871358">
      <w:pPr>
        <w:rPr>
          <w:rFonts w:ascii="宋体" w:hAnsi="宋体" w:eastAsia="宋体" w:cs="宋体"/>
          <w:sz w:val="24"/>
          <w:szCs w:val="24"/>
        </w:rPr>
      </w:pPr>
    </w:p>
    <w:p w14:paraId="5FA0915D">
      <w:pPr>
        <w:rPr>
          <w:rFonts w:ascii="宋体" w:hAnsi="宋体" w:eastAsia="宋体" w:cs="宋体"/>
          <w:sz w:val="24"/>
          <w:szCs w:val="24"/>
        </w:rPr>
      </w:pPr>
    </w:p>
    <w:p w14:paraId="69FBE6D2">
      <w:pPr>
        <w:rPr>
          <w:rFonts w:ascii="宋体" w:hAnsi="宋体" w:eastAsia="宋体" w:cs="宋体"/>
          <w:sz w:val="24"/>
          <w:szCs w:val="24"/>
        </w:rPr>
      </w:pPr>
    </w:p>
    <w:p w14:paraId="37B719D2">
      <w:pPr>
        <w:rPr>
          <w:rFonts w:ascii="宋体" w:hAnsi="宋体" w:eastAsia="宋体" w:cs="宋体"/>
          <w:sz w:val="24"/>
          <w:szCs w:val="24"/>
        </w:rPr>
      </w:pPr>
    </w:p>
    <w:p w14:paraId="71FB8547">
      <w:pPr>
        <w:rPr>
          <w:rFonts w:ascii="宋体" w:hAnsi="宋体" w:eastAsia="宋体" w:cs="宋体"/>
          <w:sz w:val="24"/>
          <w:szCs w:val="24"/>
        </w:rPr>
      </w:pPr>
    </w:p>
    <w:p w14:paraId="4D44D280">
      <w:pPr>
        <w:rPr>
          <w:rFonts w:ascii="宋体" w:hAnsi="宋体" w:eastAsia="宋体" w:cs="宋体"/>
          <w:sz w:val="24"/>
          <w:szCs w:val="24"/>
        </w:rPr>
      </w:pPr>
    </w:p>
    <w:p w14:paraId="1D09EDA2">
      <w:pPr>
        <w:rPr>
          <w:rFonts w:ascii="宋体" w:hAnsi="宋体" w:eastAsia="宋体" w:cs="宋体"/>
          <w:sz w:val="24"/>
          <w:szCs w:val="24"/>
        </w:rPr>
      </w:pPr>
    </w:p>
    <w:p w14:paraId="052CE39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Shap检验显示了各表格特征的重要性等级</w:t>
      </w:r>
    </w:p>
    <w:p w14:paraId="0C2A8DF6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1494155" cy="1120775"/>
            <wp:effectExtent l="0" t="0" r="4445" b="9525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94155" cy="1120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04C3C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AUPRC（Area Under the Precision-Recall Curve，精确率 - 召回率曲线下面积），也常被称为</w:t>
      </w:r>
      <w:r>
        <w:rPr>
          <w:rStyle w:val="4"/>
          <w:rFonts w:ascii="宋体" w:hAnsi="宋体" w:eastAsia="宋体" w:cs="宋体"/>
          <w:b/>
          <w:bCs/>
          <w:color w:val="000000"/>
          <w:sz w:val="16"/>
          <w:szCs w:val="16"/>
          <w:bdr w:val="none" w:color="auto" w:sz="0" w:space="0"/>
        </w:rPr>
        <w:t>AP（Average Precision，平均精确率）</w:t>
      </w:r>
      <w:r>
        <w:rPr>
          <w:rFonts w:ascii="宋体" w:hAnsi="宋体" w:eastAsia="宋体" w:cs="宋体"/>
          <w:sz w:val="24"/>
          <w:szCs w:val="24"/>
        </w:rPr>
        <w:t>，是评估二分类模型性能的核心指标，尤其在</w:t>
      </w:r>
      <w:r>
        <w:rPr>
          <w:rStyle w:val="4"/>
          <w:rFonts w:ascii="宋体" w:hAnsi="宋体" w:eastAsia="宋体" w:cs="宋体"/>
          <w:b/>
          <w:bCs/>
          <w:color w:val="000000"/>
          <w:sz w:val="16"/>
          <w:szCs w:val="16"/>
          <w:bdr w:val="none" w:color="auto" w:sz="0" w:space="0"/>
        </w:rPr>
        <w:t>极不平衡数据场景</w:t>
      </w:r>
      <w:r>
        <w:rPr>
          <w:rFonts w:ascii="宋体" w:hAnsi="宋体" w:eastAsia="宋体" w:cs="宋体"/>
          <w:sz w:val="24"/>
          <w:szCs w:val="24"/>
        </w:rPr>
        <w:t>下（比如你的肺腺癌 STAS 预测中阳性样本占比很低时），它比 AUROC 更能精准反映模型的实际表现</w:t>
      </w:r>
    </w:p>
    <w:p w14:paraId="3D4B1FF0">
      <w:r>
        <w:drawing>
          <wp:inline distT="0" distB="0" distL="114300" distR="114300">
            <wp:extent cx="3016885" cy="2338070"/>
            <wp:effectExtent l="0" t="0" r="5715" b="1143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6885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25D1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Loss曲线与学习率曲线（学习率曲线降到0是啥意思？）</w:t>
      </w:r>
    </w:p>
    <w:p w14:paraId="43BB926E">
      <w:r>
        <w:drawing>
          <wp:inline distT="0" distB="0" distL="114300" distR="114300">
            <wp:extent cx="1774190" cy="4619625"/>
            <wp:effectExtent l="0" t="0" r="3810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419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9ACC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消融实验（看contribution就行），验证不同模态对模型的贡献（但是为啥先正后负？）</w:t>
      </w:r>
    </w:p>
    <w:p w14:paraId="1466EE97">
      <w:pPr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2809875" cy="2167890"/>
            <wp:effectExtent l="0" t="0" r="952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16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BC5D0A"/>
    <w:rsid w:val="06473D8B"/>
    <w:rsid w:val="0E86168D"/>
    <w:rsid w:val="1D083E1C"/>
    <w:rsid w:val="249D692C"/>
    <w:rsid w:val="278B6531"/>
    <w:rsid w:val="28BB4065"/>
    <w:rsid w:val="3643781B"/>
    <w:rsid w:val="37C91E21"/>
    <w:rsid w:val="477737C9"/>
    <w:rsid w:val="4C8B7B66"/>
    <w:rsid w:val="4CDA4F40"/>
    <w:rsid w:val="56E30533"/>
    <w:rsid w:val="5A20384C"/>
    <w:rsid w:val="5A405C9C"/>
    <w:rsid w:val="68A044D6"/>
    <w:rsid w:val="6D1169F8"/>
    <w:rsid w:val="6DF64B98"/>
    <w:rsid w:val="6F067027"/>
    <w:rsid w:val="6F5778B8"/>
    <w:rsid w:val="746C4BA1"/>
    <w:rsid w:val="7729594B"/>
    <w:rsid w:val="7A41073D"/>
    <w:rsid w:val="7AE36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Office_12.1.0.25186_F1E327BC-269C-435d-A152-05C5408002CA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2026-01-24T08:16:20Z</dcterms:created>
  <dc:creator>12600</dc:creator>
  <cp:lastModifiedBy>李zb</cp:lastModifiedBy>
  <dcterms:modified xsi:type="dcterms:W3CDTF">2026-01-24T08:27:38Z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eyJoZGlkIjoiMzAzZTE4MmQ2MDM5NTVkODBkNDBkYjkxOGEyZGUzYjkiLCJ1c2VySWQiOiIxMzg1MzY4ODIwIn0=</vt:lpwstr>
  </property>
  <property fmtid="{D5CDD505-2E9C-101B-9397-08002B2CF9AE}" pid="4" name="ICV">
    <vt:lpwstr>AE06A497C22D42BB9869B825A5B2D7E2_12</vt:lpwstr>
  </property>
</Properties>
</file>