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Work Report</w:t>
      </w:r>
    </w:p>
    <w:p>
      <w:r>
        <w:t>Hongle Yang | Source provenance and exact unit mapping | 2026-09-22</w:t>
      </w:r>
    </w:p>
    <w:p>
      <w:pPr>
        <w:pStyle w:val="Heading1"/>
      </w:pPr>
      <w:r>
        <w:t>Week 8 contribution</w:t>
      </w:r>
    </w:p>
    <w:p>
      <w:r>
        <w:t>Preserve the four official OpenStax books and 10,594 active vectors while supplying exact, usable source mappings to the reliability path. These resources already existed before this iteration and are retained rather than counted as new corpus work.</w:t>
      </w:r>
    </w:p>
    <w:p>
      <w:r>
        <w:t>Original task allocation: DAT-01, DAT-02, DAT-03, DAT-04, DAT-05, DAT-06, DAT-07, DAT-08, DAT-09, DAT-10, DAT-11, DAT-12.</w:t>
      </w:r>
    </w:p>
    <w:p>
      <w:pPr>
        <w:pStyle w:val="Heading1"/>
      </w:pPr>
      <w:r>
        <w:t>Completed implementation</w:t>
      </w:r>
    </w:p>
    <w:p>
      <w:r>
        <w:t>Fragments remain bound to document versions, processing runs, source units, cleaned-text offsets and hashes. Complete formulas, tables and captions are distinguished from clipped blocks before a claim can receive source support.</w:t>
      </w:r>
    </w:p>
    <w:p>
      <w:r>
        <w:t>Validated local references and retained headings recover bounded context. Lossless table serialization preserves exact row text and order; it does not invent missing cells or certify scientific meaning from formatting alone.</w:t>
      </w:r>
    </w:p>
    <w:p>
      <w:r>
        <w:t>Real CPU source preparation freezes matched candidates without private answer labels. Human oracle material has a separate named, timed, exact-hash coverage attestation; mapping validation is not a substitute for human sufficiency confirmation.</w:t>
      </w:r>
    </w:p>
    <w:p>
      <w:pPr>
        <w:pStyle w:val="Heading1"/>
      </w:pPr>
      <w:r>
        <w:t>Interfaces and operation</w:t>
      </w:r>
    </w:p>
    <w:p>
      <w:r>
        <w:t>Chengzhou consumes source boundaries and context; Sijin checks claim links; Zeping repeats identity and visibility checks; Baiqing renders approved text; Chong preserves matched source hashes.</w:t>
      </w:r>
    </w:p>
    <w:p>
      <w:pPr>
        <w:pStyle w:val="ListBullet"/>
      </w:pPr>
      <w:r>
        <w:t>Trace a displayed claim to its exact saved source unit and original locator.</w:t>
      </w:r>
    </w:p>
    <w:p>
      <w:pPr>
        <w:pStyle w:val="ListBullet"/>
      </w:pPr>
      <w:r>
        <w:t>Inspect atomic blocks and retained qualifications before accepting a source mapping.</w:t>
      </w:r>
    </w:p>
    <w:p>
      <w:pPr>
        <w:pStyle w:val="ListBullet"/>
      </w:pPr>
      <w:r>
        <w:t>Keep human-confirmed oracle evidence distinct from the ordinary retrieved pool.</w:t>
      </w:r>
    </w:p>
    <w:p>
      <w:pPr>
        <w:pStyle w:val="Heading1"/>
      </w:pPr>
      <w:r>
        <w:t>Verification and findings</w:t>
      </w:r>
    </w:p>
    <w:p>
      <w:r>
        <w:t>The current work retains the four official books, 48 bundled source objects and 10594 active vectors. The fresh CPU installation rehashed all 80 corpus, embedding and tokenizer resources, and the final public-source sync verified those same resource bytes again. This establishes continuity with the preserved corpus.</w:t>
      </w:r>
    </w:p>
    <w:p>
      <w:r>
        <w:t>The reliability checkpoint records exact source, policy and prompt hashes alongside tests of source boundaries and publication. Fragments retain their cleaned-text identity and locators while nearby references and complete blocks can supply necessary context. Exact mapping and scientific sufficiency remain separate review questions.</w:t>
      </w:r>
    </w:p>
    <w:p>
      <w:r>
        <w:t>The portable HTTP journey saved two answers with source hashes and locators, and the browser rendered the approved source segments at desktop and mobile widths. The source viewer and Escape interaction worked after loading saved history. These checks exercise the consumer path using real retrieved records with explicitly mock answer text.</w:t>
      </w:r>
    </w:p>
    <w:p>
      <w:r>
        <w:t>Source changes remain versioned so historical citations are inspectable. The migration preservation record found no changes to existing-column data. Human oracle evidence requires its own named coverage confirmation; the installation and exact-span checks supply the identity needed for that review.</w:t>
      </w:r>
    </w:p>
    <w:p>
      <w:r>
        <w:t>The completed numerical report retains all planned outcomes for the assigned studies, including failures and human-dependent oracle cases. Domain accountability does not imply that the member personally executed the recorded automated work.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6336"/>
        <w:gridCol w:w="1872"/>
        <w:gridCol w:w="1872"/>
      </w:tblGrid>
      <w:tr>
        <w:trPr>
          <w:tblHeader/>
          <w:cantSplit/>
        </w:trPr>
        <w:tc>
          <w:tcPr>
            <w:tcW w:type="dxa" w:w="6336"/>
            <w:vAlign w:val="center"/>
            <w:shd w:fill="213B50"/>
          </w:tcPr>
          <w:p>
            <w:pPr>
              <w:keepNext/>
              <w:spacing w:before="40" w:after="40" w:line="252" w:lineRule="auto"/>
              <w:jc w:val="left"/>
            </w:pPr>
            <w:r>
              <w:rPr>
                <w:b/>
                <w:color w:val="FFFFFF"/>
                <w:sz w:val="20"/>
              </w:rPr>
              <w:t>Study</w:t>
            </w:r>
          </w:p>
        </w:tc>
        <w:tc>
          <w:tcPr>
            <w:tcW w:type="dxa" w:w="1872"/>
            <w:vAlign w:val="center"/>
            <w:shd w:fill="213B50"/>
          </w:tcPr>
          <w:p>
            <w:pPr>
              <w:keepNext/>
              <w:spacing w:before="40" w:after="40" w:line="252" w:lineRule="auto"/>
              <w:jc w:val="center"/>
            </w:pPr>
            <w:r>
              <w:rPr>
                <w:b/>
                <w:color w:val="FFFFFF"/>
                <w:sz w:val="20"/>
              </w:rPr>
              <w:t>Recorded</w:t>
            </w:r>
          </w:p>
        </w:tc>
        <w:tc>
          <w:tcPr>
            <w:tcW w:type="dxa" w:w="1872"/>
            <w:vAlign w:val="center"/>
            <w:shd w:fill="213B50"/>
          </w:tcPr>
          <w:p>
            <w:pPr>
              <w:keepNext/>
              <w:spacing w:before="40" w:after="40" w:line="252" w:lineRule="auto"/>
              <w:jc w:val="center"/>
            </w:pPr>
            <w:r>
              <w:rPr>
                <w:b/>
                <w:color w:val="FFFFFF"/>
                <w:sz w:val="20"/>
              </w:rPr>
              <w:t>Planned</w:t>
            </w:r>
          </w:p>
        </w:tc>
      </w:tr>
      <w:tr>
        <w:trPr>
          <w:cantSplit/>
        </w:trPr>
        <w:tc>
          <w:tcPr>
            <w:tcW w:type="dxa" w:w="6336"/>
            <w:vAlign w:val="center"/>
            <w:shd w:fill="FFFFFF"/>
          </w:tcPr>
          <w:p>
            <w:pPr>
              <w:keepNext w:val="0"/>
              <w:spacing w:before="40" w:after="40" w:line="252" w:lineRule="auto"/>
              <w:jc w:val="left"/>
            </w:pPr>
            <w:r>
              <w:rPr>
                <w:b w:val="0"/>
                <w:color w:val="000000"/>
                <w:sz w:val="20"/>
              </w:rPr>
              <w:t>Study A Supplied Information Diagnosis</w:t>
            </w:r>
          </w:p>
        </w:tc>
        <w:tc>
          <w:tcPr>
            <w:tcW w:type="dxa" w:w="1872"/>
            <w:vAlign w:val="center"/>
            <w:shd w:fill="FFFFFF"/>
          </w:tcPr>
          <w:p>
            <w:pPr>
              <w:keepNext w:val="0"/>
              <w:spacing w:before="40" w:after="40" w:line="252" w:lineRule="auto"/>
              <w:jc w:val="center"/>
            </w:pPr>
            <w:r>
              <w:rPr>
                <w:b w:val="0"/>
                <w:color w:val="000000"/>
                <w:sz w:val="20"/>
              </w:rPr>
              <w:t>72</w:t>
            </w:r>
          </w:p>
        </w:tc>
        <w:tc>
          <w:tcPr>
            <w:tcW w:type="dxa" w:w="1872"/>
            <w:vAlign w:val="center"/>
            <w:shd w:fill="FFFFFF"/>
          </w:tcPr>
          <w:p>
            <w:pPr>
              <w:keepNext w:val="0"/>
              <w:spacing w:before="40" w:after="40" w:line="252" w:lineRule="auto"/>
              <w:jc w:val="center"/>
            </w:pPr>
            <w:r>
              <w:rPr>
                <w:b w:val="0"/>
                <w:color w:val="000000"/>
                <w:sz w:val="20"/>
              </w:rPr>
              <w:t>72</w:t>
            </w:r>
          </w:p>
        </w:tc>
      </w:tr>
      <w:tr>
        <w:trPr>
          <w:cantSplit/>
        </w:trPr>
        <w:tc>
          <w:tcPr>
            <w:tcW w:type="dxa" w:w="6336"/>
            <w:vAlign w:val="center"/>
            <w:shd w:fill="F2F5F7"/>
          </w:tcPr>
          <w:p>
            <w:pPr>
              <w:keepNext w:val="0"/>
              <w:spacing w:before="40" w:after="40" w:line="252" w:lineRule="auto"/>
              <w:jc w:val="left"/>
            </w:pPr>
            <w:r>
              <w:rPr>
                <w:b w:val="0"/>
                <w:color w:val="000000"/>
                <w:sz w:val="20"/>
              </w:rPr>
              <w:t>Study B Textbook Reliability</w:t>
            </w:r>
          </w:p>
        </w:tc>
        <w:tc>
          <w:tcPr>
            <w:tcW w:type="dxa" w:w="1872"/>
            <w:vAlign w:val="center"/>
            <w:shd w:fill="F2F5F7"/>
          </w:tcPr>
          <w:p>
            <w:pPr>
              <w:keepNext w:val="0"/>
              <w:spacing w:before="40" w:after="40" w:line="252" w:lineRule="auto"/>
              <w:jc w:val="center"/>
            </w:pPr>
            <w:r>
              <w:rPr>
                <w:b w:val="0"/>
                <w:color w:val="000000"/>
                <w:sz w:val="20"/>
              </w:rPr>
              <w:t>72</w:t>
            </w:r>
          </w:p>
        </w:tc>
        <w:tc>
          <w:tcPr>
            <w:tcW w:type="dxa" w:w="1872"/>
            <w:vAlign w:val="center"/>
            <w:shd w:fill="F2F5F7"/>
          </w:tcPr>
          <w:p>
            <w:pPr>
              <w:keepNext w:val="0"/>
              <w:spacing w:before="40" w:after="40" w:line="252" w:lineRule="auto"/>
              <w:jc w:val="center"/>
            </w:pPr>
            <w:r>
              <w:rPr>
                <w:b w:val="0"/>
                <w:color w:val="000000"/>
                <w:sz w:val="20"/>
              </w:rPr>
              <w:t>72</w:t>
            </w:r>
          </w:p>
        </w:tc>
      </w:tr>
    </w:tbl>
    <w:p>
      <w:pPr>
        <w:spacing w:after="60"/>
      </w:pPr>
    </w:p>
    <w:p>
      <w:pPr>
        <w:pStyle w:val="Heading1"/>
      </w:pPr>
      <w:r>
        <w:t>Current limits</w:t>
      </w:r>
    </w:p>
    <w:p>
      <w:r>
        <w:t>Exact slices establish source identity. OCR, figures and scientific sufficiency need additional review, including actual human confirmation for oracle evidence.</w:t>
      </w:r>
    </w:p>
    <w:p>
      <w:r>
        <w:t>Further review should inspect source-boundary disagreements against the original pages, especially formulas, tables, figures and qualifications. Actual sufficiency confirmations and OCR review remain separate evidence from byte identity.</w:t>
      </w:r>
    </w:p>
    <w:p>
      <w:pPr>
        <w:pStyle w:val="Heading1"/>
      </w:pPr>
      <w:r>
        <w:t>Week 9 goals</w:t>
      </w:r>
    </w:p>
    <w:p>
      <w:pPr>
        <w:pStyle w:val="ListBullet"/>
      </w:pPr>
      <w:r>
        <w:t>Review source-boundary disagreements against original pages.</w:t>
      </w:r>
    </w:p>
    <w:p>
      <w:pPr>
        <w:pStyle w:val="ListBullet"/>
      </w:pPr>
      <w:r>
        <w:t>Collect actual source-sufficiency confirmations with coverage and hashes.</w:t>
      </w:r>
    </w:p>
    <w:p>
      <w:pPr>
        <w:pStyle w:val="ListBullet"/>
      </w:pPr>
      <w:r>
        <w:t>Version further extraction changes without altering historical citations.</w:t>
      </w:r>
    </w:p>
    <w:p>
      <w:pPr>
        <w:pStyle w:val="Heading1"/>
      </w:pPr>
      <w:r>
        <w:t>Code and evidence</w:t>
      </w:r>
    </w:p>
    <w:p>
      <w:r>
        <w:t>Module paths: retrieval/source_spans.py; backend/app/modules/learning_state/sources.py; evaluation/memory_v2/sources.py.</w:t>
      </w:r>
    </w:p>
    <w:p>
      <w:r>
        <w:t>Codex performed the implementation, automated checks and recorded local browser verification through the shared project workflow. The eight reports follow the original accountable domains; member submissions and independent human reviews retain their own execution records.</w:t>
      </w:r>
    </w:p>
    <w:p>
      <w:pPr>
        <w:keepNext/>
      </w:pPr>
      <w:r>
        <w:t>Final public source and resource parity. 514 selected source and configuration files match the portable public tree; all 80 resources match the preserved bundle, including 30 model and tokenizer files also compared with main paths</w:t>
      </w:r>
    </w:p>
    <w:p>
      <w:pPr>
        <w:keepNext/>
        <w:spacing w:after="80"/>
      </w:pPr>
      <w:r>
        <w:rPr>
          <w:sz w:val="18"/>
        </w:rPr>
        <w:t>evidence/week08-memory-v2/20260921/portable/source-parity-release-final-20260922.json</w:t>
      </w:r>
    </w:p>
    <w:p>
      <w:pPr>
        <w:keepNext w:val="0"/>
        <w:spacing w:after="80"/>
      </w:pPr>
      <w:r>
        <w:rPr>
          <w:sz w:val="18"/>
        </w:rPr>
        <w:t>SHA256 66cb3799d646b1b9d52dea9f442538f6ca9560b44db9d7ebcc9419c6705c0ccb</w:t>
      </w:r>
    </w:p>
    <w:p>
      <w:pPr>
        <w:keepNext/>
      </w:pPr>
      <w:r>
        <w:t>Actual portable CPU HTTP workflow. Two persisted textbook turns, cancellation, source identities and history after sign-in on the separate database; explicit mock answering.</w:t>
      </w:r>
    </w:p>
    <w:p>
      <w:pPr>
        <w:keepNext/>
        <w:spacing w:after="80"/>
      </w:pPr>
      <w:r>
        <w:rPr>
          <w:sz w:val="18"/>
        </w:rPr>
        <w:t>evidence/week08-memory-v2/20260921/portable/http-attempt1.json</w:t>
      </w:r>
    </w:p>
    <w:p>
      <w:pPr>
        <w:keepNext w:val="0"/>
        <w:spacing w:after="80"/>
      </w:pPr>
      <w:r>
        <w:rPr>
          <w:sz w:val="18"/>
        </w:rPr>
        <w:t>SHA256 ee7c79530f7ebfcfed4f44322bffd8143b75a65219f2121f725820d69b7412f6</w:t>
      </w:r>
    </w:p>
    <w:p>
      <w:pPr>
        <w:keepNext/>
      </w:pPr>
      <w:r>
        <w:t>Portable conversation and source browser. Saved answers and approved source segments inspected through actual browser endpoints at desktop and mobile viewport widths.</w:t>
      </w:r>
    </w:p>
    <w:p>
      <w:pPr>
        <w:keepNext/>
        <w:spacing w:after="80"/>
      </w:pPr>
      <w:r>
        <w:rPr>
          <w:sz w:val="18"/>
        </w:rPr>
        <w:t>evidence/week08-memory-v2/20260921/portable/browser-attempt1/verification.json</w:t>
      </w:r>
    </w:p>
    <w:p>
      <w:pPr>
        <w:keepNext w:val="0"/>
        <w:spacing w:after="80"/>
      </w:pPr>
      <w:r>
        <w:rPr>
          <w:sz w:val="18"/>
        </w:rPr>
        <w:t>SHA256 f47aacfaa0907cb391b668fe157e033a441a47c9102122e35fec98138957a4b9</w:t>
      </w:r>
    </w:p>
    <w:p>
      <w:pPr>
        <w:keepNext/>
      </w:pPr>
      <w:r>
        <w:t>Versioned reliability implementation checkpoint. Exact policy/source hashes and focused software checks. Counts overlap the final gate; this record supplies no new formal or human-quality result.</w:t>
      </w:r>
    </w:p>
    <w:p>
      <w:pPr>
        <w:keepNext/>
        <w:spacing w:after="80"/>
      </w:pPr>
      <w:r>
        <w:rPr>
          <w:sz w:val="18"/>
        </w:rPr>
        <w:t>evidence/week08-memory-v2/20260921/answering/implementation-final-verification.json</w:t>
      </w:r>
    </w:p>
    <w:p>
      <w:pPr>
        <w:keepNext w:val="0"/>
        <w:spacing w:after="80"/>
      </w:pPr>
      <w:r>
        <w:rPr>
          <w:sz w:val="18"/>
        </w:rPr>
        <w:t>SHA256 a84f9e6365a181a10d4f10babdf9b298dac4464d42609bb1ff617aaa1cde74c3</w:t>
      </w:r>
    </w:p>
    <w:p>
      <w:pPr>
        <w:keepNext/>
      </w:pPr>
      <w:r>
        <w:t>Additive migration preservation. Existing-column contents and counts in 44 prior tables remained unchanged through migration e0a64c7d123b, including the preceding memory revision.</w:t>
      </w:r>
    </w:p>
    <w:p>
      <w:pPr>
        <w:keepNext/>
        <w:spacing w:after="80"/>
      </w:pPr>
      <w:r>
        <w:rPr>
          <w:sz w:val="18"/>
        </w:rPr>
        <w:t>evidence/week08-memory-v2/20260921/migration/preservation-result.json</w:t>
      </w:r>
    </w:p>
    <w:p>
      <w:pPr>
        <w:keepNext w:val="0"/>
        <w:spacing w:after="80"/>
      </w:pPr>
      <w:r>
        <w:rPr>
          <w:sz w:val="18"/>
        </w:rPr>
        <w:t>SHA256 986740e61b25c75ca3b199409b295fa1f0bc572d9c7c66e98b41c25d4cc18413</w:t>
      </w:r>
    </w:p>
    <w:p>
      <w:pPr>
        <w:keepNext/>
      </w:pPr>
      <w:r>
        <w:t>Registered automatic study results. 552 scheduled requests across 18 arms; all generation and offline judgment outcomes retained; independent human ratings zero</w:t>
      </w:r>
    </w:p>
    <w:p>
      <w:pPr>
        <w:keepNext/>
        <w:spacing w:after="80"/>
      </w:pPr>
      <w:r>
        <w:rPr>
          <w:sz w:val="18"/>
        </w:rPr>
        <w:t>evidence/week08-memory-v2/20260921/formal/public-results.json</w:t>
      </w:r>
    </w:p>
    <w:p>
      <w:pPr>
        <w:keepNext w:val="0"/>
        <w:spacing w:after="80"/>
      </w:pPr>
      <w:r>
        <w:rPr>
          <w:sz w:val="18"/>
        </w:rPr>
        <w:t>SHA256 b470c9c5df020d3dd7dae9625fdfabc82afdf60569f33a3d62c84a5ea340e7f6</w:t>
      </w:r>
    </w:p>
    <w:p>
      <w:pPr>
        <w:keepNext/>
      </w:pPr>
      <w:r>
        <w:t>Actual blank blinded review export. Two randomized 552-row reviewer slots; zero completed or imported ratings</w:t>
      </w:r>
    </w:p>
    <w:p>
      <w:pPr>
        <w:keepNext/>
        <w:spacing w:after="80"/>
      </w:pPr>
      <w:r>
        <w:rPr>
          <w:sz w:val="18"/>
        </w:rPr>
        <w:t>evidence/week08-memory-v2/20260921/formal/review-export-verification.json</w:t>
      </w:r>
    </w:p>
    <w:p>
      <w:pPr>
        <w:keepNext w:val="0"/>
        <w:spacing w:after="80"/>
      </w:pPr>
      <w:r>
        <w:rPr>
          <w:sz w:val="18"/>
        </w:rPr>
        <w:t>SHA256 9f9f675f3f00a30b7e64745be7d9ef0f2d2786295fb2cbdbc5a6a43041a75b5a</w:t>
      </w:r>
    </w:p>
    <w:sectPr w:rsidR="00FC693F" w:rsidRPr="0006063C" w:rsidSect="00034616">
      <w:headerReference w:type="default" r:id="rId9"/>
      <w:footerReference w:type="default" r:id="rId10"/>
      <w:pgSz w:w="12240" w:h="15840"/>
      <w:pgMar w:top="1037" w:right="1080" w:bottom="1037"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Personalised AI Learning Assistant Using Retrieval-Augmented Generation and Large Language Models</w:t>
      <w:br/>
    </w:r>
    <w:r>
      <w:t xml:space="preserve">2026-09-22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 30 1     Week 8 learning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6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Work Report</dc:title>
  <dc:subject>Evidence-linked Week 8 enhancement report</dc:subject>
  <dc:creator>CS 30 1 shared project workflow</dc:creator>
  <cp:keywords/>
  <dc:description>generated by python-docx</dc:description>
  <cp:lastModifiedBy>CS 30 1 report builder</cp:lastModifiedBy>
  <cp:revision>1</cp:revision>
  <dcterms:created xsi:type="dcterms:W3CDTF">2013-12-23T23:15:00Z</dcterms:created>
  <dcterms:modified xsi:type="dcterms:W3CDTF">2013-12-23T23:15:00Z</dcterms:modified>
  <cp:category/>
</cp:coreProperties>
</file>