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6 Module Report</w:t>
      </w:r>
    </w:p>
    <w:p>
      <w:pPr>
        <w:pStyle w:val="Subtitle"/>
      </w:pPr>
      <w:r>
        <w:t>Xianshu Zhang  |  CS30 Learning Assistant  |  8 September 2026</w:t>
      </w:r>
    </w:p>
    <w:p>
      <w:pPr>
        <w:pStyle w:val="Heading1"/>
      </w:pPr>
      <w:r>
        <w:t>1 Member and Role</w:t>
      </w:r>
    </w:p>
    <w:p>
      <w:r>
        <w:t>Xianshu Zhang is the accountable owner for system integration, shared architecture, public contracts, release coordination and the central execution record. The assigned scope is INT-01 through INT-10 and CHAT-01, CHAT-11 and CHAT-12. This Week 6 report describes the capability available in that domain at the handover baseline. It does not claim that Xianshu independently authored the entire implementation. Existing execution records identify Codex or shared implementation, and those records remain authoritative. Team members still need their own reproducible checks, genuine commits and reviewed pull requests before describing personal contribution history.</w:t>
      </w:r>
    </w:p>
    <w:p>
      <w:pPr>
        <w:pStyle w:val="Heading1"/>
      </w:pPr>
      <w:r>
        <w:t>2 Week 6 Objectives</w:t>
      </w:r>
    </w:p>
    <w:p>
      <w:r>
        <w:t>The Week 6 objective was to make one coherent learning assistant from connected module boundaries, rather than presenting unrelated prototypes. The required product begins with natural-language chat and does not require SciQ to operate. Integration work had to preserve the original 108 tasks, 60 acceptance checks and 12 responsive subchecks while connecting corpus processing, retrieval, generation, profiles, persistence and the browser.</w:t>
      </w:r>
    </w:p>
    <w:p>
      <w:r>
        <w:t>A second objective was evidence discipline: keep historical source facts, current technical checks, mock-answer demonstrations and unperformed human or scientific evaluation separate. This report uses Week 6 as the presentation baseline, while retaining the actual September 2026 dates of the underlying records.</w:t>
      </w:r>
    </w:p>
    <w:p>
      <w:pPr>
        <w:pStyle w:val="Heading1"/>
      </w:pPr>
      <w:r>
        <w:t>3 Work Delivered in the Assigned Module</w:t>
      </w:r>
    </w:p>
    <w:p>
      <w:r>
        <w:t>The assigned domain now provides reconciled PRD, SPEC and PLANS documents, the shared contract boundary and a runnable application entry. INT-01 and INT-02 connect the original sources to the chat-first scope. INT-03 establishes typed requests and responses. INT-04 and INT-05 provide reproducible dependency and verification entry points. INT-06 and INT-07 connect real textbook retrieval to saved conversations and their browser consumers.</w:t>
      </w:r>
    </w:p>
    <w:p>
      <w:r>
        <w:t>INT-08 separates frozen research protocols from the learner application. INT-09 records concrete blockers without treating reporting weeks as execution restrictions. INT-10 and CHAT-12 include the integrated handover and deterministic owner/week delivery views. CHAT-01 preserves the product/research distinction, and CHAT-11 preserves compatibility and migration context. These deliverables constitute a shared system baseline, not a claim of final educational acceptance.</w:t>
      </w:r>
    </w:p>
    <w:p>
      <w:pPr>
        <w:pStyle w:val="Heading1"/>
      </w:pPr>
      <w:r>
        <w:t>4 Technical Approach and Main Files</w:t>
      </w:r>
    </w:p>
    <w:p>
      <w:r>
        <w:t>PRD.md defines the observable product; SPEC.md maps it to actual modules; PLANS.md links dependencies and evidence. contracts/models.py and contracts/openapi.json are the canonical payload boundary consumed by backend and generated frontend types. docs/foundation/integration_ownership.md records producer and consumer responsibilities. Root dependency locks and configuration examples support reproducible installation without distributing credentials.</w:t>
      </w:r>
    </w:p>
    <w:p>
      <w:r>
        <w:t>scripts/release/generate_delivery.py reads the same task, acceptance and reporting ledgers to produce eight owner views and seven course-week views. Each grouping contains all 108 task IDs exactly once; planning cross-references do not create duplicate completions. The exporter rejects malformed acceptance membership and preserves actual executor, evidence and unresolved scope. Shared files remain intact with one primary package owner.</w:t>
      </w:r>
    </w:p>
    <w:p>
      <w:r>
        <w:t>The finalized contribution contains 105 source-file paths, listed individually in OWNED_PATHS.txt and MANIFEST.json. Only those paths belong to this import; references to collaborating modules do not assign their files to this member.</w:t>
      </w:r>
    </w:p>
    <w:p>
      <w:r>
        <w:t>Exact ownership and byte hashes: MANIFEST.json. Report upload path: docs/week06/Xianshu_Zhang/Week06_Report_EN.docx.</w:t>
      </w:r>
    </w:p>
    <w:p>
      <w:pPr>
        <w:pStyle w:val="Heading1"/>
      </w:pPr>
      <w:r>
        <w:t>5 Integration with Other Members’ Modules</w:t>
      </w:r>
    </w:p>
    <w:p>
      <w:r>
        <w:t>Hongle Yang supplies immutable source and processing provenance; Chengzhou Liu supplies actual retrieval configurations and selected evidence. Sijin Lu owns answer transport and response validation, while Pengyuan Xia supplies the versioned presentation policy. Zeping Liao connects those producers through API, worker and database transactions. Baiqing Huang consumes the public contracts through real controls. Chong Zhang maintains independent evaluation and validation boundaries.</w:t>
      </w:r>
    </w:p>
    <w:p>
      <w:r>
        <w:t>The integration package therefore enters the proposed integration branch as a foundation contribution, not as eight duplicated module trees. The team repository baseline must be checked again before import. A proposed branch name is not an existing branch, and no remote cleanup, push or member commit is performed by this local handover.</w:t>
      </w:r>
    </w:p>
    <w:p>
      <w:pPr>
        <w:pStyle w:val="Heading1"/>
      </w:pPr>
      <w:r>
        <w:t>6 Verification and Evidence</w:t>
      </w:r>
    </w:p>
    <w:p>
      <w:r>
        <w:t>The stable-source gate completed on 8 September 2026 at 09:57:46 UTC and recorded 236 Python checks and 25 frontend checks, alongside formatting, typing, contract and build stages. evidence/final/software_gate.json identifies the tested source boundary. The earlier candidate installation used fresh images and empty volumes; it remains an earlier installation proof rather than a new installation of the later error-scroll change.</w:t>
      </w:r>
    </w:p>
    <w:p>
      <w:r>
        <w:t>The official corpus is separately evidenced: four complete OpenStax PDFs, 4,638 physical pages and 10,594 real 384-dimensional E5 vectors. Actual API and browser conversations preserve source identity while the answer model remains mock. Delivery export evidence records deterministic output and complete task/check references. None of these historical results was rerun merely to write this report.</w:t>
      </w:r>
    </w:p>
    <w:p>
      <w:r>
        <w:t>This handover separately passed the 433-file isolated merge, 188 Python unit tests, 25 frontend tests and a production build. These checks do not measure live answer quality; see docs/week06/shared/verification-summary.json.</w:t>
      </w:r>
    </w:p>
    <w:p>
      <w:pPr>
        <w:pStyle w:val="Heading1"/>
      </w:pPr>
      <w:r>
        <w:t>7 Current Limitations</w:t>
      </w:r>
    </w:p>
    <w:p>
      <w:r>
        <w:t>The five canonical states distinguish absent work, implemented but unverified work, mock tests, specified real flows and unavailable external inputs. INT-10 and CHAT-12 retain unresolved integrated scientific or human acceptance. Real answering was deferred, independent relevance and teaching judgments remain absent, and physical keyboard, native IME and assistive-technology review are incomplete.</w:t>
      </w:r>
    </w:p>
    <w:p>
      <w:r>
        <w:t>The source package excludes textbook bytes, model weights, database state and private evaluation references. Its code alone cannot reproduce the current corpus until those dependencies are restored or rebuilt with verified identities. The latest complete backup is a 09:33 UTC snapshot and does not include later verification conversations. Reports must not convert module responsibility or a passing build into personal authorship or research completion.</w:t>
      </w:r>
    </w:p>
    <w:p>
      <w:pPr>
        <w:pStyle w:val="Heading1"/>
      </w:pPr>
      <w:r>
        <w:t>8 Week 7 Plan and Dependencies</w:t>
      </w:r>
    </w:p>
    <w:p>
      <w:r>
        <w:t>Week 7 should begin with a read-only comparison of the actual team baseline and these packages, followed by ordinary reviewed commits for any approved scaffold replacement. Xianshu should coordinate one owner per target path, contract-first merge order and a full isolated verification after all dependent modules arrive. The report must record genuine executor and test dates.</w:t>
      </w:r>
    </w:p>
    <w:p>
      <w:r>
        <w:t>Further work is acceptance-driven: confirm the intended answering provider and budget with Sijin and Zeping; freeze a validation-selected E0/E1 study with Chong; obtain compatible source judgments with Hongle and Chengzhou; schedule real-device review with Baiqing. Existing R0–R3 diagnostics, the fixed-window comparison and backup/restore are completed baseline capabilities. Week 7 should review or regress them after changes, not describe them as new implementations.</w:t>
      </w:r>
    </w:p>
    <w:sectPr w:rsidR="00FC693F" w:rsidRPr="0006063C" w:rsidSect="00034616">
      <w:footerReference w:type="default" r:id="rId9"/>
      <w:pgSz w:w="11906" w:h="16838"/>
      <w:pgMar w:top="964" w:right="1077" w:bottom="964" w:left="1077" w:header="397"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Week 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Calibri" w:hAnsi="Calibri" w:eastAsia="Microsoft YaHei"/>
      <w:b w:val="0"/>
      <w:color w:val="000000"/>
      <w:sz w:val="21"/>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40"/>
      <w:outlineLvl w:val="0"/>
    </w:pPr>
    <w:rPr>
      <w:rFonts w:asciiTheme="majorHAnsi" w:eastAsiaTheme="majorEastAsia" w:hAnsiTheme="majorHAnsi" w:cstheme="majorBidi" w:ascii="Calibri" w:hAnsi="Calibri" w:eastAsia="Microsoft YaHe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200"/>
      <w:outlineLvl w:val="1"/>
    </w:pPr>
    <w:rPr>
      <w:rFonts w:asciiTheme="majorHAnsi" w:eastAsiaTheme="majorEastAsia" w:hAnsiTheme="majorHAnsi" w:cstheme="majorBidi" w:ascii="Calibri" w:hAnsi="Calibri" w:eastAsia="Microsoft YaHe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200"/>
      <w:outlineLvl w:val="2"/>
    </w:pPr>
    <w:rPr>
      <w:rFonts w:asciiTheme="majorHAnsi" w:eastAsiaTheme="majorEastAsia" w:hAnsiTheme="majorHAnsi" w:cstheme="majorBidi" w:ascii="Calibri" w:hAnsi="Calibri" w:eastAsia="Microsoft YaHe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Calibri" w:hAnsi="Calibri" w:eastAsia="Microsoft YaHei"/>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pPr>
    <w:rPr>
      <w:rFonts w:asciiTheme="majorHAnsi" w:eastAsiaTheme="majorEastAsia" w:hAnsiTheme="majorHAnsi" w:cstheme="majorBidi" w:ascii="Calibri" w:hAnsi="Calibri" w:eastAsia="Microsoft YaHei"/>
      <w:b w:val="0"/>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200"/>
    </w:pPr>
    <w:rPr>
      <w:rFonts w:ascii="Calibri" w:hAnsi="Calibri" w:eastAsia="Microsoft YaHei"/>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6 Module Report</dc:title>
  <dc:subject>Week 6 existing project handover</dc:subject>
  <dc:creator>CS30 Project Handover</dc:creator>
  <cp:keywords/>
  <dc:description>Prepared from shared project records. No personal authorship or execution history is asserted.</dc:description>
  <cp:lastModifiedBy/>
  <cp:revision>1</cp:revision>
  <dcterms:created xsi:type="dcterms:W3CDTF">2013-12-23T23:15:00Z</dcterms:created>
  <dcterms:modified xsi:type="dcterms:W3CDTF">2013-12-23T23:15:00Z</dcterms:modified>
  <cp:category/>
</cp:coreProperties>
</file>