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Personalised AI Learning Assistant Using Retrieval-Augmented Generation and Large Language Models</w:t>
      </w:r>
    </w:p>
    <w:p>
      <w:pPr>
        <w:pStyle w:val="Subtitle"/>
        <w:widowControl/>
      </w:pPr>
      <w:r>
        <w:t>Week 8 Integrated Progress and Research Report</w:t>
      </w:r>
    </w:p>
    <w:p>
      <w:pPr>
        <w:widowControl/>
      </w:pPr>
      <w:r>
        <w:t>CS-30-1  |  Week 8  |  16 September 2026</w:t>
      </w:r>
    </w:p>
    <w:p>
      <w:pPr>
        <w:pStyle w:val="Heading1"/>
      </w:pPr>
      <w:r>
        <w:t>Week 8 result</w:t>
      </w:r>
    </w:p>
    <w:p>
      <w:pPr>
        <w:widowControl/>
      </w:pPr>
      <w:r>
        <w:t>Week 8 integrated the eight reliability and research tracks into the learning assistant. A learner asking about RAG had received an answer about ragweed. The review traced this visible error to unresolved ambiguity, weak evidence admission and insufficiently inspectable processing. The implemented response now combines bounded question understanding, explicit correction, topic screening, complementary evidence, teaching controls and administrator tracing. A fixed source-backed problem set and calibration tools provide the evaluation structure.</w:t>
      </w:r>
    </w:p>
    <w:p>
      <w:pPr>
        <w:widowControl/>
      </w:pPr>
      <w:r>
        <w:t>The shared application retains accounts, saved conversations, learning preferences, managed answer providers and inspectable citations. The four official OpenStax books remain represented by 10,594 real 384-dimensional vectors in release 4f11bd70-a486-4d16-b216-78cfe499530a. Original documents and historical evidence remain the reference. The accountable roles follow the original team allocation. The cited implementation and automated verification were executed through the shared Codex workflow.</w:t>
      </w:r>
    </w:p>
    <w:p>
      <w:pPr>
        <w:pStyle w:val="Heading1"/>
      </w:pPr>
      <w:r>
        <w:t>Verification and deployment</w:t>
      </w:r>
    </w:p>
    <w:p>
      <w:pPr>
        <w:widowControl/>
      </w:pPr>
      <w:r>
        <w:t>The final software gate passed all eight stages: 427 Python tests and 56 frontend tests, with 365 captured source files unchanged. The broader v8 execution met 106 of 110 main-case expectations, 13 of 14 teaching expectations and all six robustness expectations. The final v9 targeted regression met 35 of 37 expectations; two clarification deviations remain recorded. These are workflow observations, with independent ratings still open. The software gate, recorded provider outcomes and independent judgements have separate roles. An automated expectation checks a defined workflow property, while source support and instructional quality require their own review.</w:t>
      </w:r>
    </w:p>
    <w:p>
      <w:pPr>
        <w:widowControl/>
      </w:pPr>
      <w:r>
        <w:t>The fresh CPU installation retains 48 sources, 10,594 vectors and all 80 bundled resources. Final source parity matches 407 safe source/configuration files. Actual queued and active cancellation, a three-attempt timeout and three CPU/CUDA retrieval comparisons are recorded. The mixed-question CPU path admits ten passages within 2,548 evidence tokens; its conservative mock answer still refuses the whole question. Live partial answering has a separate provider record. The completed CPU installation uses a fresh Python environment, pinned CPU dependencies and a separate empty database. It imported 48 source files and 10,594 active vectors, and rehashed all 80 bundled corpus, model and tokenizer resources. Device execution and corpus provenance remain separately recorded.</w:t>
      </w:r>
    </w:p>
    <w:p>
      <w:pPr>
        <w:pStyle w:val="Heading1"/>
      </w:pPr>
      <w:r>
        <w:t>Integrated request behaviour</w:t>
      </w:r>
    </w:p>
    <w:p>
      <w:pPr>
        <w:widowControl/>
      </w:pPr>
      <w:r>
        <w:t>Bare RAG requests clarification. Explicit AI context resolves retrieval-augmented generation, while RAG1 and ragweed retain biological meanings. Corrections preserve the remaining question where the replacement is unambiguous; unclear comparison corrections ask the learner to complete the question. The structured trace records requested parts, comparison targets, numbers, conditions and negation.</w:t>
      </w:r>
    </w:p>
    <w:p>
      <w:pPr>
        <w:widowControl/>
      </w:pPr>
      <w:r>
        <w:t>Verified earlier sources can join fresh candidates under a finite cap and receive current-query scores. Relevance screening precedes complementary packing. A textbook request with all evidence rejected produces a grounded refusal with zero answering calls. Saved responses retain their actual submitted evidence and citation subset. Explicit general knowledge uses a separate source policy and visible provenance.</w:t>
      </w:r>
    </w:p>
    <w:p>
      <w:r>
        <w:br w:type="page"/>
      </w:r>
    </w:p>
    <w:p>
      <w:pPr>
        <w:pStyle w:val="Heading1"/>
      </w:pPr>
      <w:r>
        <w:t>Integration and source coverage</w:t>
      </w:r>
    </w:p>
    <w:p>
      <w:pPr>
        <w:widowControl/>
      </w:pPr>
      <w:r>
        <w:t>Xianshu Zhang coordinates the shared contracts and A to F delivery gates: behaviour, understanding and relevance, CPU installation, evidence and citations, real-model and teaching checks, then final documentation and packaging. The canonical 108 tasks, 60 acceptance checks and 12 responsive subchecks remain the acceptance map. The source manifest records the expanded changes and unique module assignments.</w:t>
      </w:r>
    </w:p>
    <w:p>
      <w:pPr>
        <w:widowControl/>
      </w:pPr>
      <w:r>
        <w:t>Hongle Yang’s workstream connects the fixed bank to 60 immutable passages across 30 topics and four books. Exact source positions, extraction warnings and recovery notes support later scientific review. Query-time changes preserve original files and source identities. Questions about diagrams, equations or conflicting qualifications remain linked to the original page for direct inspection.</w:t>
      </w:r>
    </w:p>
    <w:p>
      <w:pPr>
        <w:pStyle w:val="Heading1"/>
      </w:pPr>
      <w:r>
        <w:t>Understanding, relevance and calibration</w:t>
      </w:r>
    </w:p>
    <w:p>
      <w:pPr>
        <w:widowControl/>
      </w:pPr>
      <w:r>
        <w:t>Chengzhou Liu’s workstream implements bounded structured understanding, correction handling, source revalidation, candidate merging and CPU execution. Fresh and eligible earlier passages are rescored against the current question. Reuse failures identify unavailable sources, frozen-release mismatch or changed source identity. The device policy resolves available accelerators or CPU and reports an unavailable explicit choice clearly.</w:t>
      </w:r>
    </w:p>
    <w:p>
      <w:pPr>
        <w:widowControl/>
      </w:pPr>
      <w:r>
        <w:t>The existing -4.0 relevance threshold remains provisional and bound to one pinned cross-encoder. The new calibration tool requires independent development labels, rejects blank reviewers, mixed model revisions and split leakage, and reports a held-out assessment after threshold selection. Lexical request coverage is tracked separately from topic relevance. Reviewed data will determine whether a new policy is justified.</w:t>
      </w:r>
    </w:p>
    <w:p>
      <w:pPr>
        <w:widowControl/>
      </w:pPr>
      <w:r>
        <w:t>The exact photosynthesis-and-Bitcoin question now admits ten source passages after zero whole-question survivors. The live response explains photosynthesis and explicitly leaves the unavailable price unanswered. A control with two unsupported parts refuses. The fallback searches at most two explicit parts, shares twenty additional scoring slots and preserves the complete question and evidence budget.</w:t>
      </w:r>
    </w:p>
    <w:p>
      <w:pPr>
        <w:pStyle w:val="Heading1"/>
      </w:pPr>
      <w:r>
        <w:t>Evidence budget and citation review</w:t>
      </w:r>
    </w:p>
    <w:p>
      <w:pPr>
        <w:widowControl/>
      </w:pPr>
      <w:r>
        <w:t>The new evidence packer keeps complete source text under the 3,000-token evidence ceiling and the whole-request budget. It removes exact and contained duplicates, retains the top-ranked anchor and prioritises uncovered parts, complementary terms and source conditions. Exact passage hashes remain intact. Recorded exclusions show which budget or duplication rule applied.</w:t>
      </w:r>
    </w:p>
    <w:p>
      <w:pPr>
        <w:widowControl/>
      </w:pPr>
      <w:r>
        <w:t>Sijin Lu’s workstream connects the packed evidence to full, partial, absent and conflicting-support instructions. Structural validation checks citation identities and format. A new locality audit flags missing nearby citations, unsupported-looking numbers, negation and conditions for review. Its observations consume no extra model call. Independent claim support and citation completeness are still assessed against the actual passages.</w:t>
      </w:r>
    </w:p>
    <w:p>
      <w:r>
        <w:br w:type="page"/>
      </w:r>
    </w:p>
    <w:p>
      <w:pPr>
        <w:pStyle w:val="Heading1"/>
      </w:pPr>
      <w:r>
        <w:t>Teaching and backend integration</w:t>
      </w:r>
    </w:p>
    <w:p>
      <w:pPr>
        <w:widowControl/>
      </w:pPr>
      <w:r>
        <w:t>Pengyuan Xia’s workstream brings explanation levels, turn-level length overrides, hint mode and misconception checks into a versioned teaching plan. A learner can ask for a shorter or simpler explanation while retaining saved preferences. Hint mode requests a next step and reserves the compact answer; the existing bounded repair handles a leaked answer. Misconception handling checks the premise against evidence before correction.</w:t>
      </w:r>
    </w:p>
    <w:p>
      <w:pPr>
        <w:widowControl/>
      </w:pPr>
      <w:r>
        <w:t>Zeping Liao’s workstream persists understanding, selected policies, device resolution, evidence admission, coverage, packing and teaching observations. Historical commands retain their recorded behaviour. Administrator projection uses named bounded fields for authorised interactive requests in the same workspace. Measured answer timings remain authoritative, and queue, generation and error observations preserve their respective boundaries.</w:t>
      </w:r>
    </w:p>
    <w:p>
      <w:pPr>
        <w:widowControl/>
      </w:pPr>
      <w:r>
        <w:t>The source-based AI review of 14 teaching outputs flagged seven cases for qualifications or completeness. One hint supplied the central answer despite a null compact field. The implemented field guard therefore has a narrower scope than semantic hint restraint. Independent human ratings remain pending.</w:t>
      </w:r>
    </w:p>
    <w:p>
      <w:pPr>
        <w:pStyle w:val="Heading1"/>
      </w:pPr>
      <w:r>
        <w:t>Learner and administrator experience</w:t>
      </w:r>
    </w:p>
    <w:p>
      <w:pPr>
        <w:widowControl/>
      </w:pPr>
      <w:r>
        <w:t>Baiqing Huang’s workstream adds a compact expandable administrator trace and a learner source selector. The trace separates original and rewritten questions, requirements, corpus/model/device, candidate and citation counts, per-part fallback, exclusions, timings and errors. Workspace permissions and bounded field projection govern access. Real saved-request browser checks passed at 1440 and 390 pixels for expandable traces, per-part fallback, source-mode selection, saved provenance and reload. Keyboard expansion, focus containment and Escape passed; all saved histories stayed unchanged.</w:t>
      </w:r>
    </w:p>
    <w:p>
      <w:pPr>
        <w:widowControl/>
      </w:pPr>
      <w:r>
        <w:t>Textbook sources remain the default. An explicit General knowledge choice skips textbook retrieval and labels the saved answer as unverified model knowledge, with empty textbook evidence and citations. The initial general follow-up failed after three empty provider responses; its error remains saved. A format-prompt correction was followed by successful simplification, return-to-textbook refusal and a sourced osmosis answer.</w:t>
      </w:r>
    </w:p>
    <w:p>
      <w:pPr>
        <w:pStyle w:val="Heading1"/>
      </w:pPr>
      <w:r>
        <w:t>Evaluation and review materials</w:t>
      </w:r>
    </w:p>
    <w:p>
      <w:pPr>
        <w:widowControl/>
      </w:pPr>
      <w:r>
        <w:t>Chong Zhang’s workstream implements the fixed 120-case bank, grouped split and calibration safeguards. Developer expectations and independent review fields remain separate. The evaluation schedule retains each first response, refusal and execution failure. Controlled faults and attacks receive explicit checks, and the teaching schedule records the applied learning condition alongside the response.</w:t>
      </w:r>
    </w:p>
    <w:p>
      <w:pPr>
        <w:widowControl/>
      </w:pPr>
      <w:r>
        <w:t>The earlier three-question personalisation study retains 27 C0/C1/C2 outputs and blank independent ratings. Earlier live OpenQA and MCQ studies retain their original frozen source and negative E1 results. Current interactive changes keep the formal benchmark prompts and conditions intact. Human support and teaching review will use blinded assignments, retain missing ratings and record disagreements.</w:t>
      </w:r>
    </w:p>
    <w:p>
      <w:r>
        <w:br w:type="page"/>
      </w:r>
    </w:p>
    <w:p>
      <w:pPr>
        <w:pStyle w:val="Heading1"/>
      </w:pPr>
      <w:r>
        <w:t>Fixed problem set and interpretation</w:t>
      </w:r>
    </w:p>
    <w:p>
      <w:pPr>
        <w:widowControl/>
      </w:pPr>
      <w:r>
        <w:t>The implemented bank contains 30 standard four-book questions, 20 colloquial or synonym questions with minor spelling variation, 15 multi-turn or topic-correction cases, 10 abbreviation or ambiguity cases, 15 out-of-corpus cases, 10 partial or conditional or conflicting-support cases, 10 cross-chapter or formula or unit or figure cases, and 10 instruction-attack or source-revocation or runtime-failure cases.</w:t>
      </w:r>
    </w:p>
    <w:p>
      <w:pPr>
        <w:widowControl/>
      </w:pPr>
      <w:r>
        <w:t>Knowledge-related variants stay together across 75 development and 45 held-out cases. Threshold decisions use development data; the held-out allocation stays fixed. Automated behaviour, scientific support and teaching scores have distinct denominators. Recorded refusals, errors, unreviewed outputs and unavailable ratings remain visible in their corresponding analyses. The v3 split corrects a related RAG-family grouping after earlier diagnostic runs; those earlier outcomes keep their original bank identity and exposure history.</w:t>
      </w:r>
    </w:p>
    <w:p>
      <w:pPr>
        <w:pStyle w:val="Heading1"/>
      </w:pPr>
      <w:r>
        <w:t>Week 9 measurable follow-through</w:t>
      </w:r>
    </w:p>
    <w:p>
      <w:pPr>
        <w:pStyle w:val="ListBullet"/>
        <w:widowControl/>
        <w:spacing w:after="80"/>
      </w:pPr>
      <w:r>
        <w:rPr>
          <w:sz w:val="22"/>
        </w:rPr>
        <w:t>A: Review the integrated behaviours and recorded failures, assigning one accountable owner, dependency and acceptance artifact to every unresolved decision.</w:t>
      </w:r>
    </w:p>
    <w:p>
      <w:pPr>
        <w:pStyle w:val="ListBullet"/>
        <w:widowControl/>
        <w:spacing w:after="80"/>
      </w:pPr>
      <w:r>
        <w:rPr>
          <w:sz w:val="22"/>
        </w:rPr>
        <w:t>B: Complete independent relevance and coverage judgements, select a model-bound development threshold and freeze the policy before held-out analysis.</w:t>
      </w:r>
    </w:p>
    <w:p>
      <w:pPr>
        <w:pStyle w:val="ListBullet"/>
        <w:widowControl/>
        <w:spacing w:after="80"/>
      </w:pPr>
      <w:r>
        <w:rPr>
          <w:sz w:val="22"/>
        </w:rPr>
        <w:t>C: Reproduce the completed CPU deployment on another available machine and run a bounded queue, cancellation and memory workload with clear timing boundaries.</w:t>
      </w:r>
    </w:p>
    <w:p>
      <w:pPr>
        <w:pStyle w:val="ListBullet"/>
        <w:widowControl/>
        <w:spacing w:after="80"/>
      </w:pPr>
      <w:r>
        <w:rPr>
          <w:sz w:val="22"/>
        </w:rPr>
        <w:t>D: Compare complementary packing and earlier-source reuse against ranked filling on reviewed multi-part cases, recording missing qualifications and false refusals.</w:t>
      </w:r>
    </w:p>
    <w:p>
      <w:pPr>
        <w:pStyle w:val="ListBullet"/>
        <w:widowControl/>
        <w:spacing w:after="80"/>
      </w:pPr>
      <w:r>
        <w:rPr>
          <w:sz w:val="22"/>
        </w:rPr>
        <w:t>E: Complete blinded claim-support and pedagogy reviews, then prepare an unaided transfer or delayed-learning protocol with actual participant arrangements.</w:t>
      </w:r>
    </w:p>
    <w:p>
      <w:pPr>
        <w:pStyle w:val="ListBullet"/>
        <w:widowControl/>
        <w:spacing w:after="80"/>
      </w:pPr>
      <w:r>
        <w:rPr>
          <w:sz w:val="22"/>
        </w:rPr>
        <w:t>F: Close physical-device and usability checks, align reports and manifests to the verified version, and produce a reproducible package after regression checks.</w:t>
      </w:r>
    </w:p>
    <w:p>
      <w:pPr>
        <w:pStyle w:val="Heading1"/>
      </w:pPr>
      <w:r>
        <w:t>Dependencies and decisions</w:t>
      </w:r>
    </w:p>
    <w:p>
      <w:pPr>
        <w:widowControl/>
      </w:pPr>
      <w:r>
        <w:t>The integrated mechanisms provide a working basis for the next review. Independent reviewers, suitable devices, participant arrangements determine the next studies. A future model-based understanding stage needs explicit cost and timeout bounds. The implemented general-knowledge mode has its own visible provenance and preserved failure records. Corpus changes require a compatible new version and preservation checks. Each workstream will use the fixed artifacts and observed outcomes to select justified refinements.</w:t>
      </w:r>
    </w:p>
    <w:p>
      <w:pPr>
        <w:pStyle w:val="Heading1"/>
      </w:pPr>
      <w:r>
        <w:t>Evidence references</w:t>
      </w:r>
    </w:p>
    <w:p>
      <w:pPr>
        <w:widowControl/>
        <w:spacing w:after="40"/>
      </w:pPr>
      <w:r>
        <w:rPr>
          <w:sz w:val="17"/>
        </w:rPr>
        <w:t>Research, implementation and delivery decisions — docs/execution/week08-delivery-20260916.md</w:t>
      </w:r>
    </w:p>
    <w:p>
      <w:pPr>
        <w:widowControl/>
        <w:spacing w:after="40"/>
      </w:pPr>
      <w:r>
        <w:rPr>
          <w:sz w:val="17"/>
        </w:rPr>
        <w:t>Fixed grouped question bank — evaluation/reliability/week08_cases_v3.json</w:t>
      </w:r>
    </w:p>
    <w:p>
      <w:pPr>
        <w:widowControl/>
        <w:spacing w:after="40"/>
      </w:pPr>
      <w:r>
        <w:rPr>
          <w:sz w:val="17"/>
        </w:rPr>
        <w:t>Software, live and CPU execution records — evidence/week08-delivery/20260916/</w:t>
      </w:r>
    </w:p>
    <w:p>
      <w:pPr>
        <w:widowControl/>
        <w:spacing w:after="40"/>
      </w:pPr>
      <w:r>
        <w:rPr>
          <w:sz w:val="17"/>
        </w:rPr>
        <w:t>Actual administrator browser verification — artifacts/reports/frontend/week08-trace/2026-09-16T05-43-24-483Z/verification.json</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2" w:val="right"/>
      </w:tabs>
      <w:spacing w:after="0" w:line="240" w:lineRule="auto"/>
      <w:jc w:val="left"/>
    </w:pPr>
    <w:r>
      <w:rPr>
        <w:sz w:val="15"/>
      </w:rPr>
      <w:t>Personalised AI Learning Assistant</w:t>
      <w:tab/>
      <w:t xml:space="preserve">Week 8  |  </w:t>
    </w:r>
    <w:r>
      <w:fldChar w:fldCharType="begin"/>
    </w:r>
    <w:r>
      <w:instrText xml:space="preserve"> PAGE </w:instrText>
    </w:r>
    <w:r>
      <w:fldChar w:fldCharType="separate"/>
    </w:r>
    <w:r>
      <w:rPr>
        <w:sz w:val="15"/>
      </w:rPr>
      <w:t>1</w:t>
    </w:r>
    <w:r>
      <w:fldChar w:fldCharType="end"/>
    </w:r>
    <w:r>
      <w:rPr>
        <w:sz w:val="15"/>
      </w:rPr>
      <w:br/>
      <w:t>Using Retrieval-Augmented Generation and Large Language Models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Personalised AI Learning Assistant Using Retrieval-Augmented Generation and Large Language Models Week 8 Integrated Progress and Research Report</dc:title>
  <dc:subject>Week 8 implementation research evidence and Week 9 plan</dc:subject>
  <dc:creator>CS-30-1 Project Team</dc:creator>
  <cp:keywords/>
  <dc:description>Accountable member roles follow the original allocation. Execution and independent review scope follow cited evidence.</dc:description>
  <cp:lastModifiedBy/>
  <cp:revision>1</cp:revision>
  <dcterms:created xsi:type="dcterms:W3CDTF">2013-12-23T23:15:00Z</dcterms:created>
  <dcterms:modified xsi:type="dcterms:W3CDTF">2013-12-23T23:15:00Z</dcterms:modified>
  <cp:category/>
</cp:coreProperties>
</file>