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Module Report</w:t>
      </w:r>
    </w:p>
    <w:p>
      <w:pPr>
        <w:pStyle w:val="Subtitle"/>
      </w:pPr>
      <w:r>
        <w:t>Hongle Yang  |  CS30 Learning Assistant  |  8 September 2026</w:t>
      </w:r>
    </w:p>
    <w:p>
      <w:pPr>
        <w:pStyle w:val="Heading1"/>
      </w:pPr>
      <w:r>
        <w:t>1 Member and Role</w:t>
      </w:r>
    </w:p>
    <w:p>
      <w:r>
        <w:t>Hongle Yang is the accountable owner for textbook provenance, ingestion, parsing, cleaning, quality decisions, chunking and data revisions under DAT-01–12. This Week 6 report presents the assigned module’s existing project baseline, rather than claiming independent personal authorship. The implementation records identify Codex shared execution. The substantive processing and verification cited here were performed on 8 September 2026; this handover does not relabel them as new individual classroom work.</w:t>
      </w:r>
    </w:p>
    <w:p>
      <w:pPr>
        <w:pStyle w:val="Heading1"/>
      </w:pPr>
      <w:r>
        <w:t>2 Week 6 Objectives</w:t>
      </w:r>
    </w:p>
    <w:p>
      <w:r>
        <w:t>The objective was to replace a demonstration-only corpus with traceable, complete official source processing. Every document needed an identifiable edition, acquisition record, license observation and immutable original, followed by inspectable source units and chunks. Difficult content had to remain visible through quarantine or a documented recovery decision. A successful parser return was insufficient evidence of scientific completeness.</w:t>
      </w:r>
    </w:p>
    <w:p>
      <w:r>
        <w:t>The approved scope came from the original owner’s dated source record: Biology 2e, Chemistry 2e, Anatomy and Physiology 2e, and Concepts of Biology. College Physics was explicitly outside this first release. The module also had to keep evaluator data separate from the textbook knowledge base and preserve earlier source versions when rules changed.</w:t>
      </w:r>
    </w:p>
    <w:p>
      <w:pPr>
        <w:pStyle w:val="Heading1"/>
      </w:pPr>
      <w:r>
        <w:t>3 Work Delivered in the Assigned Module</w:t>
      </w:r>
    </w:p>
    <w:p>
      <w:r>
        <w:t>DAT-01–03 establish official acquisition, validated uploads and honest pilot resolution. The four PDFs contain 4,638 physical pages and 1,281,286,150 bytes. Each has a recorded URL, acquisition time, exact hash, edition information and inspected license page. The recovered Concepts file matches the historical pilot hash. Repeated bytes reuse their original asset identity.</w:t>
      </w:r>
    </w:p>
    <w:p>
      <w:r>
        <w:t>DAT-04–08 provide native extraction, conservative cleaning, quality reports, structure-aware chunks and staged release construction. The current v5 processing retains 5,541 source units: 5,453 ready, 73 explicitly excluded and 15 original units retained with linked recovery. No unresolved blocking units remain. Fourteen agent-reviewed OCR transcriptions and one exact publisher portrait description support those recoveries; their original native units are not overwritten.</w:t>
      </w:r>
    </w:p>
    <w:p>
      <w:r>
        <w:t>DAT-09 delivers official SciQ acquisition for evaluation only. Its 13,679 rows and 48 duplicate-choice anomalies remain recorded; support and answer labels never enter textbook indexing. DAT-10–12 cover source lifecycle, a genuine fixed-window comparison and rebuild guidance. The fixed comparison has 11,461 real vectors versus the active structure corpus’s 10,594, and remains unactivated.</w:t>
      </w:r>
    </w:p>
    <w:p>
      <w:pPr>
        <w:pStyle w:val="Heading1"/>
      </w:pPr>
      <w:r>
        <w:t>4 Technical Approach and Main Files</w:t>
      </w:r>
    </w:p>
    <w:p>
      <w:r>
        <w:t>The main source-processing files are pipelines/parse.py, pdf_structure.py, clean.py, chunk.py, supplements.py and image_transcriptions.py. The v5 parser follows actual PDF bookmarks and physical-page locations, including section transitions within a page. Its page-specific fallback corrects a historical front-matter label problem without editing old processing rows. Cleaning retains raw text, before/after hashes and ambiguous scientific symbols.</w:t>
      </w:r>
    </w:p>
    <w:p>
      <w:r>
        <w:t>Recovery is a separate attributed source unit. The loader verifies the PDF hash, page, native-text fingerprint, rendered image, raw OCR record and reviewed transcription. Low-text scientific pages cannot be dismissed through the cover/blank/furniture decision path. Source spans connect each chunk substring to a ready unit. The knowledge service and administration routes own the persistence boundary; package ownership keeps shared files intact, with dependencies declared in the manifest.</w:t>
      </w:r>
    </w:p>
    <w:p>
      <w:r>
        <w:t>Exact ownership and byte hashes: MANIFEST.json. Report upload path: docs/week06/Hongle_Yang/Week06_Report_EN.docx.</w:t>
      </w:r>
    </w:p>
    <w:p>
      <w:pPr>
        <w:pStyle w:val="Heading1"/>
      </w:pPr>
      <w:r>
        <w:t>5 Integration with Other Members’ Modules</w:t>
      </w:r>
    </w:p>
    <w:p>
      <w:r>
        <w:t>Chengzhou Liu consumes stable chunks, processing identities and tokenizer-compatible input from this module. Embedding revisions and source changes must agree before a release is published. Zeping Liao supplies the database, migrations, worker and transactional lifecycle. Baiqing Huang presents quality decisions, source excerpts and original PDF links in the interface.</w:t>
      </w:r>
    </w:p>
    <w:p>
      <w:r>
        <w:t>Sijin Lu receives exact evidence snapshots rather than loosely matched citations. Chong Zhang owns evaluation protocols and private labels; SciQ acquisition is a data handoff, not permission to expose its support text to chat. Xianshu Zhang coordinates shared contracts, unique file ownership and the release ledger. These dependencies explain why the personal source package cannot run the whole application alone.</w:t>
      </w:r>
    </w:p>
    <w:p>
      <w:pPr>
        <w:pStyle w:val="Heading1"/>
      </w:pPr>
      <w:r>
        <w:t>6 Verification and Evidence</w:t>
      </w:r>
    </w:p>
    <w:p>
      <w:r>
        <w:t>The current per-book report records 3,281 Anatomy, 3,534 Biology, 2,373 Chemistry and 1,406 Concepts chunks, each with a genuine 384-dimensional vector in active release 4f11bd70-a486-4d16-b216-78cfe499530a. The formal v5 report checks every chunk’s text, source spans and actual embedding-window bounds. Its deterministic 50-chunk sample re-extracts 63 original PDF pages, including the recovered-page cases.</w:t>
      </w:r>
    </w:p>
    <w:p>
      <w:r>
        <w:t>The fixed-versus-structure comparison preserves all source-unit contents and covers every usable source character. It identifies 1,911 unchanged model inputs with identical float32 vectors and 993 changed overlap groups requiring review. Earlier blocked parses, failed checks and publication attempts remain available. Existing tests cover source rejection, quality exports, meaningful revision differences and preservation of historical evidence. Those are dated project checks, not tests newly performed for this personal package.</w:t>
      </w:r>
    </w:p>
    <w:p>
      <w:r>
        <w:t>This handover separately passed the 433-file isolated merge, 188 Python unit tests, 25 frontend tests and a production build. These checks do not measure live answer quality; see docs/week06/shared/verification-summary.json.</w:t>
      </w:r>
    </w:p>
    <w:p>
      <w:pPr>
        <w:pStyle w:val="Heading1"/>
      </w:pPr>
      <w:r>
        <w:t>7 Current Limitations</w:t>
      </w:r>
    </w:p>
    <w:p>
      <w:r>
        <w:t>The DAT ledger records verified real component flows, but does not certify complete graphical or scientific extraction. Native text can omit equations embedded as images, diagram relationships or reading-order details. Recovery carries explicit review limits, and agent source checking is not independent human scientific review. Warnings remain visible even when blocking decisions are resolved.</w:t>
      </w:r>
    </w:p>
    <w:p>
      <w:r>
        <w:t>The code package excludes full textbooks, model weights, database contents and private SciQ files. They need a separate authorized acquisition or restore handoff with hash verification. A source-only import is therefore not equivalent to restoring the formal knowledge base. Answer generation remains mock and cannot establish the quality of the extracted science.</w:t>
      </w:r>
    </w:p>
    <w:p>
      <w:pPr>
        <w:pStyle w:val="Heading1"/>
      </w:pPr>
      <w:r>
        <w:t>8 Week 7 Plan and Dependencies</w:t>
      </w:r>
    </w:p>
    <w:p>
      <w:r>
        <w:t>Week 7 should begin with personal reproduction of the module’s documented read-only inspection and screenshots after the team baseline is merged. Hongle should confirm the manifest, source hashes and current database connection with Zeping, rather than re-importing the books merely to repeat a completed milestone.</w:t>
      </w:r>
    </w:p>
    <w:p>
      <w:r>
        <w:t>The next substantive work is a bounded review of remaining visual, equation and reading-order risks with suitable reviewers. Any justified correction should create new recovery evidence and a new processing version, followed by source-span and historical-citation regression. With Chengzhou and Chong, changed chunk groups should receive compatible review-pool mappings before relevance measurement. The existing fixed comparison and R0–R3 implementations are starting assets, not tasks to rebuild from zero. Publication of a replacement requires Xianshu’s coordinated integrity review.</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Microsoft YaHei"/>
      <w:b w:val="0"/>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Module Report</dc:title>
  <dc:subject>Week 6 existing project handover</dc:subject>
  <dc:creator>CS30 Project Handover</dc:creator>
  <cp:keywords/>
  <dc:description>Prepared from shared project records. No personal authorship or execution history is asserted.</dc:description>
  <cp:lastModifiedBy/>
  <cp:revision>1</cp:revision>
  <dcterms:created xsi:type="dcterms:W3CDTF">2013-12-23T23:15:00Z</dcterms:created>
  <dcterms:modified xsi:type="dcterms:W3CDTF">2013-12-23T23:15:00Z</dcterms:modified>
  <cp:category/>
</cp:coreProperties>
</file>