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8 Module Report</w:t>
      </w:r>
    </w:p>
    <w:p>
      <w:r>
        <w:t>Xianshu Zhang | Architecture and integration | 2026-09-20</w:t>
      </w:r>
    </w:p>
    <w:p>
      <w:pPr>
        <w:pStyle w:val="Heading1"/>
      </w:pPr>
      <w:r>
        <w:t>Domain outcome</w:t>
      </w:r>
    </w:p>
    <w:p>
      <w:r>
        <w:t>The integration domain connects exact source attribution, persistent teaching tasks and opt-in learning memory to one existing application. Ordinary textbook questions continue to request complete direct answers. The teaching task controls the amount of help independently of the textbook or general-knowledge source mode, avoiding an application-wide switch to hints.</w:t>
      </w:r>
    </w:p>
    <w:p>
      <w:r>
        <w:t>Original accountable task IDs: INT-01, INT-02, INT-03, INT-04, INT-05, INT-06, INT-07, INT-08, INT-09, INT-10, CHAT-01, CHAT-11, CHAT-12.</w:t>
      </w:r>
    </w:p>
    <w:p>
      <w:pPr>
        <w:pStyle w:val="Heading1"/>
      </w:pPr>
      <w:r>
        <w:t>Implemented changes</w:t>
      </w:r>
    </w:p>
    <w:p>
      <w:r>
        <w:t>The enhancement protocol freezes the preserved September 16 baseline, development and formal task separation, comparison conditions and finite call budgets. New interactive requests carry a versioned enhancement policy. Earlier requests and the controlled E0 no-retrieval and E1 dense-retrieval benchmarks retain their original execution semantics.</w:t>
      </w:r>
    </w:p>
    <w:p>
      <w:r>
        <w:t>The integrated contract separates private generated drafts and checker records from the final learner-visible projection. Source fragments, claims, task versions and memory snapshots are passed between modules with explicit identity. A failed semantic check prevents publication of an unchecked repair; a plain mock direct answer remains clearly unverified.</w:t>
      </w:r>
    </w:p>
    <w:p>
      <w:r>
        <w:t>Delivery requires the current source, dependency locks, model and corpus resources, software evidence and report metadata to agree. The dated earlier package and historical answers remain preserved. A new package or installation is described as verified only when its own manifest and actual installation evidence support that statement.</w:t>
      </w:r>
    </w:p>
    <w:p>
      <w:pPr>
        <w:pStyle w:val="Heading1"/>
      </w:pPr>
      <w:r>
        <w:t>Interfaces and dependencies</w:t>
      </w:r>
    </w:p>
    <w:p>
      <w:r>
        <w:t>Hongle and Chengzhou establish source identity and selection. Sijin and Pengyuan provide the generation and teaching policies. Zeping persists and authorizes state, Baiqing exposes the approved learner view, and Chong binds executions to the frozen evaluation schedule. Changes crossing these interfaces require producer and consumer verification.</w:t>
      </w:r>
    </w:p>
    <w:p>
      <w:r>
        <w:t>Implementation and dependency paths: docs/execution/week08-enhancement-protocol-20260920.md; generation/enhancement_contract.md; contracts/learning.py; scripts/release/start_local.ps1.</w:t>
      </w:r>
    </w:p>
    <w:p>
      <w:pPr>
        <w:pStyle w:val="Heading1"/>
      </w:pPr>
      <w:r>
        <w:t>Current verification</w:t>
      </w:r>
    </w:p>
    <w:p>
      <w:r>
        <w:t>The final integration evidence joins the 900-request teaching comparison,180 direct citation requests, 36 memory conditions and actual learner controls. T2 produced 100/180 valid hints (55.6%), compared with 110/180 (61.1%) for T1. The task-paired difference was -5.56 percentage points, with a 95% bootstrap interval from -13.33 to 2.22 points. This result sets the next integration priority: maintain explicit source and task boundaries while investigating the availability cost of the joint checker. The report retains the unsuccessful requests so a clean interface cannot obscure a failed response.</w:t>
      </w:r>
    </w:p>
    <w:p>
      <w:r>
        <w:t>The current software gate records 605 Python and 78 frontend passes. The reused 110-question live catalogue has 62 expected-state passes, with every deviation retained. A separate fresh CPU installation verifies 243 deployed runtime files and 80 source/model resources. The implementation therefore has concrete runtime evidence, while the final archive's own verification is produced only after report assembly.</w:t>
      </w:r>
    </w:p>
    <w:p>
      <w:r>
        <w:t>The delivery structure keeps the original accountable domains and shared execution attribution. Each contribution contains its assigned source changes and module report; shared corpus resources and curated research materials belong in the complete delivery. Reviewers can trace a reported number to a public evidence hash, then inspect the corresponding original failure or frozen input without assuming a personal commit history.</w:t>
      </w:r>
    </w:p>
    <w:p>
      <w:r>
        <w:t>A later HTTP task-boundary fix is recorded separately from the formal generation study. This chronology keeps the final product correction visible while preserving the experiment's original runtime and outcomes.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6336"/>
        <w:gridCol w:w="1872"/>
        <w:gridCol w:w="1872"/>
      </w:tblGrid>
      <w:tr>
        <w:trPr>
          <w:tblHeader/>
          <w:cantSplit/>
        </w:trPr>
        <w:tc>
          <w:tcPr>
            <w:tcW w:type="dxa" w:w="6336"/>
            <w:vAlign w:val="center"/>
            <w:shd w:fill="213B50"/>
          </w:tcPr>
          <w:p>
            <w:pPr>
              <w:keepNext/>
              <w:spacing w:before="40" w:after="40" w:line="252" w:lineRule="auto"/>
              <w:jc w:val="left"/>
            </w:pPr>
            <w:r>
              <w:rPr>
                <w:b/>
                <w:color w:val="FFFFFF"/>
                <w:sz w:val="20"/>
              </w:rPr>
              <w:t>Matched record</w:t>
            </w:r>
          </w:p>
        </w:tc>
        <w:tc>
          <w:tcPr>
            <w:tcW w:type="dxa" w:w="1872"/>
            <w:vAlign w:val="center"/>
            <w:shd w:fill="213B50"/>
          </w:tcPr>
          <w:p>
            <w:pPr>
              <w:keepNext/>
              <w:spacing w:before="40" w:after="40" w:line="252" w:lineRule="auto"/>
              <w:jc w:val="center"/>
            </w:pPr>
            <w:r>
              <w:rPr>
                <w:b/>
                <w:color w:val="FFFFFF"/>
                <w:sz w:val="20"/>
              </w:rPr>
              <w:t>Accounted</w:t>
            </w:r>
          </w:p>
        </w:tc>
        <w:tc>
          <w:tcPr>
            <w:tcW w:type="dxa" w:w="1872"/>
            <w:vAlign w:val="center"/>
            <w:shd w:fill="213B50"/>
          </w:tcPr>
          <w:p>
            <w:pPr>
              <w:keepNext/>
              <w:spacing w:before="40" w:after="40" w:line="252" w:lineRule="auto"/>
              <w:jc w:val="center"/>
            </w:pPr>
            <w:r>
              <w:rPr>
                <w:b/>
                <w:color w:val="FFFFFF"/>
                <w:sz w:val="20"/>
              </w:rPr>
              <w:t>Planned</w:t>
            </w:r>
          </w:p>
        </w:tc>
      </w:tr>
      <w:tr>
        <w:trPr>
          <w:cantSplit/>
        </w:trPr>
        <w:tc>
          <w:tcPr>
            <w:tcW w:type="dxa" w:w="6336"/>
            <w:vAlign w:val="center"/>
            <w:shd w:fill="FFFFFF"/>
          </w:tcPr>
          <w:p>
            <w:pPr>
              <w:keepNext w:val="0"/>
              <w:spacing w:before="40" w:after="40" w:line="252" w:lineRule="auto"/>
              <w:jc w:val="left"/>
            </w:pPr>
            <w:r>
              <w:rPr>
                <w:b w:val="0"/>
                <w:color w:val="000000"/>
                <w:sz w:val="20"/>
              </w:rPr>
              <w:t>Formal teaching comparison</w:t>
            </w:r>
          </w:p>
        </w:tc>
        <w:tc>
          <w:tcPr>
            <w:tcW w:type="dxa" w:w="1872"/>
            <w:vAlign w:val="center"/>
            <w:shd w:fill="FFFFFF"/>
          </w:tcPr>
          <w:p>
            <w:pPr>
              <w:keepNext w:val="0"/>
              <w:spacing w:before="40" w:after="40" w:line="252" w:lineRule="auto"/>
              <w:jc w:val="center"/>
            </w:pPr>
            <w:r>
              <w:rPr>
                <w:b w:val="0"/>
                <w:color w:val="000000"/>
                <w:sz w:val="20"/>
              </w:rPr>
              <w:t>900</w:t>
            </w:r>
          </w:p>
        </w:tc>
        <w:tc>
          <w:tcPr>
            <w:tcW w:type="dxa" w:w="1872"/>
            <w:vAlign w:val="center"/>
            <w:shd w:fill="FFFFFF"/>
          </w:tcPr>
          <w:p>
            <w:pPr>
              <w:keepNext w:val="0"/>
              <w:spacing w:before="40" w:after="40" w:line="252" w:lineRule="auto"/>
              <w:jc w:val="center"/>
            </w:pPr>
            <w:r>
              <w:rPr>
                <w:b w:val="0"/>
                <w:color w:val="000000"/>
                <w:sz w:val="20"/>
              </w:rPr>
              <w:t>900</w:t>
            </w:r>
          </w:p>
        </w:tc>
      </w:tr>
      <w:tr>
        <w:trPr>
          <w:cantSplit/>
        </w:trPr>
        <w:tc>
          <w:tcPr>
            <w:tcW w:type="dxa" w:w="6336"/>
            <w:vAlign w:val="center"/>
            <w:shd w:fill="F2F5F7"/>
          </w:tcPr>
          <w:p>
            <w:pPr>
              <w:keepNext w:val="0"/>
              <w:spacing w:before="40" w:after="40" w:line="252" w:lineRule="auto"/>
              <w:jc w:val="left"/>
            </w:pPr>
            <w:r>
              <w:rPr>
                <w:b w:val="0"/>
                <w:color w:val="000000"/>
                <w:sz w:val="20"/>
              </w:rPr>
              <w:t>Existing live reliability catalogue</w:t>
            </w:r>
          </w:p>
        </w:tc>
        <w:tc>
          <w:tcPr>
            <w:tcW w:type="dxa" w:w="1872"/>
            <w:vAlign w:val="center"/>
            <w:shd w:fill="F2F5F7"/>
          </w:tcPr>
          <w:p>
            <w:pPr>
              <w:keepNext w:val="0"/>
              <w:spacing w:before="40" w:after="40" w:line="252" w:lineRule="auto"/>
              <w:jc w:val="center"/>
            </w:pPr>
            <w:r>
              <w:rPr>
                <w:b w:val="0"/>
                <w:color w:val="000000"/>
                <w:sz w:val="20"/>
              </w:rPr>
              <w:t>110</w:t>
            </w:r>
          </w:p>
        </w:tc>
        <w:tc>
          <w:tcPr>
            <w:tcW w:type="dxa" w:w="1872"/>
            <w:vAlign w:val="center"/>
            <w:shd w:fill="F2F5F7"/>
          </w:tcPr>
          <w:p>
            <w:pPr>
              <w:keepNext w:val="0"/>
              <w:spacing w:before="40" w:after="40" w:line="252" w:lineRule="auto"/>
              <w:jc w:val="center"/>
            </w:pPr>
            <w:r>
              <w:rPr>
                <w:b w:val="0"/>
                <w:color w:val="000000"/>
                <w:sz w:val="20"/>
              </w:rPr>
              <w:t>110</w:t>
            </w:r>
          </w:p>
        </w:tc>
      </w:tr>
      <w:tr>
        <w:trPr>
          <w:cantSplit/>
        </w:trPr>
        <w:tc>
          <w:tcPr>
            <w:tcW w:type="dxa" w:w="6336"/>
            <w:vAlign w:val="center"/>
            <w:shd w:fill="FFFFFF"/>
          </w:tcPr>
          <w:p>
            <w:pPr>
              <w:keepNext w:val="0"/>
              <w:spacing w:before="40" w:after="40" w:line="252" w:lineRule="auto"/>
              <w:jc w:val="left"/>
            </w:pPr>
            <w:r>
              <w:rPr>
                <w:b w:val="0"/>
                <w:color w:val="000000"/>
                <w:sz w:val="20"/>
              </w:rPr>
              <w:t>Final software verification</w:t>
            </w:r>
          </w:p>
        </w:tc>
        <w:tc>
          <w:tcPr>
            <w:tcW w:type="dxa" w:w="1872"/>
            <w:vAlign w:val="center"/>
            <w:shd w:fill="FFFFFF"/>
          </w:tcPr>
          <w:p>
            <w:pPr>
              <w:keepNext w:val="0"/>
              <w:spacing w:before="40" w:after="40" w:line="252" w:lineRule="auto"/>
              <w:jc w:val="center"/>
            </w:pPr>
            <w:r>
              <w:rPr>
                <w:b w:val="0"/>
                <w:color w:val="000000"/>
                <w:sz w:val="20"/>
              </w:rPr>
              <w:t>8</w:t>
            </w:r>
          </w:p>
        </w:tc>
        <w:tc>
          <w:tcPr>
            <w:tcW w:type="dxa" w:w="1872"/>
            <w:vAlign w:val="center"/>
            <w:shd w:fill="FFFFFF"/>
          </w:tcPr>
          <w:p>
            <w:pPr>
              <w:keepNext w:val="0"/>
              <w:spacing w:before="40" w:after="40" w:line="252" w:lineRule="auto"/>
              <w:jc w:val="center"/>
            </w:pPr>
            <w:r>
              <w:rPr>
                <w:b w:val="0"/>
                <w:color w:val="000000"/>
                <w:sz w:val="20"/>
              </w:rPr>
              <w:t>8</w:t>
            </w:r>
          </w:p>
        </w:tc>
      </w:tr>
    </w:tbl>
    <w:p>
      <w:pPr>
        <w:spacing w:after="60"/>
      </w:pPr>
    </w:p>
    <w:p>
      <w:r>
        <w:t>Independent human ratings recorded for this checkpoint: 0. Prepared review materials are ready for the group's two reviewers.</w:t>
      </w:r>
    </w:p>
    <w:p>
      <w:pPr>
        <w:pStyle w:val="Heading1"/>
      </w:pPr>
      <w:r>
        <w:t>Failures and limits</w:t>
      </w:r>
    </w:p>
    <w:p>
      <w:r>
        <w:t>Module integration and reproducible execution do not establish better learning or citation quality. Model-assisted judgments, software checks and independent human measurements have separate scopes. A retained provider alias is not described as an immutable upstream checkpoint.</w:t>
      </w:r>
    </w:p>
    <w:p>
      <w:r>
        <w:t>Week 9 integration decisions need actual independent ratings and a recorded response to the negative primary contrast. Keep the completed formal record fixed and treat any checker or memory update as a new version with explicit acceptance cases.</w:t>
      </w:r>
    </w:p>
    <w:p>
      <w:pPr>
        <w:pStyle w:val="Heading1"/>
      </w:pPr>
      <w:r>
        <w:t>Module operation</w:t>
      </w:r>
    </w:p>
    <w:p>
      <w:pPr>
        <w:pStyle w:val="ListBullet"/>
      </w:pPr>
      <w:r>
        <w:t>Use the verified release instructions and check the reported source and corpus identities before starting services.</w:t>
      </w:r>
    </w:p>
    <w:p>
      <w:pPr>
        <w:pStyle w:val="ListBullet"/>
      </w:pPr>
      <w:r>
        <w:t>Open a direct textbook question, request a hint for an explicit problem, then request its complete explanation and inspect the saved task transitions.</w:t>
      </w:r>
    </w:p>
    <w:p>
      <w:pPr>
        <w:pStyle w:val="ListBullet"/>
      </w:pPr>
      <w:r>
        <w:t>Inspect the referenced execution and package manifests before describing the current checkpoint as portable or complete.</w:t>
      </w:r>
    </w:p>
    <w:p>
      <w:pPr>
        <w:pStyle w:val="Heading1"/>
      </w:pPr>
      <w:r>
        <w:t>Week 9 actions</w:t>
      </w:r>
    </w:p>
    <w:p>
      <w:pPr>
        <w:pStyle w:val="ListBullet"/>
      </w:pPr>
      <w:r>
        <w:t>Resolve the remaining cross-module limitations in the final failure register, with one owner and an observable acceptance artifact for each change.</w:t>
      </w:r>
    </w:p>
    <w:p>
      <w:pPr>
        <w:pStyle w:val="ListBullet"/>
      </w:pPr>
      <w:r>
        <w:t>Compare independent ratings with automatic judgments before changing the adopted teaching policy; preserve the original experiment and register any subsequent policy revision.</w:t>
      </w:r>
    </w:p>
    <w:p>
      <w:pPr>
        <w:pStyle w:val="ListBullet"/>
      </w:pPr>
      <w:r>
        <w:t>Reproduce the final documented installation on another available machine and retain configuration, source and resource parity records.</w:t>
      </w:r>
    </w:p>
    <w:p>
      <w:pPr>
        <w:pStyle w:val="Heading1"/>
      </w:pPr>
      <w:r>
        <w:t>Accountability and evidence</w:t>
      </w:r>
    </w:p>
    <w:p>
      <w:r>
        <w:t>These are accountable project domains from the original team allocation. The implementation and verification cited in the reports were performed through the shared project workflow. Domain ownership does not establish a personal commit, individual execution, independent review or personal authorship. Actual execution record: Codex performed the shared implementation, scripted execution and document preparation. Named members remain the accountable module owners. Independent reviewers have supplied 0 ratings.</w:t>
      </w:r>
    </w:p>
    <w:p>
      <w:r>
        <w:t>Formal hint comparison. All 900 requests and task-paired model-assisted analysis; human ratings remain separate.</w:t>
      </w:r>
    </w:p>
    <w:p>
      <w:pPr>
        <w:spacing w:after="80"/>
      </w:pPr>
      <w:r>
        <w:rPr>
          <w:sz w:val="18"/>
        </w:rPr>
        <w:t>evidence/week08-enhancement/20260920/formal-hints-analysis.json</w:t>
      </w:r>
    </w:p>
    <w:p>
      <w:pPr>
        <w:spacing w:after="80"/>
      </w:pPr>
      <w:r>
        <w:rPr>
          <w:sz w:val="18"/>
        </w:rPr>
        <w:t>SHA256 3037903e73ce1046dc7e50236f2e628034b3d1e42d4ee28125ae4dc6c8ea9cd3</w:t>
      </w:r>
    </w:p>
    <w:p>
      <w:r>
        <w:t>Final software verification. Current gate stages with immutable before/after source snapshot; software behavior scope.</w:t>
      </w:r>
    </w:p>
    <w:p>
      <w:pPr>
        <w:spacing w:after="80"/>
      </w:pPr>
      <w:r>
        <w:rPr>
          <w:sz w:val="18"/>
        </w:rPr>
        <w:t>evidence/week08-enhancement/20260920/software-gate-final-attempt2/software_gate.json</w:t>
      </w:r>
    </w:p>
    <w:p>
      <w:pPr>
        <w:spacing w:after="80"/>
      </w:pPr>
      <w:r>
        <w:rPr>
          <w:sz w:val="18"/>
        </w:rPr>
        <w:t>SHA256 ff8283ac8302aa5441412ddc49a57f664d376504a5ce8f82ba52709863eb0acd</w:t>
      </w:r>
    </w:p>
    <w:p>
      <w:r>
        <w:t>Fresh CPU runtime parity. Actual same-host fresh installation and explicitly enumerated deployed runtime subset.</w:t>
      </w:r>
    </w:p>
    <w:p>
      <w:pPr>
        <w:spacing w:after="80"/>
      </w:pPr>
      <w:r>
        <w:rPr>
          <w:sz w:val="18"/>
        </w:rPr>
        <w:t>evidence/week08-enhancement/20260920/portable/source-parity-final.json</w:t>
      </w:r>
    </w:p>
    <w:p>
      <w:pPr>
        <w:spacing w:after="80"/>
      </w:pPr>
      <w:r>
        <w:rPr>
          <w:sz w:val="18"/>
        </w:rPr>
        <w:t>SHA256 7e855c7a717d7421b8fcd90dbfeed76c4bf325ba7971115d696df0130f7cf0ac</w:t>
      </w:r>
    </w:p>
    <w:p>
      <w:r>
        <w:t>Post-study task boundary correction. Separate HTTP task-resolution fix and verification after the frozen formal generation study.</w:t>
      </w:r>
    </w:p>
    <w:p>
      <w:pPr>
        <w:spacing w:after="80"/>
      </w:pPr>
      <w:r>
        <w:rPr>
          <w:sz w:val="18"/>
        </w:rPr>
        <w:t>evidence/week08-enhancement/20260920/task-boundary/final-verification.json</w:t>
      </w:r>
    </w:p>
    <w:p>
      <w:pPr>
        <w:spacing w:after="80"/>
      </w:pPr>
      <w:r>
        <w:rPr>
          <w:sz w:val="18"/>
        </w:rPr>
        <w:t>SHA256 c8ed064ff810d4232224e96ee9ba01f4ae5a2048de724cd2744af8ed03830d4f</w:t>
      </w:r>
    </w:p>
    <w:sectPr w:rsidR="00FC693F" w:rsidRPr="0006063C" w:rsidSect="00034616">
      <w:headerReference w:type="default" r:id="rId9"/>
      <w:footerReference w:type="default" r:id="rId10"/>
      <w:pgSz w:w="12240" w:h="15840"/>
      <w:pgMar w:top="1037" w:right="1080" w:bottom="1037"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Personalised AI Learning Assistant Using Retrieval-Augmented Generation and Large Language Models</w:t>
      <w:br/>
    </w:r>
    <w:r>
      <w:t xml:space="preserve">2026-09-20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CS 30 1     Week 8 learning enhancement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9" w:lineRule="auto"/>
    </w:pPr>
    <w:rPr>
      <w:rFonts w:ascii="Arial" w:hAnsi="Arial"/>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9" w:lineRule="auto"/>
    </w:pPr>
    <w:rPr>
      <w:rFonts w:ascii="Arial" w:hAnsi="Arial"/>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40" w:line="259"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6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59" w:lineRule="auto" w:before="0"/>
      <w:contextualSpacing/>
    </w:pPr>
    <w:rPr>
      <w:rFonts w:asciiTheme="majorHAnsi" w:eastAsiaTheme="majorEastAsia" w:hAnsiTheme="majorHAnsi" w:cstheme="majorBidi" w:ascii="Arial" w:hAnsi="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4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Module Report</dc:title>
  <dc:subject>Evidence-linked Week 8 enhancement report</dc:subject>
  <dc:creator>CS 30 1 shared project workflow</dc:creator>
  <cp:keywords/>
  <dc:description>generated by python-docx</dc:description>
  <cp:lastModifiedBy>CS 30 1 report builder</cp:lastModifiedBy>
  <cp:revision>1</cp:revision>
  <dcterms:created xsi:type="dcterms:W3CDTF">2013-12-23T23:15:00Z</dcterms:created>
  <dcterms:modified xsi:type="dcterms:W3CDTF">2013-12-23T23:15:00Z</dcterms:modified>
  <cp:category/>
</cp:coreProperties>
</file>