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Work Report</w:t>
      </w:r>
    </w:p>
    <w:p>
      <w:r>
        <w:t>Xianshu Zhang | Architecture and integration | 2026-09-22</w:t>
      </w:r>
    </w:p>
    <w:p>
      <w:pPr>
        <w:pStyle w:val="Heading1"/>
      </w:pPr>
      <w:r>
        <w:t>Week 8 contribution</w:t>
      </w:r>
    </w:p>
    <w:p>
      <w:r>
        <w:t>Integrate typed learning memory, evidence reliability and staged provider compatibility into the existing application while preserving the September 20 baseline and direct-answer default. Current request policies, producer/consumer contracts and public/private delivery boundaries are explicit.</w:t>
      </w:r>
    </w:p>
    <w:p>
      <w:r>
        <w:t>Original task allocation: INT-01, INT-02, INT-03, INT-04, INT-05, INT-06, INT-07, INT-08, INT-09, INT-10, CHAT-01, CHAT-11, CHAT-12.</w:t>
      </w:r>
    </w:p>
    <w:p>
      <w:pPr>
        <w:pStyle w:val="Heading1"/>
      </w:pPr>
      <w:r>
        <w:t>Completed implementation</w:t>
      </w:r>
    </w:p>
    <w:p>
      <w:r>
        <w:t>The new registered protocol separates development repairs from the final A/B/C/T/M comparisons. Earlier requests and controlled E0/E1 benchmarks retain frozen behavior; new requests explicitly freeze current answer, checker and memory policies.</w:t>
      </w:r>
    </w:p>
    <w:p>
      <w:r>
        <w:t>Additive migrations preserve original-column counts and hashes for all 44 existing tables. Shared orchestration binds current-turn memory precedence, exact configurations, source visibility and approved publication to the durable request lifecycle.</w:t>
      </w:r>
    </w:p>
    <w:p>
      <w:r>
        <w:t>A new public packager preserves historic owners and the same 80 runtime resources, builds eight disjoint deltas and verifies actual ZIP reconstruction. Research inputs and reviewer keys are separate private deliverables; final installation and package claims require their own evidence.</w:t>
      </w:r>
    </w:p>
    <w:p>
      <w:pPr>
        <w:pStyle w:val="Heading1"/>
      </w:pPr>
      <w:r>
        <w:t>Interfaces and operation</w:t>
      </w:r>
    </w:p>
    <w:p>
      <w:r>
        <w:t>Coordinate all eight domains through one backend, worker and frontend. Source owners provide immutable evidence, generation and memory owners provide versioned policies, and UI/QA owners verify actual consumer behavior. Codex is the shared implementation executor.</w:t>
      </w:r>
    </w:p>
    <w:p>
      <w:pPr>
        <w:pStyle w:val="ListBullet"/>
      </w:pPr>
      <w:r>
        <w:t>Inspect runtime, corpus and migration identities before using the current checkpoint.</w:t>
      </w:r>
    </w:p>
    <w:p>
      <w:pPr>
        <w:pStyle w:val="ListBullet"/>
      </w:pPr>
      <w:r>
        <w:t>Trace a request through frozen model/checker and memory policies to approved publication.</w:t>
      </w:r>
    </w:p>
    <w:p>
      <w:pPr>
        <w:pStyle w:val="ListBullet"/>
      </w:pPr>
      <w:r>
        <w:t>Review final software, installation, archive and reconstruction evidence before distribution.</w:t>
      </w:r>
    </w:p>
    <w:p>
      <w:pPr>
        <w:pStyle w:val="Heading1"/>
      </w:pPr>
      <w:r>
        <w:t>Verification and findings</w:t>
      </w:r>
    </w:p>
    <w:p>
      <w:r>
        <w:t>The integration checkpoint combines typed memory, separately resolved answer/checker settings and approved source publication through the durable request lifecycle. The additive migration preserved the original-column contents of all 44 existing tables. This lets the new policies coexist with historical answers, source identities and frozen requests.</w:t>
      </w:r>
    </w:p>
    <w:p>
      <w:r>
        <w:t>The common gate passed 828 Python tests and 86 frontend tests, with all eight stages returning zero and the captured source unchanged. The registry receipt retains the original 108 task IDs, 60 acceptance IDs and 12 responsive rows. These are traceability counts; individual clauses keep their own evidence and remaining scope.</w:t>
      </w:r>
    </w:p>
    <w:p>
      <w:r>
        <w:t>A fresh Windows CPU environment used the existing four-book corpus, real E5 encoding, reranking and pgvector. It completed two persisted chat turns, cancellation and history with explicitly mock answers. Final parity covers 514 public source/configuration files and 80 resources. Main services are available and the original 10594-vector corpus fingerprint is preserved.</w:t>
      </w:r>
    </w:p>
    <w:p>
      <w:r>
        <w:t>The live model configuration retained its answer revision and added an explicitly verified checker selection. The earlier checker failure and later successful project receipt remain distinct. The integration record therefore identifies which role and version can be used without converting a successful compatibility test into an answer-quality result.</w:t>
      </w:r>
    </w:p>
    <w:p>
      <w:r>
        <w:t>The final main and public portable gates both passed 828 Python checks and 86 frontend checks with zero skips. Five test modules and two independent helpers remove private catalogue dependencies; all 257 prior assertion expressions and 54 test functions are preserved. The main change followed verification of the frozen research archive.</w:t>
      </w:r>
    </w:p>
    <w:p>
      <w:r>
        <w:t>The completed numerical report retains all planned outcomes for the assigned studies, including failures and human-dependent oracle cases. Domain accountability does not imply that the member personally executed the recorded automated work.</w:t>
      </w:r>
    </w:p>
    <w:p>
      <w:r>
        <w:t>B2 minus B1: +25.00 percentage points (95% paired cluster interval +0.00 to +50.00); positive observed difference. Conservative successes 13/24 versus 7/24; 24 paired families/trajectories. T2 minus T1: -16.67 percentage points (95% paired cluster interval -36.11 to +2.78); negative observed difference. Conservative successes 19/36 versus 25/36; 12 paired families/trajectories. M4 minus M3: -2.78 percentage points (95% paired cluster interval -13.89 to +8.33); negative observed difference. Conservative successes 20/36 versus 21/36; 12 paired families/trajectories.</w:t>
      </w:r>
    </w:p>
    <w:p>
      <w:r>
        <w:t>Final archive reconstruction identified one packaging rule error: the verified official corpus.jsonl.gz resource was present in the full archive but excluded from the virtual baseline. The release utility now retains that exact resource, and its existing ZIP round-trip check uses a gzip corpus fixture. Other archives remain excluded. A fresh full software gate and source/resource parity passed after this release-only correction; the scientific generator, checker and evaluator engine remain unchanged.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Study</w:t>
            </w:r>
          </w:p>
        </w:tc>
        <w:tc>
          <w:tcPr>
            <w:tcW w:type="dxa" w:w="1872"/>
            <w:vAlign w:val="center"/>
            <w:shd w:fill="213B50"/>
          </w:tcPr>
          <w:p>
            <w:pPr>
              <w:keepNext/>
              <w:spacing w:before="40" w:after="40" w:line="252" w:lineRule="auto"/>
              <w:jc w:val="center"/>
            </w:pPr>
            <w:r>
              <w:rPr>
                <w:b/>
                <w:color w:val="FFFFFF"/>
                <w:sz w:val="20"/>
              </w:rPr>
              <w:t>Recorded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Study A Supplied Information Diagnosis</w:t>
            </w:r>
          </w:p>
        </w:tc>
        <w:tc>
          <w:tcPr>
            <w:tcW w:type="dxa" w:w="1872"/>
            <w:vAlign w:val="center"/>
            <w:shd w:fill="FFFFFF"/>
          </w:tcPr>
          <w:p>
            <w:pPr>
              <w:keepNext w:val="0"/>
              <w:spacing w:before="40" w:after="40" w:line="252" w:lineRule="auto"/>
              <w:jc w:val="center"/>
            </w:pPr>
            <w:r>
              <w:rPr>
                <w:b w:val="0"/>
                <w:color w:val="000000"/>
                <w:sz w:val="20"/>
              </w:rPr>
              <w:t>72</w:t>
            </w:r>
          </w:p>
        </w:tc>
        <w:tc>
          <w:tcPr>
            <w:tcW w:type="dxa" w:w="1872"/>
            <w:vAlign w:val="center"/>
            <w:shd w:fill="FFFFFF"/>
          </w:tcPr>
          <w:p>
            <w:pPr>
              <w:keepNext w:val="0"/>
              <w:spacing w:before="40" w:after="40" w:line="252" w:lineRule="auto"/>
              <w:jc w:val="center"/>
            </w:pPr>
            <w:r>
              <w:rPr>
                <w:b w:val="0"/>
                <w:color w:val="000000"/>
                <w:sz w:val="20"/>
              </w:rPr>
              <w:t>72</w:t>
            </w:r>
          </w:p>
        </w:tc>
      </w:tr>
      <w:tr>
        <w:trPr>
          <w:cantSplit/>
        </w:trPr>
        <w:tc>
          <w:tcPr>
            <w:tcW w:type="dxa" w:w="6336"/>
            <w:vAlign w:val="center"/>
            <w:shd w:fill="F2F5F7"/>
          </w:tcPr>
          <w:p>
            <w:pPr>
              <w:keepNext w:val="0"/>
              <w:spacing w:before="40" w:after="40" w:line="252" w:lineRule="auto"/>
              <w:jc w:val="left"/>
            </w:pPr>
            <w:r>
              <w:rPr>
                <w:b w:val="0"/>
                <w:color w:val="000000"/>
                <w:sz w:val="20"/>
              </w:rPr>
              <w:t>Study B Textbook Reliability</w:t>
            </w:r>
          </w:p>
        </w:tc>
        <w:tc>
          <w:tcPr>
            <w:tcW w:type="dxa" w:w="1872"/>
            <w:vAlign w:val="center"/>
            <w:shd w:fill="F2F5F7"/>
          </w:tcPr>
          <w:p>
            <w:pPr>
              <w:keepNext w:val="0"/>
              <w:spacing w:before="40" w:after="40" w:line="252" w:lineRule="auto"/>
              <w:jc w:val="center"/>
            </w:pPr>
            <w:r>
              <w:rPr>
                <w:b w:val="0"/>
                <w:color w:val="000000"/>
                <w:sz w:val="20"/>
              </w:rPr>
              <w:t>72</w:t>
            </w:r>
          </w:p>
        </w:tc>
        <w:tc>
          <w:tcPr>
            <w:tcW w:type="dxa" w:w="1872"/>
            <w:vAlign w:val="center"/>
            <w:shd w:fill="F2F5F7"/>
          </w:tcPr>
          <w:p>
            <w:pPr>
              <w:keepNext w:val="0"/>
              <w:spacing w:before="40" w:after="40" w:line="252" w:lineRule="auto"/>
              <w:jc w:val="center"/>
            </w:pPr>
            <w:r>
              <w:rPr>
                <w:b w:val="0"/>
                <w:color w:val="000000"/>
                <w:sz w:val="20"/>
              </w:rPr>
              <w:t>72</w:t>
            </w:r>
          </w:p>
        </w:tc>
      </w:tr>
      <w:tr>
        <w:trPr>
          <w:cantSplit/>
        </w:trPr>
        <w:tc>
          <w:tcPr>
            <w:tcW w:type="dxa" w:w="6336"/>
            <w:vAlign w:val="center"/>
            <w:shd w:fill="FFFFFF"/>
          </w:tcPr>
          <w:p>
            <w:pPr>
              <w:keepNext w:val="0"/>
              <w:spacing w:before="40" w:after="40" w:line="252" w:lineRule="auto"/>
              <w:jc w:val="left"/>
            </w:pPr>
            <w:r>
              <w:rPr>
                <w:b w:val="0"/>
                <w:color w:val="000000"/>
                <w:sz w:val="20"/>
              </w:rPr>
              <w:t>Study C Packing and Repair Ablations</w:t>
            </w:r>
          </w:p>
        </w:tc>
        <w:tc>
          <w:tcPr>
            <w:tcW w:type="dxa" w:w="1872"/>
            <w:vAlign w:val="center"/>
            <w:shd w:fill="FFFFFF"/>
          </w:tcPr>
          <w:p>
            <w:pPr>
              <w:keepNext w:val="0"/>
              <w:spacing w:before="40" w:after="40" w:line="252" w:lineRule="auto"/>
              <w:jc w:val="center"/>
            </w:pPr>
            <w:r>
              <w:rPr>
                <w:b w:val="0"/>
                <w:color w:val="000000"/>
                <w:sz w:val="20"/>
              </w:rPr>
              <w:t>48</w:t>
            </w:r>
          </w:p>
        </w:tc>
        <w:tc>
          <w:tcPr>
            <w:tcW w:type="dxa" w:w="1872"/>
            <w:vAlign w:val="center"/>
            <w:shd w:fill="FFFFFF"/>
          </w:tcPr>
          <w:p>
            <w:pPr>
              <w:keepNext w:val="0"/>
              <w:spacing w:before="40" w:after="40" w:line="252" w:lineRule="auto"/>
              <w:jc w:val="center"/>
            </w:pPr>
            <w:r>
              <w:rPr>
                <w:b w:val="0"/>
                <w:color w:val="000000"/>
                <w:sz w:val="20"/>
              </w:rPr>
              <w:t>48</w:t>
            </w:r>
          </w:p>
        </w:tc>
      </w:tr>
      <w:tr>
        <w:trPr>
          <w:cantSplit/>
        </w:trPr>
        <w:tc>
          <w:tcPr>
            <w:tcW w:type="dxa" w:w="6336"/>
            <w:vAlign w:val="center"/>
            <w:shd w:fill="F2F5F7"/>
          </w:tcPr>
          <w:p>
            <w:pPr>
              <w:keepNext w:val="0"/>
              <w:spacing w:before="40" w:after="40" w:line="252" w:lineRule="auto"/>
              <w:jc w:val="left"/>
            </w:pPr>
            <w:r>
              <w:rPr>
                <w:b w:val="0"/>
                <w:color w:val="000000"/>
                <w:sz w:val="20"/>
              </w:rPr>
              <w:t>Study T Teaching Control</w:t>
            </w:r>
          </w:p>
        </w:tc>
        <w:tc>
          <w:tcPr>
            <w:tcW w:type="dxa" w:w="1872"/>
            <w:vAlign w:val="center"/>
            <w:shd w:fill="F2F5F7"/>
          </w:tcPr>
          <w:p>
            <w:pPr>
              <w:keepNext w:val="0"/>
              <w:spacing w:before="40" w:after="40" w:line="252" w:lineRule="auto"/>
              <w:jc w:val="center"/>
            </w:pPr>
            <w:r>
              <w:rPr>
                <w:b w:val="0"/>
                <w:color w:val="000000"/>
                <w:sz w:val="20"/>
              </w:rPr>
              <w:t>180</w:t>
            </w:r>
          </w:p>
        </w:tc>
        <w:tc>
          <w:tcPr>
            <w:tcW w:type="dxa" w:w="1872"/>
            <w:vAlign w:val="center"/>
            <w:shd w:fill="F2F5F7"/>
          </w:tcPr>
          <w:p>
            <w:pPr>
              <w:keepNext w:val="0"/>
              <w:spacing w:before="40" w:after="40" w:line="252" w:lineRule="auto"/>
              <w:jc w:val="center"/>
            </w:pPr>
            <w:r>
              <w:rPr>
                <w:b w:val="0"/>
                <w:color w:val="000000"/>
                <w:sz w:val="20"/>
              </w:rPr>
              <w:t>180</w:t>
            </w:r>
          </w:p>
        </w:tc>
      </w:tr>
      <w:tr>
        <w:trPr>
          <w:cantSplit/>
        </w:trPr>
        <w:tc>
          <w:tcPr>
            <w:tcW w:type="dxa" w:w="6336"/>
            <w:vAlign w:val="center"/>
            <w:shd w:fill="FFFFFF"/>
          </w:tcPr>
          <w:p>
            <w:pPr>
              <w:keepNext w:val="0"/>
              <w:spacing w:before="40" w:after="40" w:line="252" w:lineRule="auto"/>
              <w:jc w:val="left"/>
            </w:pPr>
            <w:r>
              <w:rPr>
                <w:b w:val="0"/>
                <w:color w:val="000000"/>
                <w:sz w:val="20"/>
              </w:rPr>
              <w:t>Study M Learning Memory</w:t>
            </w:r>
          </w:p>
        </w:tc>
        <w:tc>
          <w:tcPr>
            <w:tcW w:type="dxa" w:w="1872"/>
            <w:vAlign w:val="center"/>
            <w:shd w:fill="FFFFFF"/>
          </w:tcPr>
          <w:p>
            <w:pPr>
              <w:keepNext w:val="0"/>
              <w:spacing w:before="40" w:after="40" w:line="252" w:lineRule="auto"/>
              <w:jc w:val="center"/>
            </w:pPr>
            <w:r>
              <w:rPr>
                <w:b w:val="0"/>
                <w:color w:val="000000"/>
                <w:sz w:val="20"/>
              </w:rPr>
              <w:t>180</w:t>
            </w:r>
          </w:p>
        </w:tc>
        <w:tc>
          <w:tcPr>
            <w:tcW w:type="dxa" w:w="1872"/>
            <w:vAlign w:val="center"/>
            <w:shd w:fill="FFFFFF"/>
          </w:tcPr>
          <w:p>
            <w:pPr>
              <w:keepNext w:val="0"/>
              <w:spacing w:before="40" w:after="40" w:line="252" w:lineRule="auto"/>
              <w:jc w:val="center"/>
            </w:pPr>
            <w:r>
              <w:rPr>
                <w:b w:val="0"/>
                <w:color w:val="000000"/>
                <w:sz w:val="20"/>
              </w:rPr>
              <w:t>180</w:t>
            </w:r>
          </w:p>
        </w:tc>
      </w:tr>
    </w:tbl>
    <w:p>
      <w:pPr>
        <w:spacing w:after="60"/>
      </w:pPr>
    </w:p>
    <w:p>
      <w:pPr>
        <w:pStyle w:val="Heading1"/>
      </w:pPr>
      <w:r>
        <w:t>Current limits</w:t>
      </w:r>
    </w:p>
    <w:p>
      <w:r>
        <w:t>Model accuracy is measured in the dated experiments. Independent ratings, human evidence confirmation, campus-network checks and additional-device measurements require the group's follow-up work.</w:t>
      </w:r>
    </w:p>
    <w:p>
      <w:r>
        <w:t>Coordinate actual independent review and a second-device installation. Use the retained negative and positive study findings to register the next bounded changes.</w:t>
      </w:r>
    </w:p>
    <w:p>
      <w:pPr>
        <w:pStyle w:val="Heading1"/>
      </w:pPr>
      <w:r>
        <w:t>Week 9 goals</w:t>
      </w:r>
    </w:p>
    <w:p>
      <w:pPr>
        <w:pStyle w:val="ListBullet"/>
      </w:pPr>
      <w:r>
        <w:t>Resolve recorded cross-module failures with concrete acceptance artifacts.</w:t>
      </w:r>
    </w:p>
    <w:p>
      <w:pPr>
        <w:pStyle w:val="ListBullet"/>
      </w:pPr>
      <w:r>
        <w:t>Collect external reviews without rewriting the frozen study.</w:t>
      </w:r>
    </w:p>
    <w:p>
      <w:pPr>
        <w:pStyle w:val="ListBullet"/>
      </w:pPr>
      <w:r>
        <w:t>Reproduce the documented installation on another available machine.</w:t>
      </w:r>
    </w:p>
    <w:p>
      <w:pPr>
        <w:pStyle w:val="Heading1"/>
      </w:pPr>
      <w:r>
        <w:t>Code and evidence</w:t>
      </w:r>
    </w:p>
    <w:p>
      <w:r>
        <w:t>Module paths: docs/execution/week08-memory-v2-protocol-20260921.md; backend/app/modules/answering/service.py; scripts/release/week08_memory_v2_delivery.py.</w:t>
      </w:r>
    </w:p>
    <w:p>
      <w:r>
        <w:t>Codex performed the implementation, automated checks and recorded local browser verification through the shared project workflow. The eight reports follow the original accountable domains; member submissions and independent human reviews retain their own execution records.</w:t>
      </w:r>
    </w:p>
    <w:p>
      <w:pPr>
        <w:keepNext/>
      </w:pPr>
      <w:r>
        <w:t>Final integrated public source software gate. 828 Python tests, 86 frontend tests, all eight stages passed with no skips and unchanged captured successor source</w:t>
      </w:r>
    </w:p>
    <w:p>
      <w:pPr>
        <w:keepNext/>
        <w:spacing w:after="80"/>
      </w:pPr>
      <w:r>
        <w:rPr>
          <w:sz w:val="18"/>
        </w:rPr>
        <w:t>evidence/week08-memory-v2/20260921/software-gate-release-final-20260922/software_gate.json</w:t>
      </w:r>
    </w:p>
    <w:p>
      <w:pPr>
        <w:keepNext w:val="0"/>
        <w:spacing w:after="80"/>
      </w:pPr>
      <w:r>
        <w:rPr>
          <w:sz w:val="18"/>
        </w:rPr>
        <w:t>SHA256 9d769c3006a8f7800678abcab474429895568d9834037ce4f2894d3f3bf01fd3</w:t>
      </w:r>
    </w:p>
    <w:p>
      <w:pPr>
        <w:keepNext/>
      </w:pPr>
      <w:r>
        <w:t>Additive migration preservation. Existing-column contents and counts in 44 prior tables remained unchanged through migration e0a64c7d123b, including the preceding memory revision.</w:t>
      </w:r>
    </w:p>
    <w:p>
      <w:pPr>
        <w:keepNext/>
        <w:spacing w:after="80"/>
      </w:pPr>
      <w:r>
        <w:rPr>
          <w:sz w:val="18"/>
        </w:rPr>
        <w:t>evidence/week08-memory-v2/20260921/migration/preservation-result.json</w:t>
      </w:r>
    </w:p>
    <w:p>
      <w:pPr>
        <w:keepNext w:val="0"/>
        <w:spacing w:after="80"/>
      </w:pPr>
      <w:r>
        <w:rPr>
          <w:sz w:val="18"/>
        </w:rPr>
        <w:t>SHA256 986740e61b25c75ca3b199409b295fa1f0bc572d9c7c66e98b41c25d4cc18413</w:t>
      </w:r>
    </w:p>
    <w:p>
      <w:pPr>
        <w:keepNext/>
      </w:pPr>
      <w:r>
        <w:t>Final public source and resource parity. 514 selected source and configuration files match the portable public tree; all 80 resources match the preserved bundle, including 30 model and tokenizer files also compared with main paths</w:t>
      </w:r>
    </w:p>
    <w:p>
      <w:pPr>
        <w:keepNext/>
        <w:spacing w:after="80"/>
      </w:pPr>
      <w:r>
        <w:rPr>
          <w:sz w:val="18"/>
        </w:rPr>
        <w:t>evidence/week08-memory-v2/20260921/portable/source-parity-release-final-20260922.json</w:t>
      </w:r>
    </w:p>
    <w:p>
      <w:pPr>
        <w:keepNext w:val="0"/>
        <w:spacing w:after="80"/>
      </w:pPr>
      <w:r>
        <w:rPr>
          <w:sz w:val="18"/>
        </w:rPr>
        <w:t>SHA256 66cb3799d646b1b9d52dea9f442538f6ca9560b44db9d7ebcc9419c6705c0ccb</w:t>
      </w:r>
    </w:p>
    <w:p>
      <w:pPr>
        <w:keepNext/>
      </w:pPr>
      <w:r>
        <w:t>Original task and acceptance identifiers retained. 180 new scoped observations preserve 108 original tasks, 60 acceptance IDs, 12 responsive rows and their prior statuses and evidence history</w:t>
      </w:r>
    </w:p>
    <w:p>
      <w:pPr>
        <w:keepNext/>
        <w:spacing w:after="80"/>
      </w:pPr>
      <w:r>
        <w:rPr>
          <w:sz w:val="18"/>
        </w:rPr>
        <w:t>evidence/week08-memory-v2/20260921/ledger-release-final-20260922/summary.json</w:t>
      </w:r>
    </w:p>
    <w:p>
      <w:pPr>
        <w:keepNext w:val="0"/>
        <w:spacing w:after="80"/>
      </w:pPr>
      <w:r>
        <w:rPr>
          <w:sz w:val="18"/>
        </w:rPr>
        <w:t>SHA256 dece23c448b4b773a78fae3e002899cbeda07d3991f66c324285c4e5d30e3012</w:t>
      </w:r>
    </w:p>
    <w:p>
      <w:pPr>
        <w:keepNext/>
      </w:pPr>
      <w:r>
        <w:t>Separate role activation receipt. The existing answer revision was retained while the verified checker selection was added through the actual versioned activation route.</w:t>
      </w:r>
    </w:p>
    <w:p>
      <w:pPr>
        <w:keepNext/>
        <w:spacing w:after="80"/>
      </w:pPr>
      <w:r>
        <w:rPr>
          <w:sz w:val="18"/>
        </w:rPr>
        <w:t>evidence/week08-memory-v2/20260921/providers/deepseek-paired-activation.json</w:t>
      </w:r>
    </w:p>
    <w:p>
      <w:pPr>
        <w:keepNext w:val="0"/>
        <w:spacing w:after="80"/>
      </w:pPr>
      <w:r>
        <w:rPr>
          <w:sz w:val="18"/>
        </w:rPr>
        <w:t>SHA256 ca857c496eb48ca7f78ee71cd11b528c34de25715c91cfcd935ecc6b6aea58c9</w:t>
      </w:r>
    </w:p>
    <w:p>
      <w:pPr>
        <w:keepNext/>
      </w:pPr>
      <w:r>
        <w:t>Public distribution software gate. Isolated public tree with tests-only successor: 828 Python, 86 frontend, eight stages passed and zero skips; main source unchanged.</w:t>
      </w:r>
    </w:p>
    <w:p>
      <w:pPr>
        <w:keepNext/>
        <w:spacing w:after="80"/>
      </w:pPr>
      <w:r>
        <w:rPr>
          <w:sz w:val="18"/>
        </w:rPr>
        <w:t>evidence/week08-memory-v2/20260921/public-distribution-attempt3/summary.json</w:t>
      </w:r>
    </w:p>
    <w:p>
      <w:pPr>
        <w:keepNext w:val="0"/>
        <w:spacing w:after="80"/>
      </w:pPr>
      <w:r>
        <w:rPr>
          <w:sz w:val="18"/>
        </w:rPr>
        <w:t>SHA256 c1dd7e35881e8b8d4a8586f7b2464f887def6dc129fb2a688796cba7cab5792a</w:t>
      </w:r>
    </w:p>
    <w:p>
      <w:pPr>
        <w:keepNext/>
      </w:pPr>
      <w:r>
        <w:t>Tests-only patch and invariant verification. Five public test modules and two independent helpers preserve all 257 assertion expressions and 54 test functions. The final successor gate captures the integrated bytes.</w:t>
      </w:r>
    </w:p>
    <w:p>
      <w:pPr>
        <w:keepNext/>
        <w:spacing w:after="80"/>
      </w:pPr>
      <w:r>
        <w:rPr>
          <w:sz w:val="18"/>
        </w:rPr>
        <w:t>evidence/week08-memory-v2/20260921/public-distribution-attempt3/test-patch-verification.json</w:t>
      </w:r>
    </w:p>
    <w:p>
      <w:pPr>
        <w:keepNext w:val="0"/>
        <w:spacing w:after="80"/>
      </w:pPr>
      <w:r>
        <w:rPr>
          <w:sz w:val="18"/>
        </w:rPr>
        <w:t>SHA256 cbd1453741144173c9be792053d50bde67c5b14c644c3d2a9dc62a1f8ba78fb8</w:t>
      </w:r>
    </w:p>
    <w:p>
      <w:pPr>
        <w:keepNext/>
      </w:pPr>
      <w:r>
        <w:t>Registered automatic study results. 552 scheduled requests across 18 arms; all generation and offline judgment outcomes retained; independent human ratings zero</w:t>
      </w:r>
    </w:p>
    <w:p>
      <w:pPr>
        <w:keepNext/>
        <w:spacing w:after="80"/>
      </w:pPr>
      <w:r>
        <w:rPr>
          <w:sz w:val="18"/>
        </w:rPr>
        <w:t>evidence/week08-memory-v2/20260921/formal/public-results.json</w:t>
      </w:r>
    </w:p>
    <w:p>
      <w:pPr>
        <w:keepNext w:val="0"/>
        <w:spacing w:after="80"/>
      </w:pPr>
      <w:r>
        <w:rPr>
          <w:sz w:val="18"/>
        </w:rPr>
        <w:t>SHA256 b470c9c5df020d3dd7dae9625fdfabc82afdf60569f33a3d62c84a5ea340e7f6</w:t>
      </w:r>
    </w:p>
    <w:p>
      <w:pPr>
        <w:keepNext/>
      </w:pPr>
      <w:r>
        <w:t>Actual blank blinded review export. Two randomized 552-row reviewer slots; zero completed or imported ratings</w:t>
      </w:r>
    </w:p>
    <w:p>
      <w:pPr>
        <w:keepNext/>
        <w:spacing w:after="80"/>
      </w:pPr>
      <w:r>
        <w:rPr>
          <w:sz w:val="18"/>
        </w:rPr>
        <w:t>evidence/week08-memory-v2/20260921/formal/review-export-verification.json</w:t>
      </w:r>
    </w:p>
    <w:p>
      <w:pPr>
        <w:keepNext w:val="0"/>
        <w:spacing w:after="80"/>
      </w:pPr>
      <w:r>
        <w:rPr>
          <w:sz w:val="18"/>
        </w:rPr>
        <w:t>SHA256 9f9f675f3f00a30b7e64745be7d9ef0f2d2786295fb2cbdbc5a6a43041a75b5a</w:t>
      </w:r>
    </w:p>
    <w:p>
      <w:pPr>
        <w:keepNext/>
      </w:pPr>
      <w:r>
        <w:t>Reconciled actual attempt accounting. Development, provider diagnosis, extraction, summary, formal answers and offline judging; dated tariff estimates including failures</w:t>
      </w:r>
    </w:p>
    <w:p>
      <w:pPr>
        <w:keepNext/>
        <w:spacing w:after="80"/>
      </w:pPr>
      <w:r>
        <w:rPr>
          <w:sz w:val="18"/>
        </w:rPr>
        <w:t>evidence/week08-memory-v2/20260921/accounting/final.json</w:t>
      </w:r>
    </w:p>
    <w:p>
      <w:pPr>
        <w:keepNext w:val="0"/>
        <w:spacing w:after="80"/>
      </w:pPr>
      <w:r>
        <w:rPr>
          <w:sz w:val="18"/>
        </w:rPr>
        <w:t>SHA256 eb79da9c78412c5ce5d7196d18ffea6df5aa53d97eca336e07cacde82def7559</w:t>
      </w:r>
    </w:p>
    <w:p>
      <w:pPr>
        <w:keepNext/>
      </w:pPr>
      <w:r>
        <w:t>Independent numerical reconciliation. Independent recalculation of retained scalar outcomes, primary contrasts, failure counts, cost and latency scope</w:t>
      </w:r>
    </w:p>
    <w:p>
      <w:pPr>
        <w:keepNext/>
        <w:spacing w:after="80"/>
      </w:pPr>
      <w:r>
        <w:rPr>
          <w:sz w:val="18"/>
        </w:rPr>
        <w:t>evidence/week08-memory-v2/20260921/formal/numerical-review.json</w:t>
      </w:r>
    </w:p>
    <w:p>
      <w:pPr>
        <w:keepNext w:val="0"/>
        <w:spacing w:after="80"/>
      </w:pPr>
      <w:r>
        <w:rPr>
          <w:sz w:val="18"/>
        </w:rPr>
        <w:t>SHA256 3833b4899a8850cdd4c81368b84fafbf73e8b1d81774abed87adf46b8908b2ef</w:t>
      </w:r>
    </w:p>
    <w:p>
      <w:pPr>
        <w:keepNext/>
      </w:pPr>
      <w:r>
        <w:t>Official corpus archive reconstruction correction. One exact verified runtime gzip resource retained in baseline reconstruction; unrelated archives stay excluded; focused regression, full gate and preserved failed ZIP attempt</w:t>
      </w:r>
    </w:p>
    <w:p>
      <w:pPr>
        <w:keepNext/>
        <w:spacing w:after="80"/>
      </w:pPr>
      <w:r>
        <w:rPr>
          <w:sz w:val="18"/>
        </w:rPr>
        <w:t>evidence/week08-memory-v2/20260921/packaging/release-fix-verification.json</w:t>
      </w:r>
    </w:p>
    <w:p>
      <w:pPr>
        <w:keepNext w:val="0"/>
        <w:spacing w:after="80"/>
      </w:pPr>
      <w:r>
        <w:rPr>
          <w:sz w:val="18"/>
        </w:rPr>
        <w:t>SHA256 4f4f7b27c68510fcb8a31b9d5631b28b3ddf5bde1b034250b6d5495e2fcdd238</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2026-09-22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Work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