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Personalised AI Learning Assistant Using Retrieval-Augmented Generation and Large Language Models</w:t>
      </w:r>
    </w:p>
    <w:p>
      <w:pPr>
        <w:pStyle w:val="Subtitle"/>
        <w:widowControl/>
      </w:pPr>
      <w:r>
        <w:t>Week 8 Module Report</w:t>
      </w:r>
    </w:p>
    <w:p>
      <w:pPr>
        <w:widowControl/>
        <w:spacing w:after="40"/>
      </w:pPr>
      <w:r>
        <w:t>Xianshu Zhang  |  SID 540612426</w:t>
      </w:r>
    </w:p>
    <w:p>
      <w:pPr>
        <w:widowControl/>
      </w:pPr>
      <w:r>
        <w:t>Team Lead and System Integration</w:t>
      </w:r>
    </w:p>
    <w:p>
      <w:pPr>
        <w:pStyle w:val="Heading1"/>
      </w:pPr>
      <w:r>
        <w:t>Week 8 outcome</w:t>
      </w:r>
    </w:p>
    <w:p>
      <w:pPr>
        <w:widowControl/>
      </w:pPr>
      <w:r>
        <w:t>The integration workstream connected all eight research tracks to the running learning assistant. The original RAG-to-ragweed failure led to bounded ambiguity and correction handling, followed by structured question records, relevance screening, complementary evidence and clearer teaching instructions. The expanded delivery also includes a 120-case bank, calibration tools and administrator tracing. This report covers INT-01 through INT-10 and CHAT-01, CHAT-11 and CHAT-12 as the accountable integration domain.</w:t>
      </w:r>
    </w:p>
    <w:p>
      <w:pPr>
        <w:widowControl/>
      </w:pPr>
      <w:r>
        <w:t>The accountable roles follow the original team allocation. The cited implementation and automated verification were executed through the shared Codex workflow.</w:t>
      </w:r>
    </w:p>
    <w:p>
      <w:pPr>
        <w:pStyle w:val="Heading1"/>
      </w:pPr>
      <w:r>
        <w:t>Implementation and integration</w:t>
      </w:r>
    </w:p>
    <w:p>
      <w:pPr>
        <w:widowControl/>
      </w:pPr>
      <w:r>
        <w:t>Versioned boundaries now connect the original question, requested parts, current-query evidence selection, packed passages and saved response. New requests freeze their device and policies; historical requests preserve their recorded semantics. The source release remains the same four-book, 10,594-vector reference. Formal E0/E1 conditions retain their frozen protocol.</w:t>
      </w:r>
    </w:p>
    <w:p>
      <w:pPr>
        <w:widowControl/>
      </w:pPr>
      <w:r>
        <w:t>The 108-task, 60-check and 12-responsive-check records remain the shared acceptance map. Module packages and reports use one ownership inventory. The delivery manifest records the exact assigned paths and file hashes for this report's accountable domain.</w:t>
      </w:r>
    </w:p>
    <w:p>
      <w:pPr>
        <w:widowControl/>
      </w:pPr>
      <w:r>
        <w:t>The explicit answer-mode contract preserves textbook defaults, freezes source choice through lifecycle operations and keeps general model knowledge visibly separate.</w:t>
      </w:r>
    </w:p>
    <w:p>
      <w:pPr>
        <w:pStyle w:val="Heading1"/>
      </w:pPr>
      <w:r>
        <w:t>Research translated into delivery</w:t>
      </w:r>
    </w:p>
    <w:p>
      <w:pPr>
        <w:widowControl/>
      </w:pPr>
      <w:r>
        <w:t>The A to F sequence covers agreed behaviours, question understanding and relevance, CPU installation, evidence and citations, real-model and pedagogy checks, and final delivery. Each stage now has an implemented mechanism or an inspectable evaluation artifact. The 120-case bank preserves knowledge groups across its development and held-out split.</w:t>
      </w:r>
    </w:p>
    <w:p>
      <w:pPr>
        <w:widowControl/>
      </w:pPr>
      <w:r>
        <w:t>Engineering observations remain tied to their method: lexical coverage describes matched requirements, citation flags support review, and learning quality requires independent ratings. This separation keeps a successful software check meaningful while identifying the review needed for broader claims.</w:t>
      </w:r>
    </w:p>
    <w:p>
      <w:pPr>
        <w:widowControl/>
      </w:pPr>
      <w:r>
        <w:t>The mixed-question correction adds a bounded per-part retrieval contract, with versioned historical behaviour and separate execution evidence.</w:t>
      </w:r>
    </w:p>
    <w:p>
      <w:r>
        <w:br w:type="page"/>
      </w:r>
    </w:p>
    <w:p>
      <w:pPr>
        <w:pStyle w:val="Heading1"/>
      </w:pPr>
      <w:r>
        <w:t>Verification and current limits</w:t>
      </w:r>
    </w:p>
    <w:p>
      <w:pPr>
        <w:widowControl/>
      </w:pPr>
      <w:r>
        <w:t>The final software gate passed all eight stages: 427 Python tests and 56 frontend tests, with 365 captured source files unchanged. The broader v8 execution met 106 of 110 main-case expectations, 13 of 14 teaching expectations and all six robustness expectations. The final v9 targeted regression met 35 of 37 expectations; two clarification deviations remain recorded. These are workflow observations, with independent ratings still open.</w:t>
      </w:r>
    </w:p>
    <w:p>
      <w:pPr>
        <w:widowControl/>
      </w:pPr>
      <w:r>
        <w:t>The fresh CPU installation retains 48 sources, 10,594 vectors and all 80 bundled resources. Final source parity matches 407 safe source/configuration files. Actual queued and active cancellation, a three-attempt timeout and three CPU/CUDA retrieval comparisons are recorded. The mixed-question CPU path admits ten passages within 2,548 evidence tokens; its conservative mock answer still refuses the whole question. Live partial answering has a separate provider record. The delivery also retains the earlier CPU-only installation, resource hashes and source-parity evidence. Protected credentials and private study records stay outside public module packages.</w:t>
      </w:r>
    </w:p>
    <w:p>
      <w:pPr>
        <w:pStyle w:val="Heading1"/>
      </w:pPr>
      <w:r>
        <w:t>Week 9 measurable goals</w:t>
      </w:r>
    </w:p>
    <w:p>
      <w:pPr>
        <w:pStyle w:val="ListBullet"/>
        <w:widowControl/>
        <w:spacing w:after="80"/>
      </w:pPr>
      <w:r>
        <w:rPr>
          <w:sz w:val="22"/>
        </w:rPr>
        <w:t>Close the remaining A to F review decisions with one owner, artifact, dependency and acceptance observation for each unresolved item.</w:t>
      </w:r>
    </w:p>
    <w:p>
      <w:pPr>
        <w:pStyle w:val="ListBullet"/>
        <w:widowControl/>
        <w:spacing w:after="80"/>
      </w:pPr>
      <w:r>
        <w:rPr>
          <w:sz w:val="22"/>
        </w:rPr>
        <w:t>Commission independent source-support and teaching reviews of the fixed outputs, preserving disagreements and missing ratings.</w:t>
      </w:r>
    </w:p>
    <w:p>
      <w:pPr>
        <w:pStyle w:val="ListBullet"/>
        <w:widowControl/>
        <w:spacing w:after="80"/>
      </w:pPr>
      <w:r>
        <w:rPr>
          <w:sz w:val="22"/>
        </w:rPr>
        <w:t>Reproduce the integrated release on another available machine, document device and queue behaviour, and build a version-aligned delivery after regression checks.</w:t>
      </w:r>
    </w:p>
    <w:p>
      <w:pPr>
        <w:pStyle w:val="Heading1"/>
      </w:pPr>
      <w:r>
        <w:t>Dependencies</w:t>
      </w:r>
    </w:p>
    <w:p>
      <w:pPr>
        <w:widowControl/>
      </w:pPr>
      <w:r>
        <w:t>Chengzhou and Zeping provide the runtime and request records; Hongle supplies exact source positions; Sijin and Pengyuan define answer and teaching conditions; Baiqing connects visible states to contracts; Chong preserves complete evaluation denominators. Integration decisions depend on these artifacts and on actual reviewer and device availability. The next release should retain failures and unresolved checks alongside its successful verification.</w:t>
      </w:r>
    </w:p>
    <w:p>
      <w:pPr>
        <w:pStyle w:val="Heading1"/>
      </w:pPr>
      <w:r>
        <w:t>Evidence references</w:t>
      </w:r>
    </w:p>
    <w:p>
      <w:pPr>
        <w:widowControl/>
        <w:spacing w:after="40"/>
      </w:pPr>
      <w:r>
        <w:rPr>
          <w:sz w:val="17"/>
        </w:rPr>
        <w:t>Integrated Week 8 implementation and research — docs/execution/week08-delivery-20260916.md</w:t>
      </w:r>
    </w:p>
    <w:p>
      <w:pPr>
        <w:widowControl/>
        <w:spacing w:after="40"/>
      </w:pPr>
      <w:r>
        <w:rPr>
          <w:sz w:val="17"/>
        </w:rPr>
        <w:t>Fixed source-backed question bank — evaluation/reliability/week08_cases_v3.json</w:t>
      </w:r>
    </w:p>
    <w:p>
      <w:pPr>
        <w:widowControl/>
        <w:spacing w:after="40"/>
      </w:pPr>
      <w:r>
        <w:rPr>
          <w:sz w:val="17"/>
        </w:rPr>
        <w:t>Current checks and execution records — evidence/week08-delivery/20260916/</w:t>
      </w:r>
    </w:p>
    <w:sectPr w:rsidR="00FC693F" w:rsidRPr="0006063C" w:rsidSect="00034616">
      <w:footerReference w:type="default" r:id="rId9"/>
      <w:pgSz w:w="11906" w:h="16838"/>
      <w:pgMar w:top="964" w:right="1077" w:bottom="964" w:left="107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2" w:val="right"/>
      </w:tabs>
      <w:spacing w:after="0" w:line="240" w:lineRule="auto"/>
      <w:jc w:val="left"/>
    </w:pPr>
    <w:r>
      <w:rPr>
        <w:sz w:val="15"/>
      </w:rPr>
      <w:t>Personalised AI Learning Assistant</w:t>
      <w:tab/>
      <w:t xml:space="preserve">Week 8  |  </w:t>
    </w:r>
    <w:r>
      <w:fldChar w:fldCharType="begin"/>
    </w:r>
    <w:r>
      <w:instrText xml:space="preserve"> PAGE </w:instrText>
    </w:r>
    <w:r>
      <w:fldChar w:fldCharType="separate"/>
    </w:r>
    <w:r>
      <w:rPr>
        <w:sz w:val="15"/>
      </w:rPr>
      <w:t>1</w:t>
    </w:r>
    <w:r>
      <w:fldChar w:fldCharType="end"/>
    </w:r>
    <w:r>
      <w:rPr>
        <w:sz w:val="15"/>
      </w:rPr>
      <w:br/>
      <w:t>Using Retrieval-Augmented Generation and Large Language Models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Microsoft YaHei"/>
      <w:b w:val="0"/>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eastAsia="Microsoft Ya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200"/>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eastAsia="Microsoft Ya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eastAsia="Microsoft YaHe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eastAsia="Microsoft YaHe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Personalised AI Learning Assistant Using Retrieval-Augmented Generation and Large Language Models Week 8 Module Report</dc:title>
  <dc:subject>Week 8 implementation research evidence and Week 9 plan</dc:subject>
  <dc:creator>CS-30-1 Project Team</dc:creator>
  <cp:keywords/>
  <dc:description>Accountable member roles follow the original allocation. Execution and independent review scope follow cited evidence.</dc:description>
  <cp:lastModifiedBy/>
  <cp:revision>1</cp:revision>
  <dcterms:created xsi:type="dcterms:W3CDTF">2013-12-23T23:15:00Z</dcterms:created>
  <dcterms:modified xsi:type="dcterms:W3CDTF">2013-12-23T23:15:00Z</dcterms:modified>
  <cp:category/>
</cp:coreProperties>
</file>