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6 Module Report</w:t>
      </w:r>
    </w:p>
    <w:p>
      <w:pPr>
        <w:pStyle w:val="Subtitle"/>
      </w:pPr>
      <w:r>
        <w:t>Baiqing Huang  |  CS30 Learning Assistant  |  8 September 2026</w:t>
      </w:r>
    </w:p>
    <w:p>
      <w:pPr>
        <w:pStyle w:val="Heading1"/>
      </w:pPr>
      <w:r>
        <w:t>1 Member and Role</w:t>
      </w:r>
    </w:p>
    <w:p>
      <w:r>
        <w:t>Baiqing Huang is accountable for the frontend, chat interaction, source inspection, settings and responsive presentation. The domain comprises FE-01 through FE-12 and CHAT-06. This Week 6 report describes the assigned module as it exists in the shared project. It does not invent independent authorship, member commits or human usability reviews: the historical execution record identifies Codex or shared implementation. The frontend package is a consumer of the shared API and complete backend. Its source files and lockfile support reproduction after the relevant module packages and operational dependencies have been assembled.</w:t>
      </w:r>
    </w:p>
    <w:p>
      <w:pPr>
        <w:pStyle w:val="Heading1"/>
      </w:pPr>
      <w:r>
        <w:t>2 Week 6 Objectives</w:t>
      </w:r>
    </w:p>
    <w:p>
      <w:r>
        <w:t>The main Week 6 objective was a usable natural-language conversation interface. A learner should sign in, ask a question, follow up, inspect original evidence and recover the same history without seeing an evaluation workbench. The design uses a light theme, a readable conversation column, responsive navigation and an accessible source overlay.</w:t>
      </w:r>
    </w:p>
    <w:p>
      <w:r>
        <w:t>Interaction had to remain truthful during real jobs, failures and revisions. A spinner cannot be treated as streaming tokens, and a local success message cannot replace persisted server state. Resizing should preserve drafts and session identity, while a reader looking at older messages should not be unexpectedly moved to a new answer. These requirements connect frontend behavior with backend lifecycle guarantees.</w:t>
      </w:r>
    </w:p>
    <w:p>
      <w:pPr>
        <w:pStyle w:val="Heading1"/>
      </w:pPr>
      <w:r>
        <w:t>3 Work Delivered in the Assigned Module</w:t>
      </w:r>
    </w:p>
    <w:p>
      <w:r>
        <w:t>The module supplies login and account transitions, a multiline composer, profile controls, saved conversations, source inspection, copy and feedback. Enter submits ordinary text; Shift+Enter inserts a newline. Follow-up suggestions use the same session API. Stop, retry and latest-answer regeneration consume real job and request identities rather than replacing history with client-only records.</w:t>
      </w:r>
    </w:p>
    <w:p>
      <w:r>
        <w:t>Source views show the saved passage, title, original link, licensing metadata and physical-page locator. OpenStax attribution appears only when actual source provenance identifies the official host. Account/profile forms and secondary administrator corpus/experiment pages use real endpoints and explicit missing-input states. Historical MCQ results remain readable by their stored schema, while the learner composer remains natural-language. Automatic history pagination retains every returned message in order.</w:t>
      </w:r>
    </w:p>
    <w:p>
      <w:pPr>
        <w:pStyle w:val="Heading1"/>
      </w:pPr>
      <w:r>
        <w:t>4 Technical Approach and Main Files</w:t>
      </w:r>
    </w:p>
    <w:p>
      <w:r>
        <w:t>frontend/src/App.tsx handles authentication, routes and navigation. Chat.tsx manages drafts, job polling, history, evidence, feedback and revision interactions. Markdown.tsx renders safe prose, code, tables and formulas; Settings.tsx and admin.tsx provide preferences and operator controls. components.tsx supplies shared controls and dialog focus restoration, and styles/tokens.css plus styles/app.css define the responsive layout.</w:t>
      </w:r>
    </w:p>
    <w:p>
      <w:r>
        <w:t>api.ts consumes the canonical response envelope. src/generated/api.ts is derived from the shared OpenAPI schema and must stay compatible with it. The complete frontend directory has one primary package owner, including package-lock.json and deployment files. Component tests and real-browser helpers document distinct evidence scopes. Generated types are a consumer artifact, not permission to independently change shared backend contracts.</w:t>
      </w:r>
    </w:p>
    <w:p>
      <w:r>
        <w:t>The finalized contribution contains 56 source-file paths, listed individually in OWNED_PATHS.txt and MANIFEST.json. Only those paths belong to this import; references to collaborating modules do not assign their files to this member.</w:t>
      </w:r>
    </w:p>
    <w:p>
      <w:r>
        <w:t>Exact ownership and byte hashes: MANIFEST.json. Report upload path: docs/week06/Baiqing_Huang/Week06_Report_EN.docx.</w:t>
      </w:r>
    </w:p>
    <w:p>
      <w:pPr>
        <w:pStyle w:val="Heading1"/>
      </w:pPr>
      <w:r>
        <w:t>5 Integration with Other Members’ Modules</w:t>
      </w:r>
    </w:p>
    <w:p>
      <w:r>
        <w:t>The frontend depends directly on Zeping Liao's account, session, message, job, answer, evidence and administration endpoints. It displays Hongle Yang's source provenance and Chengzhou Liu's retrieval locators without inventing missing metadata. Sijin Lu's response type distinguishes an answer, clarification, refusal or execution failure. Pengyuan Xia's saved profile version and compiled policy determine the displayed preference snapshot.</w:t>
      </w:r>
    </w:p>
    <w:p>
      <w:r>
        <w:t>Xianshu Zhang coordinates contract changes, while Chong Zhang verifies actual journeys and keeps research screens separate from the product. The team should merge shared contracts and backend producers before expecting the frontend to run. A member importing only this package should not substitute arbitrary mock data and describe it as equivalent to the published official corpus.</w:t>
      </w:r>
    </w:p>
    <w:p>
      <w:pPr>
        <w:pStyle w:val="Heading1"/>
      </w:pPr>
      <w:r>
        <w:t>6 Verification and Evidence</w:t>
      </w:r>
    </w:p>
    <w:p>
      <w:r>
        <w:t>The official-source browser journey on 8 September 2026 at 08:27 UTC exercised eleven widths, contextual turns, profile-off, source inspection, regeneration and login recovery. The 08:54 v5 check verified current and historical citations at 390 and 1440 pixels. The 08:55 pagination run retrieved 100 plus two actual saved rows, then retained 104 rows after another turn without losing the reading anchor or draft.</w:t>
      </w:r>
    </w:p>
    <w:p>
      <w:r>
        <w:t>The final 09:54:55 keyboard/suggestion run checked actual Shift+Enter, Enter, persisted suggestion submission, real polled stages and an actual HTTP 409 rejection. After a small scroll correction, the complete error stayed visible at both widths. The stable-source gate at 09:57:46 included 25 frontend tests and a production build. These are existing project observations, not newly performed personal screenshots.</w:t>
      </w:r>
    </w:p>
    <w:p>
      <w:r>
        <w:t>This handover separately passed the 433-file isolated merge, 188 Python unit tests, 25 frontend tests and a production build. These checks do not measure live answer quality; see docs/week06/shared/verification-summary.json.</w:t>
      </w:r>
    </w:p>
    <w:p>
      <w:pPr>
        <w:pStyle w:val="Heading1"/>
      </w:pPr>
      <w:r>
        <w:t>7 Current Limitations</w:t>
      </w:r>
    </w:p>
    <w:p>
      <w:r>
        <w:t>Real browser interactions use genuine application infrastructure and official-source retrieval, but answer generation remains mock. A displayed source citation or a passing component assertion does not establish scientific correctness or instructional effectiveness. The mock may refuse supported questions or provide short, limited explanations.</w:t>
      </w:r>
    </w:p>
    <w:p>
      <w:r>
        <w:t>FE-12 remains implemented but not fully verified because physical mobile keyboards, native operating-system IME, assistive-technology behavior and independent human usability acceptance are still missing. Desktop keyboard checks, synthetic composition events, emulated touch and native desktop browser zoom have their own evidence; they cannot be renamed as physical-device testing. The earlier 23-test MCQ checkpoint is historical, while the current aggregate contains 25 frontend checks. Test totals must not be added together.</w:t>
      </w:r>
    </w:p>
    <w:p>
      <w:pPr>
        <w:pStyle w:val="Heading1"/>
      </w:pPr>
      <w:r>
        <w:t>8 Week 7 Plan and Dependencies</w:t>
      </w:r>
    </w:p>
    <w:p>
      <w:r>
        <w:t>Week 7 should begin with personal reproduction in the complete merged system and genuine evidence screenshots, using the verified API and frontend endpoints. Baiqing should review the source panel, saved history, profile state and failure recovery against the actual network responses, then document real actions and dates in a personal evidence folder.</w:t>
      </w:r>
    </w:p>
    <w:p>
      <w:r>
        <w:t>The next acceptance work is targeted rather than a frontend rewrite: test physical soft-keyboard resizing, native IME composition and a screen reader with actual devices and reviewers. When the live answer provider becomes available, inspect genuinely long explanations, tables and formulas without relaxing source visibility or lifecycle rules. Regress changed API or source revisions with Zeping and Chong. Preserve the current follow-latest guard so new errors are revealed without interrupting intentional older reading.</w:t>
      </w:r>
    </w:p>
    <w:sectPr w:rsidR="00FC693F" w:rsidRPr="0006063C" w:rsidSect="00034616">
      <w:footerReference w:type="default" r:id="rId9"/>
      <w:pgSz w:w="11906" w:h="16838"/>
      <w:pgMar w:top="964" w:right="1077" w:bottom="964" w:left="1077"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Week 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eastAsia="Microsoft YaHei"/>
      <w:b w:val="0"/>
      <w:color w:val="000000"/>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200"/>
      <w:outlineLvl w:val="1"/>
    </w:pPr>
    <w:rPr>
      <w:rFonts w:asciiTheme="majorHAnsi" w:eastAsiaTheme="majorEastAsia" w:hAnsiTheme="majorHAnsi" w:cstheme="majorBidi" w:ascii="Calibri" w:hAnsi="Calibr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200"/>
      <w:outlineLvl w:val="2"/>
    </w:pPr>
    <w:rPr>
      <w:rFonts w:asciiTheme="majorHAnsi" w:eastAsiaTheme="majorEastAsia" w:hAnsiTheme="majorHAnsi" w:cstheme="majorBidi" w:ascii="Calibri" w:hAnsi="Calibr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eastAsia="Microsoft YaHei"/>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eastAsia="Microsoft YaHe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Module Report</dc:title>
  <dc:subject>Week 6 existing project handover</dc:subject>
  <dc:creator>CS30 Project Handover</dc:creator>
  <cp:keywords/>
  <dc:description>Prepared from shared project records. No personal authorship or execution history is asserted.</dc:description>
  <cp:lastModifiedBy/>
  <cp:revision>1</cp:revision>
  <dcterms:created xsi:type="dcterms:W3CDTF">2013-12-23T23:15:00Z</dcterms:created>
  <dcterms:modified xsi:type="dcterms:W3CDTF">2013-12-23T23:15:00Z</dcterms:modified>
  <cp:category/>
</cp:coreProperties>
</file>