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8 Work Report</w:t>
      </w:r>
    </w:p>
    <w:p>
      <w:r>
        <w:t>Chong Zhang | Evaluation and independent review | 2026-09-22</w:t>
      </w:r>
    </w:p>
    <w:p>
      <w:pPr>
        <w:pStyle w:val="Heading1"/>
      </w:pPr>
      <w:r>
        <w:t>Week 8 contribution</w:t>
      </w:r>
    </w:p>
    <w:p>
      <w:r>
        <w:t>Register matched reliability and memory comparisons while preserving September 20 research as historical evidence. The new workflow distinguishes evidence availability, checking failures, state selection and answer quality without calling developer labels independent human truth.</w:t>
      </w:r>
    </w:p>
    <w:p>
      <w:r>
        <w:t>Original task allocation: QA-01, QA-02, QA-03, QA-04, QA-05, QA-06, QA-07, QA-08, QA-09, QA-10, QA-11, QA-12, QA-13, QA-14, CHAT-09, CHAT-10.</w:t>
      </w:r>
    </w:p>
    <w:p>
      <w:pPr>
        <w:pStyle w:val="Heading1"/>
      </w:pPr>
      <w:r>
        <w:t>Completed implementation</w:t>
      </w:r>
    </w:p>
    <w:p>
      <w:r>
        <w:t>The plan uses 24 science families, 12 three-turn teaching tasks and 12 three-probe authored memory trajectories. A/B/C/T/M contain 552 planned requests, including 24 human-confirmed oracle prerequisites. These are schedule sizes, not completed outcome counts.</w:t>
      </w:r>
    </w:p>
    <w:p>
      <w:r>
        <w:t>Private catalogues remain separate from public loaders and application inputs. Frozen schedules, source pools, configurations and durable reservations prevent outcome-based substitution and silent replay. Extraction and observation-gating checks remain separate from final answers.</w:t>
      </w:r>
    </w:p>
    <w:p>
      <w:r>
        <w:t>Two randomized reviewer forms retain every planned row with blank scores. Imports require actual independent-human attestations, distinct reviewer slots, applicable scores and timestamps. Immutable revisions and separate adjudication preserve original disagreements. The team supplies actual reviewer identities and oracle confirmations.</w:t>
      </w:r>
    </w:p>
    <w:p>
      <w:pPr>
        <w:pStyle w:val="Heading1"/>
      </w:pPr>
      <w:r>
        <w:t>Interfaces and operation</w:t>
      </w:r>
    </w:p>
    <w:p>
      <w:r>
        <w:t>All owners supply exact versions and failures. Source owners freeze evidence, Sijin records purpose/usage, Pengyuan defines memory precedence, Zeping preserves state, and Baiqing supplies UI observations. Real reviewers provide judgments unavailable from automated tools.</w:t>
      </w:r>
    </w:p>
    <w:p>
      <w:pPr>
        <w:pStyle w:val="ListBullet"/>
      </w:pPr>
      <w:r>
        <w:t>Verify source, policy, model and case hashes before starting or resuming.</w:t>
      </w:r>
    </w:p>
    <w:p>
      <w:pPr>
        <w:pStyle w:val="ListBullet"/>
      </w:pPr>
      <w:r>
        <w:t>Reconcile planned, attempted, delivered, failed, unexecuted and judged rows with usage/cost.</w:t>
      </w:r>
    </w:p>
    <w:p>
      <w:pPr>
        <w:pStyle w:val="ListBullet"/>
      </w:pPr>
      <w:r>
        <w:t>Distribute blinded materials, import genuine independent ratings and retain disagreements before adjudication.</w:t>
      </w:r>
    </w:p>
    <w:p>
      <w:pPr>
        <w:pStyle w:val="Heading1"/>
      </w:pPr>
      <w:r>
        <w:t>Verification and findings</w:t>
      </w:r>
    </w:p>
    <w:p>
      <w:r>
        <w:t>The software and evaluation records keep several denominators separate. The final gate contains 828 Python tests and 86 frontend tests, while targeted suites overlap those totals. The original registry retains 108 tasks, 60 acceptance checks and 12 responsive rows without converting identifier preservation into a universal acceptance result.</w:t>
      </w:r>
    </w:p>
    <w:p>
      <w:r>
        <w:t>All 552 scheduled outcomes across 18 arms are retained: 346 answers, five clarifications, 177 failures and 24 human-oracle waits. The report preserves automatic-judge coverage and all-planned conservative comparisons; independent human ratings remain zero.</w:t>
      </w:r>
    </w:p>
    <w:p>
      <w:r>
        <w:t>The memory harness preserves original M2 writer/reader behaviour, shares one typed writer between M3 and M4, and checks frozen extraction and gating inputs before execution. Durable reservations and persisted stop-state replay protect resumed runs. Private expected labels are excluded from generation requests, and the isolated public-test successor uses separate authored fixtures.</w:t>
      </w:r>
    </w:p>
    <w:p>
      <w:r>
        <w:t>The browser and installation evidence adds operational observations independent of the model-study outcomes. Mock Models receipts and real DeepSeek receipts are labelled separately. The CPU resource and public-source parity record gives exact bytes for reproduction while preserving the earlier checkpoints and failure records.</w:t>
      </w:r>
    </w:p>
    <w:p>
      <w:r>
        <w:t>The public-tree audit exposed and retained 42 missing-fixture failures. A tests-only correction preserved all 257 assertion expressions and 54 test function identities across five modules. The affected 64 checks then passed, followed by all 828 Python checks and 86 frontend checks with zero skips. Installing the existing optional Parquet lock enabled both acquisition checks; production and evaluation-engine source hashes remained unchanged.</w:t>
      </w:r>
    </w:p>
    <w:p>
      <w:r>
        <w:t>The completed numerical report retains all planned outcomes for the assigned studies, including failures and human-dependent oracle cases. Domain accountability does not imply that the member personally executed the recorded automated work.</w:t>
      </w:r>
    </w:p>
    <w:p>
      <w:r>
        <w:t>B2 minus B1: +25.00 percentage points (95% paired cluster interval +0.00 to +50.00); positive observed difference. Conservative successes 13/24 versus 7/24; 24 paired families/trajectories. T2 minus T1: -16.67 percentage points (95% paired cluster interval -36.11 to +2.78); negative observed difference. Conservative successes 19/36 versus 25/36; 12 paired families/trajectories. M4 minus M3: -2.78 percentage points (95% paired cluster interval -13.89 to +8.33); negative observed difference. Conservative successes 20/36 versus 21/36; 12 paired families/trajectories.</w:t>
      </w:r>
    </w:p>
    <w:p>
      <w:r>
        <w:t>Final archive reconstruction identified one packaging rule error: the verified official corpus.jsonl.gz resource was present in the full archive but excluded from the virtual baseline. The release utility now retains that exact resource, and its existing ZIP round-trip check uses a gzip corpus fixture. Other archives remain excluded. A fresh full software gate and source/resource parity passed after this release-only correction; the scientific generator, checker and evaluator engine remain unchanged.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00" w:type="dxa"/>
          <w:right w:w="100" w:type="dxa"/>
        </w:tblCellMar>
      </w:tblPr>
      <w:tblGrid>
        <w:gridCol w:w="6336"/>
        <w:gridCol w:w="1872"/>
        <w:gridCol w:w="1872"/>
      </w:tblGrid>
      <w:tr>
        <w:trPr>
          <w:tblHeader/>
          <w:cantSplit/>
        </w:trPr>
        <w:tc>
          <w:tcPr>
            <w:tcW w:type="dxa" w:w="6336"/>
            <w:vAlign w:val="center"/>
            <w:shd w:fill="213B50"/>
          </w:tcPr>
          <w:p>
            <w:pPr>
              <w:keepNext/>
              <w:spacing w:before="40" w:after="40" w:line="252" w:lineRule="auto"/>
              <w:jc w:val="left"/>
            </w:pPr>
            <w:r>
              <w:rPr>
                <w:b/>
                <w:color w:val="FFFFFF"/>
                <w:sz w:val="20"/>
              </w:rPr>
              <w:t>Study</w:t>
            </w:r>
          </w:p>
        </w:tc>
        <w:tc>
          <w:tcPr>
            <w:tcW w:type="dxa" w:w="1872"/>
            <w:vAlign w:val="center"/>
            <w:shd w:fill="213B50"/>
          </w:tcPr>
          <w:p>
            <w:pPr>
              <w:keepNext/>
              <w:spacing w:before="40" w:after="40" w:line="252" w:lineRule="auto"/>
              <w:jc w:val="center"/>
            </w:pPr>
            <w:r>
              <w:rPr>
                <w:b/>
                <w:color w:val="FFFFFF"/>
                <w:sz w:val="20"/>
              </w:rPr>
              <w:t>Recorded</w:t>
            </w:r>
          </w:p>
        </w:tc>
        <w:tc>
          <w:tcPr>
            <w:tcW w:type="dxa" w:w="1872"/>
            <w:vAlign w:val="center"/>
            <w:shd w:fill="213B50"/>
          </w:tcPr>
          <w:p>
            <w:pPr>
              <w:keepNext/>
              <w:spacing w:before="40" w:after="40" w:line="252" w:lineRule="auto"/>
              <w:jc w:val="center"/>
            </w:pPr>
            <w:r>
              <w:rPr>
                <w:b/>
                <w:color w:val="FFFFFF"/>
                <w:sz w:val="20"/>
              </w:rPr>
              <w:t>Planned</w:t>
            </w:r>
          </w:p>
        </w:tc>
      </w:tr>
      <w:tr>
        <w:trPr>
          <w:cantSplit/>
        </w:trPr>
        <w:tc>
          <w:tcPr>
            <w:tcW w:type="dxa" w:w="6336"/>
            <w:vAlign w:val="center"/>
            <w:shd w:fill="FFFFFF"/>
          </w:tcPr>
          <w:p>
            <w:pPr>
              <w:keepNext w:val="0"/>
              <w:spacing w:before="40" w:after="40" w:line="252" w:lineRule="auto"/>
              <w:jc w:val="left"/>
            </w:pPr>
            <w:r>
              <w:rPr>
                <w:b w:val="0"/>
                <w:color w:val="000000"/>
                <w:sz w:val="20"/>
              </w:rPr>
              <w:t>Study A Supplied Information Diagnosis</w:t>
            </w:r>
          </w:p>
        </w:tc>
        <w:tc>
          <w:tcPr>
            <w:tcW w:type="dxa" w:w="1872"/>
            <w:vAlign w:val="center"/>
            <w:shd w:fill="FFFFFF"/>
          </w:tcPr>
          <w:p>
            <w:pPr>
              <w:keepNext w:val="0"/>
              <w:spacing w:before="40" w:after="40" w:line="252" w:lineRule="auto"/>
              <w:jc w:val="center"/>
            </w:pPr>
            <w:r>
              <w:rPr>
                <w:b w:val="0"/>
                <w:color w:val="000000"/>
                <w:sz w:val="20"/>
              </w:rPr>
              <w:t>72</w:t>
            </w:r>
          </w:p>
        </w:tc>
        <w:tc>
          <w:tcPr>
            <w:tcW w:type="dxa" w:w="1872"/>
            <w:vAlign w:val="center"/>
            <w:shd w:fill="FFFFFF"/>
          </w:tcPr>
          <w:p>
            <w:pPr>
              <w:keepNext w:val="0"/>
              <w:spacing w:before="40" w:after="40" w:line="252" w:lineRule="auto"/>
              <w:jc w:val="center"/>
            </w:pPr>
            <w:r>
              <w:rPr>
                <w:b w:val="0"/>
                <w:color w:val="000000"/>
                <w:sz w:val="20"/>
              </w:rPr>
              <w:t>72</w:t>
            </w:r>
          </w:p>
        </w:tc>
      </w:tr>
      <w:tr>
        <w:trPr>
          <w:cantSplit/>
        </w:trPr>
        <w:tc>
          <w:tcPr>
            <w:tcW w:type="dxa" w:w="6336"/>
            <w:vAlign w:val="center"/>
            <w:shd w:fill="F2F5F7"/>
          </w:tcPr>
          <w:p>
            <w:pPr>
              <w:keepNext w:val="0"/>
              <w:spacing w:before="40" w:after="40" w:line="252" w:lineRule="auto"/>
              <w:jc w:val="left"/>
            </w:pPr>
            <w:r>
              <w:rPr>
                <w:b w:val="0"/>
                <w:color w:val="000000"/>
                <w:sz w:val="20"/>
              </w:rPr>
              <w:t>Study B Textbook Reliability</w:t>
            </w:r>
          </w:p>
        </w:tc>
        <w:tc>
          <w:tcPr>
            <w:tcW w:type="dxa" w:w="1872"/>
            <w:vAlign w:val="center"/>
            <w:shd w:fill="F2F5F7"/>
          </w:tcPr>
          <w:p>
            <w:pPr>
              <w:keepNext w:val="0"/>
              <w:spacing w:before="40" w:after="40" w:line="252" w:lineRule="auto"/>
              <w:jc w:val="center"/>
            </w:pPr>
            <w:r>
              <w:rPr>
                <w:b w:val="0"/>
                <w:color w:val="000000"/>
                <w:sz w:val="20"/>
              </w:rPr>
              <w:t>72</w:t>
            </w:r>
          </w:p>
        </w:tc>
        <w:tc>
          <w:tcPr>
            <w:tcW w:type="dxa" w:w="1872"/>
            <w:vAlign w:val="center"/>
            <w:shd w:fill="F2F5F7"/>
          </w:tcPr>
          <w:p>
            <w:pPr>
              <w:keepNext w:val="0"/>
              <w:spacing w:before="40" w:after="40" w:line="252" w:lineRule="auto"/>
              <w:jc w:val="center"/>
            </w:pPr>
            <w:r>
              <w:rPr>
                <w:b w:val="0"/>
                <w:color w:val="000000"/>
                <w:sz w:val="20"/>
              </w:rPr>
              <w:t>72</w:t>
            </w:r>
          </w:p>
        </w:tc>
      </w:tr>
      <w:tr>
        <w:trPr>
          <w:cantSplit/>
        </w:trPr>
        <w:tc>
          <w:tcPr>
            <w:tcW w:type="dxa" w:w="6336"/>
            <w:vAlign w:val="center"/>
            <w:shd w:fill="FFFFFF"/>
          </w:tcPr>
          <w:p>
            <w:pPr>
              <w:keepNext w:val="0"/>
              <w:spacing w:before="40" w:after="40" w:line="252" w:lineRule="auto"/>
              <w:jc w:val="left"/>
            </w:pPr>
            <w:r>
              <w:rPr>
                <w:b w:val="0"/>
                <w:color w:val="000000"/>
                <w:sz w:val="20"/>
              </w:rPr>
              <w:t>Study C Packing and Repair Ablations</w:t>
            </w:r>
          </w:p>
        </w:tc>
        <w:tc>
          <w:tcPr>
            <w:tcW w:type="dxa" w:w="1872"/>
            <w:vAlign w:val="center"/>
            <w:shd w:fill="FFFFFF"/>
          </w:tcPr>
          <w:p>
            <w:pPr>
              <w:keepNext w:val="0"/>
              <w:spacing w:before="40" w:after="40" w:line="252" w:lineRule="auto"/>
              <w:jc w:val="center"/>
            </w:pPr>
            <w:r>
              <w:rPr>
                <w:b w:val="0"/>
                <w:color w:val="000000"/>
                <w:sz w:val="20"/>
              </w:rPr>
              <w:t>48</w:t>
            </w:r>
          </w:p>
        </w:tc>
        <w:tc>
          <w:tcPr>
            <w:tcW w:type="dxa" w:w="1872"/>
            <w:vAlign w:val="center"/>
            <w:shd w:fill="FFFFFF"/>
          </w:tcPr>
          <w:p>
            <w:pPr>
              <w:keepNext w:val="0"/>
              <w:spacing w:before="40" w:after="40" w:line="252" w:lineRule="auto"/>
              <w:jc w:val="center"/>
            </w:pPr>
            <w:r>
              <w:rPr>
                <w:b w:val="0"/>
                <w:color w:val="000000"/>
                <w:sz w:val="20"/>
              </w:rPr>
              <w:t>48</w:t>
            </w:r>
          </w:p>
        </w:tc>
      </w:tr>
      <w:tr>
        <w:trPr>
          <w:cantSplit/>
        </w:trPr>
        <w:tc>
          <w:tcPr>
            <w:tcW w:type="dxa" w:w="6336"/>
            <w:vAlign w:val="center"/>
            <w:shd w:fill="F2F5F7"/>
          </w:tcPr>
          <w:p>
            <w:pPr>
              <w:keepNext w:val="0"/>
              <w:spacing w:before="40" w:after="40" w:line="252" w:lineRule="auto"/>
              <w:jc w:val="left"/>
            </w:pPr>
            <w:r>
              <w:rPr>
                <w:b w:val="0"/>
                <w:color w:val="000000"/>
                <w:sz w:val="20"/>
              </w:rPr>
              <w:t>Study T Teaching Control</w:t>
            </w:r>
          </w:p>
        </w:tc>
        <w:tc>
          <w:tcPr>
            <w:tcW w:type="dxa" w:w="1872"/>
            <w:vAlign w:val="center"/>
            <w:shd w:fill="F2F5F7"/>
          </w:tcPr>
          <w:p>
            <w:pPr>
              <w:keepNext w:val="0"/>
              <w:spacing w:before="40" w:after="40" w:line="252" w:lineRule="auto"/>
              <w:jc w:val="center"/>
            </w:pPr>
            <w:r>
              <w:rPr>
                <w:b w:val="0"/>
                <w:color w:val="000000"/>
                <w:sz w:val="20"/>
              </w:rPr>
              <w:t>180</w:t>
            </w:r>
          </w:p>
        </w:tc>
        <w:tc>
          <w:tcPr>
            <w:tcW w:type="dxa" w:w="1872"/>
            <w:vAlign w:val="center"/>
            <w:shd w:fill="F2F5F7"/>
          </w:tcPr>
          <w:p>
            <w:pPr>
              <w:keepNext w:val="0"/>
              <w:spacing w:before="40" w:after="40" w:line="252" w:lineRule="auto"/>
              <w:jc w:val="center"/>
            </w:pPr>
            <w:r>
              <w:rPr>
                <w:b w:val="0"/>
                <w:color w:val="000000"/>
                <w:sz w:val="20"/>
              </w:rPr>
              <w:t>180</w:t>
            </w:r>
          </w:p>
        </w:tc>
      </w:tr>
      <w:tr>
        <w:trPr>
          <w:cantSplit/>
        </w:trPr>
        <w:tc>
          <w:tcPr>
            <w:tcW w:type="dxa" w:w="6336"/>
            <w:vAlign w:val="center"/>
            <w:shd w:fill="FFFFFF"/>
          </w:tcPr>
          <w:p>
            <w:pPr>
              <w:keepNext w:val="0"/>
              <w:spacing w:before="40" w:after="40" w:line="252" w:lineRule="auto"/>
              <w:jc w:val="left"/>
            </w:pPr>
            <w:r>
              <w:rPr>
                <w:b w:val="0"/>
                <w:color w:val="000000"/>
                <w:sz w:val="20"/>
              </w:rPr>
              <w:t>Study M Learning Memory</w:t>
            </w:r>
          </w:p>
        </w:tc>
        <w:tc>
          <w:tcPr>
            <w:tcW w:type="dxa" w:w="1872"/>
            <w:vAlign w:val="center"/>
            <w:shd w:fill="FFFFFF"/>
          </w:tcPr>
          <w:p>
            <w:pPr>
              <w:keepNext w:val="0"/>
              <w:spacing w:before="40" w:after="40" w:line="252" w:lineRule="auto"/>
              <w:jc w:val="center"/>
            </w:pPr>
            <w:r>
              <w:rPr>
                <w:b w:val="0"/>
                <w:color w:val="000000"/>
                <w:sz w:val="20"/>
              </w:rPr>
              <w:t>180</w:t>
            </w:r>
          </w:p>
        </w:tc>
        <w:tc>
          <w:tcPr>
            <w:tcW w:type="dxa" w:w="1872"/>
            <w:vAlign w:val="center"/>
            <w:shd w:fill="FFFFFF"/>
          </w:tcPr>
          <w:p>
            <w:pPr>
              <w:keepNext w:val="0"/>
              <w:spacing w:before="40" w:after="40" w:line="252" w:lineRule="auto"/>
              <w:jc w:val="center"/>
            </w:pPr>
            <w:r>
              <w:rPr>
                <w:b w:val="0"/>
                <w:color w:val="000000"/>
                <w:sz w:val="20"/>
              </w:rPr>
              <w:t>180</w:t>
            </w:r>
          </w:p>
        </w:tc>
      </w:tr>
    </w:tbl>
    <w:p>
      <w:pPr>
        <w:spacing w:after="60"/>
      </w:pPr>
    </w:p>
    <w:p>
      <w:pPr>
        <w:pStyle w:val="Heading1"/>
      </w:pPr>
      <w:r>
        <w:t>Current limits</w:t>
      </w:r>
    </w:p>
    <w:p>
      <w:r>
        <w:t>Development repairs, software checks, automatic judgments and independent ratings have separate scopes. Authored cases have limited external validity and same-family judges can share errors. Human-dependent rows remain pending until actual evidence is supplied.</w:t>
      </w:r>
    </w:p>
    <w:p>
      <w:r>
        <w:t>Collect genuine blinded ratings and retain disagreements before separate adjudication. A1 judge applicability needs a separately registered correction; wider device and learning claims require additional observations.</w:t>
      </w:r>
    </w:p>
    <w:p>
      <w:pPr>
        <w:pStyle w:val="Heading1"/>
      </w:pPr>
      <w:r>
        <w:t>Week 9 goals</w:t>
      </w:r>
    </w:p>
    <w:p>
      <w:pPr>
        <w:pStyle w:val="ListBullet"/>
      </w:pPr>
      <w:r>
        <w:t>Collect missing oracle confirmations and independent reviews.</w:t>
      </w:r>
    </w:p>
    <w:p>
      <w:pPr>
        <w:pStyle w:val="ListBullet"/>
      </w:pPr>
      <w:r>
        <w:t>Analyze paired task/trajectory effects with complete denominators and uncertainty.</w:t>
      </w:r>
    </w:p>
    <w:p>
      <w:pPr>
        <w:pStyle w:val="ListBullet"/>
      </w:pPr>
      <w:r>
        <w:t>Register additional educational or provider studies separately.</w:t>
      </w:r>
    </w:p>
    <w:p>
      <w:pPr>
        <w:pStyle w:val="Heading1"/>
      </w:pPr>
      <w:r>
        <w:t>Code and evidence</w:t>
      </w:r>
    </w:p>
    <w:p>
      <w:r>
        <w:t>Module paths: evaluation/memory_v2/protocol.py; evaluation/memory_v2/runner.py; evaluation/memory_v2/analysis.py; evaluation/memory_v2/judging.py; evaluation/memory_v2/review.py; evaluation/memory_v2/memory_study.py.</w:t>
      </w:r>
    </w:p>
    <w:p>
      <w:r>
        <w:t>Codex performed the implementation, automated checks and recorded local browser verification through the shared project workflow. The eight reports follow the original accountable domains; member submissions and independent human reviews retain their own execution records.</w:t>
      </w:r>
    </w:p>
    <w:p>
      <w:pPr>
        <w:keepNext/>
      </w:pPr>
      <w:r>
        <w:t>Final integrated public source software gate. 828 Python tests, 86 frontend tests, all eight stages passed with no skips and unchanged captured successor source</w:t>
      </w:r>
    </w:p>
    <w:p>
      <w:pPr>
        <w:keepNext/>
        <w:spacing w:after="80"/>
      </w:pPr>
      <w:r>
        <w:rPr>
          <w:sz w:val="18"/>
        </w:rPr>
        <w:t>evidence/week08-memory-v2/20260921/software-gate-release-final-20260922/software_gate.json</w:t>
      </w:r>
    </w:p>
    <w:p>
      <w:pPr>
        <w:keepNext w:val="0"/>
        <w:spacing w:after="80"/>
      </w:pPr>
      <w:r>
        <w:rPr>
          <w:sz w:val="18"/>
        </w:rPr>
        <w:t>SHA256 9d769c3006a8f7800678abcab474429895568d9834037ce4f2894d3f3bf01fd3</w:t>
      </w:r>
    </w:p>
    <w:p>
      <w:pPr>
        <w:keepNext/>
      </w:pPr>
      <w:r>
        <w:t>Original task and acceptance identifiers retained. 180 new scoped observations preserve 108 original tasks, 60 acceptance IDs, 12 responsive rows and their prior statuses and evidence history</w:t>
      </w:r>
    </w:p>
    <w:p>
      <w:pPr>
        <w:keepNext/>
        <w:spacing w:after="80"/>
      </w:pPr>
      <w:r>
        <w:rPr>
          <w:sz w:val="18"/>
        </w:rPr>
        <w:t>evidence/week08-memory-v2/20260921/ledger-release-final-20260922/summary.json</w:t>
      </w:r>
    </w:p>
    <w:p>
      <w:pPr>
        <w:keepNext w:val="0"/>
        <w:spacing w:after="80"/>
      </w:pPr>
      <w:r>
        <w:rPr>
          <w:sz w:val="18"/>
        </w:rPr>
        <w:t>SHA256 dece23c448b4b773a78fae3e002899cbeda07d3991f66c324285c4e5d30e3012</w:t>
      </w:r>
    </w:p>
    <w:p>
      <w:pPr>
        <w:keepNext/>
      </w:pPr>
      <w:r>
        <w:t>Memory implementation checkpoint. 45 focused Python checks and the dated component/build/browser checkpoint; the recorded pre-formal status belongs to this earlier checkpoint.</w:t>
      </w:r>
    </w:p>
    <w:p>
      <w:pPr>
        <w:keepNext/>
        <w:spacing w:after="80"/>
      </w:pPr>
      <w:r>
        <w:rPr>
          <w:sz w:val="18"/>
        </w:rPr>
        <w:t>evidence/week08-memory-v2/20260921/memory/implementation-checkpoint.json</w:t>
      </w:r>
    </w:p>
    <w:p>
      <w:pPr>
        <w:keepNext w:val="0"/>
        <w:spacing w:after="80"/>
      </w:pPr>
      <w:r>
        <w:rPr>
          <w:sz w:val="18"/>
        </w:rPr>
        <w:t>SHA256 879a6ed51d67605fd9fad3a11388e689dad6198f5a6390e9ae49c09b6e9f0d43</w:t>
      </w:r>
    </w:p>
    <w:p>
      <w:pPr>
        <w:keepNext/>
      </w:pPr>
      <w:r>
        <w:t>Final public source and resource parity. 514 selected source and configuration files match the portable public tree; all 80 resources match the preserved bundle, including 30 model and tokenizer files also compared with main paths</w:t>
      </w:r>
    </w:p>
    <w:p>
      <w:pPr>
        <w:keepNext/>
        <w:spacing w:after="80"/>
      </w:pPr>
      <w:r>
        <w:rPr>
          <w:sz w:val="18"/>
        </w:rPr>
        <w:t>evidence/week08-memory-v2/20260921/portable/source-parity-release-final-20260922.json</w:t>
      </w:r>
    </w:p>
    <w:p>
      <w:pPr>
        <w:keepNext w:val="0"/>
        <w:spacing w:after="80"/>
      </w:pPr>
      <w:r>
        <w:rPr>
          <w:sz w:val="18"/>
        </w:rPr>
        <w:t>SHA256 66cb3799d646b1b9d52dea9f442538f6ca9560b44db9d7ebcc9419c6705c0ccb</w:t>
      </w:r>
    </w:p>
    <w:p>
      <w:pPr>
        <w:keepNext/>
      </w:pPr>
      <w:r>
        <w:t>Initial live DeepSeek role suites. Answer suite passed; initial checker suite failed. Both original outcomes are retained; physical network location was unverified.</w:t>
      </w:r>
    </w:p>
    <w:p>
      <w:pPr>
        <w:keepNext/>
        <w:spacing w:after="80"/>
      </w:pPr>
      <w:r>
        <w:rPr>
          <w:sz w:val="18"/>
        </w:rPr>
        <w:t>evidence/week08-memory-v2/20260921/providers/deepseek-staged-live-01/summary.json</w:t>
      </w:r>
    </w:p>
    <w:p>
      <w:pPr>
        <w:keepNext w:val="0"/>
        <w:spacing w:after="80"/>
      </w:pPr>
      <w:r>
        <w:rPr>
          <w:sz w:val="18"/>
        </w:rPr>
        <w:t>SHA256 bab9efab92967fe380264fc24b21ece7b11edc2f20bbb6315fdf85d6e2c29e76</w:t>
      </w:r>
    </w:p>
    <w:p>
      <w:pPr>
        <w:keepNext/>
      </w:pPr>
      <w:r>
        <w:t>Preserved private-fixture dependency failures. Unchanged public tests: 42 missing-input failures, 784 passing tests and two optional Parquet skips; seven other stages passed.</w:t>
      </w:r>
    </w:p>
    <w:p>
      <w:pPr>
        <w:keepNext/>
        <w:spacing w:after="80"/>
      </w:pPr>
      <w:r>
        <w:rPr>
          <w:sz w:val="18"/>
        </w:rPr>
        <w:t>evidence/week08-memory-v2/20260921/public-distribution-attempt2/summary.json</w:t>
      </w:r>
    </w:p>
    <w:p>
      <w:pPr>
        <w:keepNext w:val="0"/>
        <w:spacing w:after="80"/>
      </w:pPr>
      <w:r>
        <w:rPr>
          <w:sz w:val="18"/>
        </w:rPr>
        <w:t>SHA256 195d5683a2e4b7dee1690b63ccc49ca1423db6001c650e9bdcb52fb75a2b7398</w:t>
      </w:r>
    </w:p>
    <w:p>
      <w:pPr>
        <w:keepNext/>
      </w:pPr>
      <w:r>
        <w:t>Focused public fixture verification. 64 affected checks passed, including real isolated PostgreSQL and both Parquet acquisition checks; zero skips or external provider calls.</w:t>
      </w:r>
    </w:p>
    <w:p>
      <w:pPr>
        <w:keepNext/>
        <w:spacing w:after="80"/>
      </w:pPr>
      <w:r>
        <w:rPr>
          <w:sz w:val="18"/>
        </w:rPr>
        <w:t>evidence/week08-memory-v2/20260921/public-distribution-focused1/summary.json</w:t>
      </w:r>
    </w:p>
    <w:p>
      <w:pPr>
        <w:keepNext w:val="0"/>
        <w:spacing w:after="80"/>
      </w:pPr>
      <w:r>
        <w:rPr>
          <w:sz w:val="18"/>
        </w:rPr>
        <w:t>SHA256 cf48ba9a3933f8e59f0529b4b1fc6607e35d4ca02994305eded54c04b239a096</w:t>
      </w:r>
    </w:p>
    <w:p>
      <w:pPr>
        <w:keepNext/>
      </w:pPr>
      <w:r>
        <w:t>Public distribution software gate. Isolated public tree with tests-only successor: 828 Python, 86 frontend, eight stages passed and zero skips; main source unchanged.</w:t>
      </w:r>
    </w:p>
    <w:p>
      <w:pPr>
        <w:keepNext/>
        <w:spacing w:after="80"/>
      </w:pPr>
      <w:r>
        <w:rPr>
          <w:sz w:val="18"/>
        </w:rPr>
        <w:t>evidence/week08-memory-v2/20260921/public-distribution-attempt3/summary.json</w:t>
      </w:r>
    </w:p>
    <w:p>
      <w:pPr>
        <w:keepNext w:val="0"/>
        <w:spacing w:after="80"/>
      </w:pPr>
      <w:r>
        <w:rPr>
          <w:sz w:val="18"/>
        </w:rPr>
        <w:t>SHA256 c1dd7e35881e8b8d4a8586f7b2464f887def6dc129fb2a688796cba7cab5792a</w:t>
      </w:r>
    </w:p>
    <w:p>
      <w:pPr>
        <w:keepNext/>
      </w:pPr>
      <w:r>
        <w:t>Tests-only patch and invariant verification. Five public test modules and two independent helpers preserve all 257 assertion expressions and 54 test functions. The final successor gate captures the integrated bytes.</w:t>
      </w:r>
    </w:p>
    <w:p>
      <w:pPr>
        <w:keepNext/>
        <w:spacing w:after="80"/>
      </w:pPr>
      <w:r>
        <w:rPr>
          <w:sz w:val="18"/>
        </w:rPr>
        <w:t>evidence/week08-memory-v2/20260921/public-distribution-attempt3/test-patch-verification.json</w:t>
      </w:r>
    </w:p>
    <w:p>
      <w:pPr>
        <w:keepNext w:val="0"/>
        <w:spacing w:after="80"/>
      </w:pPr>
      <w:r>
        <w:rPr>
          <w:sz w:val="18"/>
        </w:rPr>
        <w:t>SHA256 cbd1453741144173c9be792053d50bde67c5b14c644c3d2a9dc62a1f8ba78fb8</w:t>
      </w:r>
    </w:p>
    <w:p>
      <w:pPr>
        <w:keepNext/>
      </w:pPr>
      <w:r>
        <w:t>Registered automatic study results. 552 scheduled requests across 18 arms; all generation and offline judgment outcomes retained; independent human ratings zero</w:t>
      </w:r>
    </w:p>
    <w:p>
      <w:pPr>
        <w:keepNext/>
        <w:spacing w:after="80"/>
      </w:pPr>
      <w:r>
        <w:rPr>
          <w:sz w:val="18"/>
        </w:rPr>
        <w:t>evidence/week08-memory-v2/20260921/formal/public-results.json</w:t>
      </w:r>
    </w:p>
    <w:p>
      <w:pPr>
        <w:keepNext w:val="0"/>
        <w:spacing w:after="80"/>
      </w:pPr>
      <w:r>
        <w:rPr>
          <w:sz w:val="18"/>
        </w:rPr>
        <w:t>SHA256 b470c9c5df020d3dd7dae9625fdfabc82afdf60569f33a3d62c84a5ea340e7f6</w:t>
      </w:r>
    </w:p>
    <w:p>
      <w:pPr>
        <w:keepNext/>
      </w:pPr>
      <w:r>
        <w:t>Actual blank blinded review export. Two randomized 552-row reviewer slots; zero completed or imported ratings</w:t>
      </w:r>
    </w:p>
    <w:p>
      <w:pPr>
        <w:keepNext/>
        <w:spacing w:after="80"/>
      </w:pPr>
      <w:r>
        <w:rPr>
          <w:sz w:val="18"/>
        </w:rPr>
        <w:t>evidence/week08-memory-v2/20260921/formal/review-export-verification.json</w:t>
      </w:r>
    </w:p>
    <w:p>
      <w:pPr>
        <w:keepNext w:val="0"/>
        <w:spacing w:after="80"/>
      </w:pPr>
      <w:r>
        <w:rPr>
          <w:sz w:val="18"/>
        </w:rPr>
        <w:t>SHA256 9f9f675f3f00a30b7e64745be7d9ef0f2d2786295fb2cbdbc5a6a43041a75b5a</w:t>
      </w:r>
    </w:p>
    <w:p>
      <w:pPr>
        <w:keepNext/>
      </w:pPr>
      <w:r>
        <w:t>Reconciled actual attempt accounting. Development, provider diagnosis, extraction, summary, formal answers and offline judging; dated tariff estimates including failures</w:t>
      </w:r>
    </w:p>
    <w:p>
      <w:pPr>
        <w:keepNext/>
        <w:spacing w:after="80"/>
      </w:pPr>
      <w:r>
        <w:rPr>
          <w:sz w:val="18"/>
        </w:rPr>
        <w:t>evidence/week08-memory-v2/20260921/accounting/final.json</w:t>
      </w:r>
    </w:p>
    <w:p>
      <w:pPr>
        <w:keepNext w:val="0"/>
        <w:spacing w:after="80"/>
      </w:pPr>
      <w:r>
        <w:rPr>
          <w:sz w:val="18"/>
        </w:rPr>
        <w:t>SHA256 eb79da9c78412c5ce5d7196d18ffea6df5aa53d97eca336e07cacde82def7559</w:t>
      </w:r>
    </w:p>
    <w:p>
      <w:pPr>
        <w:keepNext/>
      </w:pPr>
      <w:r>
        <w:t>Independent numerical reconciliation. Independent recalculation of retained scalar outcomes, primary contrasts, failure counts, cost and latency scope</w:t>
      </w:r>
    </w:p>
    <w:p>
      <w:pPr>
        <w:keepNext/>
        <w:spacing w:after="80"/>
      </w:pPr>
      <w:r>
        <w:rPr>
          <w:sz w:val="18"/>
        </w:rPr>
        <w:t>evidence/week08-memory-v2/20260921/formal/numerical-review.json</w:t>
      </w:r>
    </w:p>
    <w:p>
      <w:pPr>
        <w:keepNext w:val="0"/>
        <w:spacing w:after="80"/>
      </w:pPr>
      <w:r>
        <w:rPr>
          <w:sz w:val="18"/>
        </w:rPr>
        <w:t>SHA256 3833b4899a8850cdd4c81368b84fafbf73e8b1d81774abed87adf46b8908b2ef</w:t>
      </w:r>
    </w:p>
    <w:p>
      <w:pPr>
        <w:keepNext/>
      </w:pPr>
      <w:r>
        <w:t>Official corpus archive reconstruction correction. One exact verified runtime gzip resource retained in baseline reconstruction; unrelated archives stay excluded; focused regression, full gate and preserved failed ZIP attempt</w:t>
      </w:r>
    </w:p>
    <w:p>
      <w:pPr>
        <w:keepNext/>
        <w:spacing w:after="80"/>
      </w:pPr>
      <w:r>
        <w:rPr>
          <w:sz w:val="18"/>
        </w:rPr>
        <w:t>evidence/week08-memory-v2/20260921/packaging/release-fix-verification.json</w:t>
      </w:r>
    </w:p>
    <w:p>
      <w:pPr>
        <w:keepNext w:val="0"/>
        <w:spacing w:after="80"/>
      </w:pPr>
      <w:r>
        <w:rPr>
          <w:sz w:val="18"/>
        </w:rPr>
        <w:t>SHA256 4f4f7b27c68510fcb8a31b9d5631b28b3ddf5bde1b034250b6d5495e2fcdd238</w:t>
      </w:r>
    </w:p>
    <w:sectPr w:rsidR="00FC693F" w:rsidRPr="0006063C" w:rsidSect="00034616">
      <w:headerReference w:type="default" r:id="rId9"/>
      <w:footerReference w:type="default" r:id="rId10"/>
      <w:pgSz w:w="12240" w:h="15840"/>
      <w:pgMar w:top="1037" w:right="1080" w:bottom="1037"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Personalised AI Learning Assistant Using Retrieval-Augmented Generation and Large Language Models</w:t>
      <w:br/>
    </w:r>
    <w:r>
      <w:t xml:space="preserve">2026-09-22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CS 30 1     Week 8 learning enhancement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9" w:lineRule="auto"/>
    </w:pPr>
    <w:rPr>
      <w:rFonts w:ascii="Arial" w:hAnsi="Arial"/>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9" w:lineRule="auto"/>
    </w:pPr>
    <w:rPr>
      <w:rFonts w:ascii="Arial" w:hAnsi="Arial"/>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9" w:lineRule="auto"/>
    </w:pPr>
    <w:rPr>
      <w:rFonts w:ascii="Arial" w:hAnsi="Arial"/>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60" w:after="140" w:line="259"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60" w:after="140" w:line="259"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40" w:line="259" w:lineRule="auto" w:before="0"/>
      <w:contextualSpacing/>
    </w:pPr>
    <w:rPr>
      <w:rFonts w:asciiTheme="majorHAnsi" w:eastAsiaTheme="majorEastAsia" w:hAnsiTheme="majorHAnsi" w:cstheme="majorBidi" w:ascii="Arial" w:hAnsi="Arial"/>
      <w:b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40" w:line="259"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8 Work Report</dc:title>
  <dc:subject>Evidence-linked Week 8 enhancement report</dc:subject>
  <dc:creator>CS 30 1 shared project workflow</dc:creator>
  <cp:keywords/>
  <dc:description>generated by python-docx</dc:description>
  <cp:lastModifiedBy>CS 30 1 report builder</cp:lastModifiedBy>
  <cp:revision>1</cp:revision>
  <dcterms:created xsi:type="dcterms:W3CDTF">2013-12-23T23:15:00Z</dcterms:created>
  <dcterms:modified xsi:type="dcterms:W3CDTF">2013-12-23T23:15:00Z</dcterms:modified>
  <cp:category/>
</cp:coreProperties>
</file>