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DeepSeek开发实战完全指南</w:t>
      </w:r>
    </w:p>
    <w:p>
      <w:pPr>
        <w:pStyle w:val="Heading1"/>
      </w:pPr>
      <w:r>
        <w:t>一、DeepSeek概述</w:t>
      </w:r>
    </w:p>
    <w:p>
      <w:r>
        <w:t>DeepSeek（深度求索）是国内领先的人工智能大模型服务商，致力于为开发者和企业提供高性能、低成本的大语言模型API服务。DeepSeek系列模型以其卓越的推理能力、超长上下文支持和极具竞争力的定价策略，在全球AI开发者社区中获得了广泛关注和认可。</w:t>
      </w:r>
    </w:p>
    <w:p>
      <w:pPr>
        <w:pStyle w:val="Heading2"/>
      </w:pPr>
      <w:r>
        <w:t>1.1 什么是DeepSeek</w:t>
      </w:r>
    </w:p>
    <w:p>
      <w:r>
        <w:t>DeepSeek由深度求索公司开发，是一家专注于人工智能基础研究与应用的创新型企业。DeepSeek API完全兼容OpenAI接口格式，这意味着开发者可以使用OpenAI SDK、Anthropic SDK或其他兼容OpenAI API的工具直接接入DeepSeek服务，极大地降低了迁移和学习成本。</w:t>
      </w:r>
    </w:p>
    <w:p>
      <w:pPr>
        <w:pStyle w:val="Heading2"/>
      </w:pPr>
      <w:r>
        <w:t>1.2 DeepSeek模型家族</w:t>
      </w:r>
    </w:p>
    <w:p>
      <w:r>
        <w:t>DeepSeek提供了多款不同定位和能力的模型，开发者可以根据具体应用场景选择合适的模型：</w:t>
      </w:r>
    </w:p>
    <w:p>
      <w:pPr>
        <w:pStyle w:val="ListBullet"/>
      </w:pPr>
      <w:r>
        <w:t>DeepSeek-V3/V3.1：通用对话模型，在文本生成、代码编写、翻译等任务上表现优异</w:t>
      </w:r>
    </w:p>
    <w:p>
      <w:pPr>
        <w:pStyle w:val="ListBullet"/>
      </w:pPr>
      <w:r>
        <w:t>DeepSeek-R1/R1-0528：推理增强模型，在数学推理、逻辑分析等任务上表现卓越</w:t>
      </w:r>
    </w:p>
    <w:p>
      <w:pPr>
        <w:pStyle w:val="ListBullet"/>
      </w:pPr>
      <w:r>
        <w:t>DeepSeek-V4/V4 Pro：最新旗舰模型，融合V3通用能力和R1推理能力</w:t>
      </w:r>
    </w:p>
    <w:p>
      <w:pPr>
        <w:pStyle w:val="ListBullet"/>
      </w:pPr>
      <w:r>
        <w:t>DeepSeek-R1-Distill系列：蒸馏版推理模型，专为本地部署设计</w:t>
      </w:r>
    </w:p>
    <w:p>
      <w:pPr>
        <w:pStyle w:val="Heading2"/>
      </w:pPr>
      <w:r>
        <w:t>1.3 核心优势</w:t>
      </w:r>
    </w:p>
    <w:p>
      <w:pPr>
        <w:pStyle w:val="ListBullet"/>
      </w:pPr>
      <w:r>
        <w:t>极致性价比：API定价远低于国际主流模型，新用户注册即赠送大量免费Tokens</w:t>
      </w:r>
    </w:p>
    <w:p>
      <w:pPr>
        <w:pStyle w:val="ListBullet"/>
      </w:pPr>
      <w:r>
        <w:t>超长上下文：支持1M token上下文窗口，适合处理长文档等大规模输入场景</w:t>
      </w:r>
    </w:p>
    <w:p>
      <w:pPr>
        <w:pStyle w:val="ListBullet"/>
      </w:pPr>
      <w:r>
        <w:t>完全兼容OpenAI API：无需学习新接口，直接使用OpenAI SDK即可调用</w:t>
      </w:r>
    </w:p>
    <w:p>
      <w:pPr>
        <w:pStyle w:val="ListBullet"/>
      </w:pPr>
      <w:r>
        <w:t>开源开放：核心模型开源发布，支持本地部署和二次开发</w:t>
      </w:r>
    </w:p>
    <w:p>
      <w:pPr>
        <w:pStyle w:val="Heading1"/>
      </w:pPr>
      <w:r>
        <w:t>二、开发环境准备</w:t>
      </w:r>
    </w:p>
    <w:p>
      <w:pPr>
        <w:pStyle w:val="Heading2"/>
      </w:pPr>
      <w:r>
        <w:t>2.1 注册与获取API Key</w:t>
      </w:r>
    </w:p>
    <w:p>
      <w:r>
        <w:t>访问DeepSeek官方开放平台（platform.deepseek.com），使用邮箱或手机号完成注册。登录控制台后，在API Keys管理页面创建新的API Key并妥善保存。新用户注册后自动获赠免费Tokens（通常为10元或500万Tokens），足以满足学习和开发测试需求。</w:t>
      </w:r>
    </w:p>
    <w:p>
      <w:pPr>
        <w:pStyle w:val="Heading2"/>
      </w:pPr>
      <w:r>
        <w:t>2.2 安装Python SDK</w:t>
      </w:r>
    </w:p>
    <w:p>
      <w:r>
        <w:t>DeepSeek API兼容OpenAI格式，推荐直接使用OpenAI官方Python SDK：pip install openai。建议使用Python 3.8及以上版本。</w:t>
      </w:r>
    </w:p>
    <w:p>
      <w:pPr>
        <w:pStyle w:val="Heading2"/>
      </w:pPr>
      <w:r>
        <w:t>2.3 基础客户端配置</w:t>
      </w:r>
    </w:p>
    <w:p>
      <w:r>
        <w:t>配置客户端只需设置base_url和api_key两个参数。示例：from openai import OpenAI; client = OpenAI(api_key='your-key', base_url='https://api.deepseek.com')。建议将API Key存储在环境变量DEEPSEEK_API_KEY中，避免硬编码。</w:t>
      </w:r>
    </w:p>
    <w:p>
      <w:pPr>
        <w:pStyle w:val="Heading1"/>
      </w:pPr>
      <w:r>
        <w:t>三、API调用实战</w:t>
      </w:r>
    </w:p>
    <w:p>
      <w:pPr>
        <w:pStyle w:val="Heading2"/>
      </w:pPr>
      <w:r>
        <w:t>3.1 基础对话（非流式）</w:t>
      </w:r>
    </w:p>
    <w:p>
      <w:r>
        <w:t>非流式传输是最简单的调用方式，API一次性生成完整响应。示例：使用client.chat.completions.create()方法传入model、messages参数，设置stream=False即可。非流式模式适合批量文本处理、知识问答等场景。</w:t>
      </w:r>
    </w:p>
    <w:p>
      <w:pPr>
        <w:pStyle w:val="Heading2"/>
      </w:pPr>
      <w:r>
        <w:t>3.2 流式传输（Streaming）</w:t>
      </w:r>
    </w:p>
    <w:p>
      <w:r>
        <w:t>流式传输逐块接收模型输出，极大提升交互体验。将stream=True传入create()方法，然后在循环中逐块处理chunk.choices[0].delta.content的内容。流式模式在聊天机器人、代码生成等交互式场景中尤为重要。</w:t>
      </w:r>
    </w:p>
    <w:p>
      <w:pPr>
        <w:pStyle w:val="Heading2"/>
      </w:pPr>
      <w:r>
        <w:t>3.3 多轮对话</w:t>
      </w:r>
    </w:p>
    <w:p>
      <w:r>
        <w:t>多轮对话通过维护messages列表实现上下文记忆。每次调用后将assistant的回复append到列表中，再添加新的用户消息。需注意控制对话历史长度，建议对过长历史进行截断或摘要。</w:t>
      </w:r>
    </w:p>
    <w:p>
      <w:pPr>
        <w:pStyle w:val="Heading2"/>
      </w:pPr>
      <w:r>
        <w:t>3.4 核心参数调优</w:t>
      </w:r>
    </w:p>
    <w:p>
      <w:r>
        <w:t>DeepSeek API提供了多个可调参数来控制模型输出行为。合理调节这些参数可以显著提升输出质量和任务适配度。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取值范围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推荐值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控制输出随机性</w:t>
            </w:r>
          </w:p>
        </w:tc>
        <w:tc>
          <w:tcPr>
            <w:tcW w:type="dxa" w:w="1728"/>
          </w:tcPr>
          <w:p>
            <w:r>
              <w:t>0.0-2.0</w:t>
            </w:r>
          </w:p>
        </w:tc>
        <w:tc>
          <w:tcPr>
            <w:tcW w:type="dxa" w:w="1728"/>
          </w:tcPr>
          <w:p>
            <w:r>
              <w:t>0.3-0.7</w:t>
            </w:r>
          </w:p>
        </w:tc>
        <w:tc>
          <w:tcPr>
            <w:tcW w:type="dxa" w:w="1728"/>
          </w:tcPr>
          <w:p>
            <w:r>
              <w:t>越低越确定，越高越有创造力。代码用0.1-0.3，创意用0.7-1.0</w:t>
            </w:r>
          </w:p>
        </w:tc>
      </w:tr>
      <w:tr>
        <w:tc>
          <w:tcPr>
            <w:tcW w:type="dxa" w:w="1728"/>
          </w:tcPr>
          <w:p>
            <w:r>
              <w:t>top_p</w:t>
            </w:r>
          </w:p>
        </w:tc>
        <w:tc>
          <w:tcPr>
            <w:tcW w:type="dxa" w:w="1728"/>
          </w:tcPr>
          <w:p>
            <w:r>
              <w:t>核采样阈值</w:t>
            </w:r>
          </w:p>
        </w:tc>
        <w:tc>
          <w:tcPr>
            <w:tcW w:type="dxa" w:w="1728"/>
          </w:tcPr>
          <w:p>
            <w:r>
              <w:t>0.0-1.0</w:t>
            </w:r>
          </w:p>
        </w:tc>
        <w:tc>
          <w:tcPr>
            <w:tcW w:type="dxa" w:w="1728"/>
          </w:tcPr>
          <w:p>
            <w:r>
              <w:t>0.7-0.9</w:t>
            </w:r>
          </w:p>
        </w:tc>
        <w:tc>
          <w:tcPr>
            <w:tcW w:type="dxa" w:w="1728"/>
          </w:tcPr>
          <w:p>
            <w:r>
              <w:t>控制候选词的累积概率，与temperature二选一</w:t>
            </w:r>
          </w:p>
        </w:tc>
      </w:tr>
      <w:tr>
        <w:tc>
          <w:tcPr>
            <w:tcW w:type="dxa" w:w="1728"/>
          </w:tcPr>
          <w:p>
            <w:r>
              <w:t>max_tokens</w:t>
            </w:r>
          </w:p>
        </w:tc>
        <w:tc>
          <w:tcPr>
            <w:tcW w:type="dxa" w:w="1728"/>
          </w:tcPr>
          <w:p>
            <w:r>
              <w:t>最大输出长度</w:t>
            </w:r>
          </w:p>
        </w:tc>
        <w:tc>
          <w:tcPr>
            <w:tcW w:type="dxa" w:w="1728"/>
          </w:tcPr>
          <w:p>
            <w:r>
              <w:t>1-8192</w:t>
            </w:r>
          </w:p>
        </w:tc>
        <w:tc>
          <w:tcPr>
            <w:tcW w:type="dxa" w:w="1728"/>
          </w:tcPr>
          <w:p>
            <w:r>
              <w:t>按任务定</w:t>
            </w:r>
          </w:p>
        </w:tc>
        <w:tc>
          <w:tcPr>
            <w:tcW w:type="dxa" w:w="1728"/>
          </w:tcPr>
          <w:p>
            <w:r>
              <w:t>限制模型生成的最大Token数</w:t>
            </w:r>
          </w:p>
        </w:tc>
      </w:tr>
      <w:tr>
        <w:tc>
          <w:tcPr>
            <w:tcW w:type="dxa" w:w="1728"/>
          </w:tcPr>
          <w:p>
            <w:r>
              <w:t>frequency_penalty</w:t>
            </w:r>
          </w:p>
        </w:tc>
        <w:tc>
          <w:tcPr>
            <w:tcW w:type="dxa" w:w="1728"/>
          </w:tcPr>
          <w:p>
            <w:r>
              <w:t>频率惩罚</w:t>
            </w:r>
          </w:p>
        </w:tc>
        <w:tc>
          <w:tcPr>
            <w:tcW w:type="dxa" w:w="1728"/>
          </w:tcPr>
          <w:p>
            <w:r>
              <w:t>0.0-2.0</w:t>
            </w:r>
          </w:p>
        </w:tc>
        <w:tc>
          <w:tcPr>
            <w:tcW w:type="dxa" w:w="1728"/>
          </w:tcPr>
          <w:p>
            <w:r>
              <w:t>0.3-0.5</w:t>
            </w:r>
          </w:p>
        </w:tc>
        <w:tc>
          <w:tcPr>
            <w:tcW w:type="dxa" w:w="1728"/>
          </w:tcPr>
          <w:p>
            <w:r>
              <w:t>值越高越不易重复已出现词汇</w:t>
            </w:r>
          </w:p>
        </w:tc>
      </w:tr>
      <w:tr>
        <w:tc>
          <w:tcPr>
            <w:tcW w:type="dxa" w:w="1728"/>
          </w:tcPr>
          <w:p>
            <w:r>
              <w:t>presence_penalty</w:t>
            </w:r>
          </w:p>
        </w:tc>
        <w:tc>
          <w:tcPr>
            <w:tcW w:type="dxa" w:w="1728"/>
          </w:tcPr>
          <w:p>
            <w:r>
              <w:t>存在惩罚</w:t>
            </w:r>
          </w:p>
        </w:tc>
        <w:tc>
          <w:tcPr>
            <w:tcW w:type="dxa" w:w="1728"/>
          </w:tcPr>
          <w:p>
            <w:r>
              <w:t>0.0-2.0</w:t>
            </w:r>
          </w:p>
        </w:tc>
        <w:tc>
          <w:tcPr>
            <w:tcW w:type="dxa" w:w="1728"/>
          </w:tcPr>
          <w:p>
            <w:r>
              <w:t>0.3-0.5</w:t>
            </w:r>
          </w:p>
        </w:tc>
        <w:tc>
          <w:tcPr>
            <w:tcW w:type="dxa" w:w="1728"/>
          </w:tcPr>
          <w:p>
            <w:r>
              <w:t>值越高越倾向于讨论新话题</w:t>
            </w:r>
          </w:p>
        </w:tc>
      </w:tr>
      <w:tr>
        <w:tc>
          <w:tcPr>
            <w:tcW w:type="dxa" w:w="1728"/>
          </w:tcPr>
          <w:p>
            <w:r>
              <w:t>stream</w:t>
            </w:r>
          </w:p>
        </w:tc>
        <w:tc>
          <w:tcPr>
            <w:tcW w:type="dxa" w:w="1728"/>
          </w:tcPr>
          <w:p>
            <w:r>
              <w:t>是否流式输出</w:t>
            </w:r>
          </w:p>
        </w:tc>
        <w:tc>
          <w:tcPr>
            <w:tcW w:type="dxa" w:w="1728"/>
          </w:tcPr>
          <w:p>
            <w:r>
              <w:t>true/false</w:t>
            </w:r>
          </w:p>
        </w:tc>
        <w:tc>
          <w:tcPr>
            <w:tcW w:type="dxa" w:w="1728"/>
          </w:tcPr>
          <w:p>
            <w:r>
              <w:t>交互场景用true</w:t>
            </w:r>
          </w:p>
        </w:tc>
        <w:tc>
          <w:tcPr>
            <w:tcW w:type="dxa" w:w="1728"/>
          </w:tcPr>
          <w:p>
            <w:r>
              <w:t>true逐块返回，false一次性返回</w:t>
            </w:r>
          </w:p>
        </w:tc>
      </w:tr>
      <w:tr>
        <w:tc>
          <w:tcPr>
            <w:tcW w:type="dxa" w:w="1728"/>
          </w:tcPr>
          <w:p>
            <w:r>
              <w:t>reasoning_effort</w:t>
            </w:r>
          </w:p>
        </w:tc>
        <w:tc>
          <w:tcPr>
            <w:tcW w:type="dxa" w:w="1728"/>
          </w:tcPr>
          <w:p>
            <w:r>
              <w:t>推理力度(R1)</w:t>
            </w:r>
          </w:p>
        </w:tc>
        <w:tc>
          <w:tcPr>
            <w:tcW w:type="dxa" w:w="1728"/>
          </w:tcPr>
          <w:p>
            <w:r>
              <w:t>low/medium/high</w:t>
            </w:r>
          </w:p>
        </w:tc>
        <w:tc>
          <w:tcPr>
            <w:tcW w:type="dxa" w:w="1728"/>
          </w:tcPr>
          <w:p>
            <w:r>
              <w:t>按复杂度定</w:t>
            </w:r>
          </w:p>
        </w:tc>
        <w:tc>
          <w:tcPr>
            <w:tcW w:type="dxa" w:w="1728"/>
          </w:tcPr>
          <w:p>
            <w:r>
              <w:t>控制R1系列模型的推理深度</w:t>
            </w:r>
          </w:p>
        </w:tc>
      </w:tr>
    </w:tbl>
    <w:p>
      <w:r>
        <w:t>调优建议：代码生成用temperature=0.1-0.3；创意写作用0.7-0.8；事实问答用0.1-0.3配合top_p=0.5。</w:t>
      </w:r>
    </w:p>
    <w:p>
      <w:pPr>
        <w:pStyle w:val="Heading1"/>
      </w:pPr>
      <w:r>
        <w:t>四、进阶开发技巧</w:t>
      </w:r>
    </w:p>
    <w:p>
      <w:pPr>
        <w:pStyle w:val="Heading2"/>
      </w:pPr>
      <w:r>
        <w:t>4.1 Function Calling（函数调用）</w:t>
      </w:r>
    </w:p>
    <w:p>
      <w:r>
        <w:t>Function Calling允许开发者定义结构化函数，让模型识别需要调用函数的场景并返回结构化参数。它是构建AI Agent和工具使用的核心基础。典型应用场景包括天气查询（提取城市名和日期）、数据库查询（生成SQL参数）、日程管理（提取时间地点信息）等。</w:t>
      </w:r>
    </w:p>
    <w:p>
      <w:pPr>
        <w:pStyle w:val="Heading2"/>
      </w:pPr>
      <w:r>
        <w:t>4.2 前缀续写（Prefix Completion - Beta）</w:t>
      </w:r>
    </w:p>
    <w:p>
      <w:r>
        <w:t>前缀续写是DeepSeek的Beta特性，允许指定assistant消息的前缀来引导模型输出方向。使用前需将base_url设置为https://api.deepseek.com/beta。应用场景：生成纯代码、特定格式JSON输出、控制文本风格等。</w:t>
      </w:r>
    </w:p>
    <w:p>
      <w:pPr>
        <w:pStyle w:val="Heading2"/>
      </w:pPr>
      <w:r>
        <w:t>4.3 错误处理与重试机制</w:t>
      </w:r>
    </w:p>
    <w:p>
      <w:r>
        <w:t>生产环境中API调用可能因网络波动、服务限流等原因失败，完善的错误处理机制至关重要。</w:t>
      </w:r>
    </w:p>
    <w:p>
      <w:pPr>
        <w:pStyle w:val="ListBullet"/>
      </w:pPr>
      <w:r>
        <w:t>400 Bad Request：请求参数有误，检查messages格式、model名称等</w:t>
      </w:r>
    </w:p>
    <w:p>
      <w:pPr>
        <w:pStyle w:val="ListBullet"/>
      </w:pPr>
      <w:r>
        <w:t>401 Unauthorized：API Key无效或未正确设置</w:t>
      </w:r>
    </w:p>
    <w:p>
      <w:pPr>
        <w:pStyle w:val="ListBullet"/>
      </w:pPr>
      <w:r>
        <w:t>402 Payment Required：账户余额不足，需充值</w:t>
      </w:r>
    </w:p>
    <w:p>
      <w:pPr>
        <w:pStyle w:val="ListBullet"/>
      </w:pPr>
      <w:r>
        <w:t>429 Too Many Requests：请求频率过高，实施指数退避重试</w:t>
      </w:r>
    </w:p>
    <w:p>
      <w:pPr>
        <w:pStyle w:val="ListBullet"/>
      </w:pPr>
      <w:r>
        <w:t>500/502/503 Server Error：服务端临时问题，可重试最多3次</w:t>
      </w:r>
    </w:p>
    <w:p>
      <w:pPr>
        <w:pStyle w:val="ListBullet"/>
      </w:pPr>
      <w:r>
        <w:t>504 Gateway Timeout：响应超时，考虑减少输入长度</w:t>
      </w:r>
    </w:p>
    <w:p>
      <w:r>
        <w:t>推荐指数退避重试策略：首次1秒，第二次2秒，第三次4秒，最大不超过60秒。可使用tenacity库简化实现。</w:t>
      </w:r>
    </w:p>
    <w:p>
      <w:pPr>
        <w:pStyle w:val="Heading2"/>
      </w:pPr>
      <w:r>
        <w:t>4.4 限流与性能优化</w:t>
      </w:r>
    </w:p>
    <w:p>
      <w:pPr>
        <w:pStyle w:val="ListBullet"/>
      </w:pPr>
      <w:r>
        <w:t>合理使用连接池：复用HTTP连接，避免频繁创建和销毁</w:t>
      </w:r>
    </w:p>
    <w:p>
      <w:pPr>
        <w:pStyle w:val="ListBullet"/>
      </w:pPr>
      <w:r>
        <w:t>异步调用：使用asyncio或多线程并发处理多个请求</w:t>
      </w:r>
    </w:p>
    <w:p>
      <w:pPr>
        <w:pStyle w:val="ListBullet"/>
      </w:pPr>
      <w:r>
        <w:t>缓存策略：对重复性高的查询实施本地缓存</w:t>
      </w:r>
    </w:p>
    <w:p>
      <w:pPr>
        <w:pStyle w:val="ListBullet"/>
      </w:pPr>
      <w:r>
        <w:t>合理设置max_tokens：避免预留过大的输出空间造成浪费</w:t>
      </w:r>
    </w:p>
    <w:p>
      <w:pPr>
        <w:pStyle w:val="ListBullet"/>
      </w:pPr>
      <w:r>
        <w:t>请求合并：将多个小请求合并处理，提高Token利用率</w:t>
      </w:r>
    </w:p>
    <w:p>
      <w:pPr>
        <w:pStyle w:val="Heading1"/>
      </w:pPr>
      <w:r>
        <w:t>五、应用场景实战</w:t>
      </w:r>
    </w:p>
    <w:p>
      <w:pPr>
        <w:pStyle w:val="Heading2"/>
      </w:pPr>
      <w:r>
        <w:t>5.1 智能客服系统</w:t>
      </w:r>
    </w:p>
    <w:p>
      <w:r>
        <w:t>基于DeepSeek构建智能客服是最常见应用场景之一。核心架构包括：System Prompt设定客服角色和规范，Function Calling对接业务系统，多轮对话维护上下文，RAG技术实现基于知识库的精准问答。</w:t>
      </w:r>
    </w:p>
    <w:p>
      <w:pPr>
        <w:pStyle w:val="Heading2"/>
      </w:pPr>
      <w:r>
        <w:t>5.2 内容生成与写作助手</w:t>
      </w:r>
    </w:p>
    <w:p>
      <w:r>
        <w:t>利用DeepSeek的文本生成能力可以构建文章撰写、代码文档生成、营销文案、翻译等工具。写作类任务推荐temperature=0.7-0.8，技术文档推荐0.3-0.5。</w:t>
      </w:r>
    </w:p>
    <w:p>
      <w:pPr>
        <w:pStyle w:val="Heading2"/>
      </w:pPr>
      <w:r>
        <w:t>5.3 RAG知识库搭建</w:t>
      </w:r>
    </w:p>
    <w:p>
      <w:r>
        <w:t>RAG（检索增强生成）是企业级AI应用的主流架构。通过将DeepSeek与向量数据库结合，可实现基于私有知识库的智能问答。</w:t>
      </w:r>
    </w:p>
    <w:p>
      <w:pPr>
        <w:pStyle w:val="ListBullet"/>
      </w:pPr>
      <w:r>
        <w:t>文档加载与解析：支持PDF、Word、Markdown、TXT等多种格式</w:t>
      </w:r>
    </w:p>
    <w:p>
      <w:pPr>
        <w:pStyle w:val="ListBullet"/>
      </w:pPr>
      <w:r>
        <w:t>文本分块：推荐块大小500-1500字符，重叠区域100-200字符</w:t>
      </w:r>
    </w:p>
    <w:p>
      <w:pPr>
        <w:pStyle w:val="ListBullet"/>
      </w:pPr>
      <w:r>
        <w:t>向量化与索引：使用Embedding模型将文本转为向量，存入向量数据库</w:t>
      </w:r>
    </w:p>
    <w:p>
      <w:pPr>
        <w:pStyle w:val="ListBullet"/>
      </w:pPr>
      <w:r>
        <w:t>检索：用户提问时向量化后进行相似度搜索，召回相关片段</w:t>
      </w:r>
    </w:p>
    <w:p>
      <w:pPr>
        <w:pStyle w:val="ListBullet"/>
      </w:pPr>
      <w:r>
        <w:t>增强生成：将检索到的片段作为上下文发送给DeepSeek生成回答</w:t>
      </w:r>
    </w:p>
    <w:p>
      <w:r>
        <w:t>推荐技术栈：LangChain/LlamaIndex + Chroma/FAISS + DeepSeek + BGE/OpenAI Embedding。</w:t>
      </w:r>
    </w:p>
    <w:p>
      <w:pPr>
        <w:pStyle w:val="Heading2"/>
      </w:pPr>
      <w:r>
        <w:t>5.4 AI Agent智能体</w:t>
      </w:r>
    </w:p>
    <w:p>
      <w:r>
        <w:t>AI Agent通过DeepSeek与Function Calling、外部工具和MCP协议结合，构建能自主规划和执行任务的智能体。</w:t>
      </w:r>
    </w:p>
    <w:p>
      <w:pPr>
        <w:pStyle w:val="ListBullet"/>
      </w:pPr>
      <w:r>
        <w:t>规划模块：将复杂任务拆解为子步骤，制定执行计划</w:t>
      </w:r>
    </w:p>
    <w:p>
      <w:pPr>
        <w:pStyle w:val="ListBullet"/>
      </w:pPr>
      <w:r>
        <w:t>工具模块：对接搜索引擎、数据库、API等外部工具</w:t>
      </w:r>
    </w:p>
    <w:p>
      <w:pPr>
        <w:pStyle w:val="ListBullet"/>
      </w:pPr>
      <w:r>
        <w:t>记忆模块：维护短期上下文和长期知识存储</w:t>
      </w:r>
    </w:p>
    <w:p>
      <w:pPr>
        <w:pStyle w:val="ListBullet"/>
      </w:pPr>
      <w:r>
        <w:t>执行模块：循环执行观察-思考-行动的步骤直到任务完成</w:t>
      </w:r>
    </w:p>
    <w:p>
      <w:r>
        <w:t>推荐框架：LangGraph、AutoGen（微软多Agent框架）、CrewAI（多角色编排框架），都能与DeepSeek良好集成。</w:t>
      </w:r>
    </w:p>
    <w:p>
      <w:pPr>
        <w:pStyle w:val="Heading1"/>
      </w:pPr>
      <w:r>
        <w:t>六、本地部署</w:t>
      </w:r>
    </w:p>
    <w:p>
      <w:pPr>
        <w:pStyle w:val="Heading2"/>
      </w:pPr>
      <w:r>
        <w:t>6.1 Ollama部署</w:t>
      </w:r>
    </w:p>
    <w:p>
      <w:r>
        <w:t>Ollama是最流行的本地大模型运行工具，支持DeepSeek-R1系列模型快速部署，实现离线AI能力。</w:t>
      </w:r>
    </w:p>
    <w:p>
      <w:pPr>
        <w:pStyle w:val="ListBullet"/>
      </w:pPr>
      <w:r>
        <w:t>安装Ollama：访问ollama.com下载安装包（支持macOS/Windows/Linux）</w:t>
      </w:r>
    </w:p>
    <w:p>
      <w:pPr>
        <w:pStyle w:val="ListBullet"/>
      </w:pPr>
      <w:r>
        <w:t>下载模型：ollama pull deepseek-r1:7b（7B约4.7GB），也可选14B或32B版本</w:t>
      </w:r>
    </w:p>
    <w:p>
      <w:pPr>
        <w:pStyle w:val="ListBullet"/>
      </w:pPr>
      <w:r>
        <w:t>运行模型：ollama run deepseek-r1:7b 启动交互式对话</w:t>
      </w:r>
    </w:p>
    <w:p>
      <w:pPr>
        <w:pStyle w:val="ListBullet"/>
      </w:pPr>
      <w:r>
        <w:t>API调用：Ollama在localhost:11434提供兼容OpenAI格式的API</w:t>
      </w:r>
    </w:p>
    <w:p>
      <w:pPr>
        <w:pStyle w:val="Heading2"/>
      </w:pPr>
      <w:r>
        <w:t>6.2 模型量化与资源优化</w:t>
      </w:r>
    </w:p>
    <w:p>
      <w:r>
        <w:t>通过量化降低显存和计算需求。Ollama支持q4_k_m、q5_k_m、q8_0等精度，量化后约为原模型40%-70%，推理速度提升2-4倍。推荐配置：7B(q4)需8GB显存，14B(q4)需16GB，32B(q4)需24GB。</w:t>
      </w:r>
    </w:p>
    <w:p>
      <w:pPr>
        <w:pStyle w:val="Heading1"/>
      </w:pPr>
      <w:r>
        <w:t>七、开发工具链与生态集成</w:t>
      </w:r>
    </w:p>
    <w:p>
      <w:pPr>
        <w:pStyle w:val="Heading2"/>
      </w:pPr>
      <w:r>
        <w:t>7.1 Cursor IDE集成</w:t>
      </w:r>
    </w:p>
    <w:p>
      <w:r>
        <w:t>Cursor是AI原生代码编辑器，支持集成DeepSeek作为代码补全和对话模型。在Cursor设置中配置DeepSeek API Key和自定义API Endpoint（https://api.deepseek.com），即可在编程过程中使用DeepSeek驱动的AI辅助功能。DeepSeek在代码补全、重构、Bug修复等场景下表现优异。</w:t>
      </w:r>
    </w:p>
    <w:p>
      <w:pPr>
        <w:pStyle w:val="Heading2"/>
      </w:pPr>
      <w:r>
        <w:t>7.2 MCP协议集成</w:t>
      </w:r>
    </w:p>
    <w:p>
      <w:r>
        <w:t>MCP（Model Context Protocol）是AI模型与外部工具间的标准化通信协议。通过MCP协议，DeepSeek模型可以动态发现和调用各类外部工具（数据库查询、文件操作、网络请求等）。MCP生态已有大量现成Server实现，也可自定义扩展。</w:t>
      </w:r>
    </w:p>
    <w:p>
      <w:pPr>
        <w:pStyle w:val="Heading1"/>
      </w:pPr>
      <w:r>
        <w:t>八、最佳实践与注意事项</w:t>
      </w:r>
    </w:p>
    <w:p>
      <w:pPr>
        <w:pStyle w:val="Heading2"/>
      </w:pPr>
      <w:r>
        <w:t>8.1 提示词工程（Prompt Engineering）</w:t>
      </w:r>
    </w:p>
    <w:p>
      <w:r>
        <w:t>高质量的提示词是发挥DeepSeek模型能力的关键。</w:t>
      </w:r>
    </w:p>
    <w:p>
      <w:pPr>
        <w:pStyle w:val="ListBullet"/>
      </w:pPr>
      <w:r>
        <w:t>明确角色设定：在System Message中清晰定义AI的角色和约束条件</w:t>
      </w:r>
    </w:p>
    <w:p>
      <w:pPr>
        <w:pStyle w:val="ListBullet"/>
      </w:pPr>
      <w:r>
        <w:t>提供示例（Few-shot）：给出1-3个输入输出示例帮助模型理解期望格式</w:t>
      </w:r>
    </w:p>
    <w:p>
      <w:pPr>
        <w:pStyle w:val="ListBullet"/>
      </w:pPr>
      <w:r>
        <w:t>结构化指令：使用清晰层级组织提示词，用分隔符区分不同部分</w:t>
      </w:r>
    </w:p>
    <w:p>
      <w:pPr>
        <w:pStyle w:val="ListBullet"/>
      </w:pPr>
      <w:r>
        <w:t>约束输出格式：指定JSON、Markdown等特定格式</w:t>
      </w:r>
    </w:p>
    <w:p>
      <w:pPr>
        <w:pStyle w:val="ListBullet"/>
      </w:pPr>
      <w:r>
        <w:t>步进式引导：复杂任务引导模型按步骤思考</w:t>
      </w:r>
    </w:p>
    <w:p>
      <w:pPr>
        <w:pStyle w:val="ListBullet"/>
      </w:pPr>
      <w:r>
        <w:t>负面提示：明确告诉模型不要做什么</w:t>
      </w:r>
    </w:p>
    <w:p>
      <w:pPr>
        <w:pStyle w:val="Heading2"/>
      </w:pPr>
      <w:r>
        <w:t>8.2 成本控制与优化</w:t>
      </w:r>
    </w:p>
    <w:p>
      <w:pPr>
        <w:pStyle w:val="ListBullet"/>
      </w:pPr>
      <w:r>
        <w:t>任务分级：简单任务使用V3，深度推理使用R1</w:t>
      </w:r>
    </w:p>
    <w:p>
      <w:pPr>
        <w:pStyle w:val="ListBullet"/>
      </w:pPr>
      <w:r>
        <w:t>合理设置max_tokens：避免预留过大的输出空间</w:t>
      </w:r>
    </w:p>
    <w:p>
      <w:pPr>
        <w:pStyle w:val="ListBullet"/>
      </w:pPr>
      <w:r>
        <w:t>缓存复用：对重复性高的查询实施本地缓存</w:t>
      </w:r>
    </w:p>
    <w:p>
      <w:pPr>
        <w:pStyle w:val="ListBullet"/>
      </w:pPr>
      <w:r>
        <w:t>输入压缩：对长对话历史进行摘要压缩</w:t>
      </w:r>
    </w:p>
    <w:p>
      <w:pPr>
        <w:pStyle w:val="ListBullet"/>
      </w:pPr>
      <w:r>
        <w:t>设置预算告警：在DeepSeek控制台设置每月消费限额</w:t>
      </w:r>
    </w:p>
    <w:p>
      <w:pPr>
        <w:pStyle w:val="Heading2"/>
      </w:pPr>
      <w:r>
        <w:t>8.3 安全与隐私</w:t>
      </w:r>
    </w:p>
    <w:p>
      <w:pPr>
        <w:pStyle w:val="ListBullet"/>
      </w:pPr>
      <w:r>
        <w:t>API Key安全：使用环境变量管理，避免在代码中硬编码</w:t>
      </w:r>
    </w:p>
    <w:p>
      <w:pPr>
        <w:pStyle w:val="ListBullet"/>
      </w:pPr>
      <w:r>
        <w:t>数据脱敏：发送前对敏感信息进行脱敏处理</w:t>
      </w:r>
    </w:p>
    <w:p>
      <w:pPr>
        <w:pStyle w:val="ListBullet"/>
      </w:pPr>
      <w:r>
        <w:t>内容过滤：建立输入输出审核机制，防止提示注入</w:t>
      </w:r>
    </w:p>
    <w:p>
      <w:pPr>
        <w:pStyle w:val="ListBullet"/>
      </w:pPr>
      <w:r>
        <w:t>权限控制：确保AI Agent可调用的工具范围受控</w:t>
      </w:r>
    </w:p>
    <w:p>
      <w:pPr>
        <w:pStyle w:val="ListBullet"/>
      </w:pPr>
      <w:r>
        <w:t>日志审计：记录API调用日志以便异常排查</w:t>
      </w:r>
    </w:p>
    <w:p>
      <w:pPr>
        <w:pStyle w:val="Heading1"/>
      </w:pPr>
      <w:r>
        <w:t>九、总结与展望</w:t>
      </w:r>
    </w:p>
    <w:p>
      <w:r>
        <w:t>DeepSeek作为国产大模型的杰出代表，以其卓越的性能、极致的性价比和开放的生态，为开发者提供了强大而灵活的AI能力。从简单的API调用到复杂的RAG系统、AI Agent应用，DeepSeek正在赋能越来越多的创新场景。</w:t>
      </w:r>
    </w:p>
    <w:p>
      <w:r>
        <w:t>随着模型能力的持续迭代和生态系统的不断完善，DeepSeek在企业级应用中的潜力将进一步释放。掌握DeepSeek的开发实战技能，将成为AI时代开发者不可或缺的核心竞争力。建议开发者持续关注官方文档更新，积极参与社区交流，在实践中不断积累经验。</w:t>
      </w:r>
    </w:p>
    <w:p>
      <w:pPr>
        <w:pStyle w:val="Heading1"/>
      </w:pPr>
      <w:r>
        <w:t>附录：参考资源</w:t>
      </w:r>
    </w:p>
    <w:p>
      <w:pPr>
        <w:pStyle w:val="ListBullet"/>
      </w:pPr>
      <w:r>
        <w:t>DeepSeek官方开放平台：https://platform.deepseek.com</w:t>
      </w:r>
    </w:p>
    <w:p>
      <w:pPr>
        <w:pStyle w:val="ListBullet"/>
      </w:pPr>
      <w:r>
        <w:t>DeepSeek API文档：https://api-docs.deepseek.com</w:t>
      </w:r>
    </w:p>
    <w:p>
      <w:pPr>
        <w:pStyle w:val="ListBullet"/>
      </w:pPr>
      <w:r>
        <w:t>DeepSeek GitHub组织：https://github.com/deepseek-ai</w:t>
      </w:r>
    </w:p>
    <w:p>
      <w:pPr>
        <w:pStyle w:val="ListBullet"/>
      </w:pPr>
      <w:r>
        <w:t>Ollama官网：https://ollama.com</w:t>
      </w:r>
    </w:p>
    <w:p>
      <w:pPr>
        <w:pStyle w:val="ListBullet"/>
      </w:pPr>
      <w:r>
        <w:t>LangChain官网：https://www.langchain.com</w:t>
      </w:r>
    </w:p>
    <w:p>
      <w:pPr>
        <w:pStyle w:val="ListBullet"/>
      </w:pPr>
      <w:r>
        <w:t>DeepSeek Hugging Face模型库：https://huggingface.co/deepseek-ai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