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280"/>
      </w:pPr>
      <w:r>
        <w:rPr>
          <w:rFonts w:ascii="Calibri" w:hAnsi="Calibri"/>
          <w:b/>
          <w:i w:val="0"/>
          <w:color w:val="2E74B5"/>
          <w:sz w:val="24"/>
        </w:rPr>
        <w:t>AGENTIC EVALUATOR</w:t>
      </w:r>
    </w:p>
    <w:p>
      <w:pPr>
        <w:keepNext/>
        <w:spacing w:after="240"/>
      </w:pPr>
      <w:r>
        <w:rPr>
          <w:rFonts w:ascii="Calibri" w:hAnsi="Calibri"/>
          <w:b/>
          <w:i w:val="0"/>
          <w:color w:val="0B2545"/>
          <w:sz w:val="64"/>
        </w:rPr>
        <w:t>Implementation Plan</w:t>
      </w:r>
    </w:p>
    <w:p>
      <w:pPr>
        <w:spacing w:after="560"/>
      </w:pPr>
      <w:r>
        <w:rPr>
          <w:rFonts w:ascii="Calibri" w:hAnsi="Calibri"/>
          <w:b w:val="0"/>
          <w:i w:val="0"/>
          <w:color w:val="1F4D78"/>
          <w:sz w:val="28"/>
        </w:rPr>
        <w:t>From today’s Agentic Builder evaluation system to a model- and provider-agnostic platform for optimizing quality, workflow efficiency, caching, latency, and cost per successful task</w:t>
      </w:r>
    </w:p>
    <w:tbl>
      <w:tblPr>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2050"/>
        <w:gridCol w:w="7310"/>
      </w:tblGrid>
      <w:tr>
        <w:trPr>
          <w:cantSplit/>
        </w:trPr>
        <w:tc>
          <w:tcPr>
            <w:tcW w:type="dxa" w:w="2050"/>
            <w:shd w:fill="F4F6F9"/>
            <w:tcMar>
              <w:top w:w="80" w:type="dxa"/>
              <w:start w:w="120" w:type="dxa"/>
              <w:bottom w:w="80" w:type="dxa"/>
              <w:end w:w="120" w:type="dxa"/>
            </w:tcMar>
            <w:vAlign w:val="center"/>
          </w:tcPr>
          <w:p>
            <w:pPr>
              <w:spacing w:after="0"/>
            </w:pPr>
            <w:r>
              <w:rPr>
                <w:rFonts w:ascii="Calibri" w:hAnsi="Calibri"/>
                <w:b/>
                <w:i w:val="0"/>
                <w:color w:val="0B2545"/>
                <w:sz w:val="20"/>
              </w:rPr>
              <w:t>Document type</w:t>
            </w:r>
          </w:p>
        </w:tc>
        <w:tc>
          <w:tcPr>
            <w:tcW w:type="dxa" w:w="7310"/>
            <w:shd w:fill="FFFFFF"/>
            <w:tcMar>
              <w:top w:w="80" w:type="dxa"/>
              <w:start w:w="120" w:type="dxa"/>
              <w:bottom w:w="80" w:type="dxa"/>
              <w:end w:w="120" w:type="dxa"/>
            </w:tcMar>
            <w:vAlign w:val="center"/>
          </w:tcPr>
          <w:p>
            <w:pPr>
              <w:spacing w:after="0"/>
            </w:pPr>
            <w:r>
              <w:rPr>
                <w:rFonts w:ascii="Calibri" w:hAnsi="Calibri"/>
                <w:b w:val="0"/>
                <w:i w:val="0"/>
                <w:color w:val="111111"/>
                <w:sz w:val="20"/>
              </w:rPr>
              <w:t>Technical implementation plan</w:t>
            </w:r>
          </w:p>
        </w:tc>
      </w:tr>
      <w:tr>
        <w:trPr>
          <w:cantSplit/>
        </w:trPr>
        <w:tc>
          <w:tcPr>
            <w:tcW w:type="dxa" w:w="2050"/>
            <w:shd w:fill="F4F6F9"/>
            <w:tcMar>
              <w:top w:w="80" w:type="dxa"/>
              <w:start w:w="120" w:type="dxa"/>
              <w:bottom w:w="80" w:type="dxa"/>
              <w:end w:w="120" w:type="dxa"/>
            </w:tcMar>
            <w:vAlign w:val="center"/>
          </w:tcPr>
          <w:p>
            <w:pPr>
              <w:spacing w:after="0"/>
            </w:pPr>
            <w:r>
              <w:rPr>
                <w:rFonts w:ascii="Calibri" w:hAnsi="Calibri"/>
                <w:b/>
                <w:i w:val="0"/>
                <w:color w:val="0B2545"/>
                <w:sz w:val="20"/>
              </w:rPr>
              <w:t>Recommended baseline</w:t>
            </w:r>
          </w:p>
        </w:tc>
        <w:tc>
          <w:tcPr>
            <w:tcW w:type="dxa" w:w="7310"/>
            <w:shd w:fill="FFFFFF"/>
            <w:tcMar>
              <w:top w:w="80" w:type="dxa"/>
              <w:start w:w="120" w:type="dxa"/>
              <w:bottom w:w="80" w:type="dxa"/>
              <w:end w:w="120" w:type="dxa"/>
            </w:tcMar>
            <w:vAlign w:val="center"/>
          </w:tcPr>
          <w:p>
            <w:pPr>
              <w:spacing w:after="0"/>
            </w:pPr>
            <w:r>
              <w:rPr>
                <w:rFonts w:ascii="Calibri" w:hAnsi="Calibri"/>
                <w:b w:val="0"/>
                <w:i w:val="0"/>
                <w:color w:val="111111"/>
                <w:sz w:val="20"/>
              </w:rPr>
              <w:t>Owned control plane + native-direct measurement path; qualify runners and gateways behind replaceable contracts</w:t>
            </w:r>
          </w:p>
        </w:tc>
      </w:tr>
      <w:tr>
        <w:trPr>
          <w:cantSplit/>
        </w:trPr>
        <w:tc>
          <w:tcPr>
            <w:tcW w:type="dxa" w:w="2050"/>
            <w:shd w:fill="F4F6F9"/>
            <w:tcMar>
              <w:top w:w="80" w:type="dxa"/>
              <w:start w:w="120" w:type="dxa"/>
              <w:bottom w:w="80" w:type="dxa"/>
              <w:end w:w="120" w:type="dxa"/>
            </w:tcMar>
            <w:vAlign w:val="center"/>
          </w:tcPr>
          <w:p>
            <w:pPr>
              <w:spacing w:after="0"/>
            </w:pPr>
            <w:r>
              <w:rPr>
                <w:rFonts w:ascii="Calibri" w:hAnsi="Calibri"/>
                <w:b/>
                <w:i w:val="0"/>
                <w:color w:val="0B2545"/>
                <w:sz w:val="20"/>
              </w:rPr>
              <w:t>Optimization sequence</w:t>
            </w:r>
          </w:p>
        </w:tc>
        <w:tc>
          <w:tcPr>
            <w:tcW w:type="dxa" w:w="7310"/>
            <w:shd w:fill="FFFFFF"/>
            <w:tcMar>
              <w:top w:w="80" w:type="dxa"/>
              <w:start w:w="120" w:type="dxa"/>
              <w:bottom w:w="80" w:type="dxa"/>
              <w:end w:w="120" w:type="dxa"/>
            </w:tcMar>
            <w:vAlign w:val="center"/>
          </w:tcPr>
          <w:p>
            <w:pPr>
              <w:spacing w:after="0"/>
            </w:pPr>
            <w:r>
              <w:rPr>
                <w:rFonts w:ascii="Calibri" w:hAnsi="Calibri"/>
                <w:b w:val="0"/>
                <w:i w:val="0"/>
                <w:color w:val="111111"/>
                <w:sz w:val="20"/>
              </w:rPr>
              <w:t>Preserve current behavior → canonicalize evidence → expand evaluation → model/workflow search → provider optimization → continuous routing</w:t>
            </w:r>
          </w:p>
        </w:tc>
      </w:tr>
      <w:tr>
        <w:trPr>
          <w:cantSplit/>
        </w:trPr>
        <w:tc>
          <w:tcPr>
            <w:tcW w:type="dxa" w:w="2050"/>
            <w:shd w:fill="F4F6F9"/>
            <w:tcMar>
              <w:top w:w="80" w:type="dxa"/>
              <w:start w:w="120" w:type="dxa"/>
              <w:bottom w:w="80" w:type="dxa"/>
              <w:end w:w="120" w:type="dxa"/>
            </w:tcMar>
            <w:vAlign w:val="center"/>
          </w:tcPr>
          <w:p>
            <w:pPr>
              <w:spacing w:after="0"/>
            </w:pPr>
            <w:r>
              <w:rPr>
                <w:rFonts w:ascii="Calibri" w:hAnsi="Calibri"/>
                <w:b/>
                <w:i w:val="0"/>
                <w:color w:val="0B2545"/>
                <w:sz w:val="20"/>
              </w:rPr>
              <w:t>Prepared</w:t>
            </w:r>
          </w:p>
        </w:tc>
        <w:tc>
          <w:tcPr>
            <w:tcW w:type="dxa" w:w="7310"/>
            <w:shd w:fill="FFFFFF"/>
            <w:tcMar>
              <w:top w:w="80" w:type="dxa"/>
              <w:start w:w="120" w:type="dxa"/>
              <w:bottom w:w="80" w:type="dxa"/>
              <w:end w:w="120" w:type="dxa"/>
            </w:tcMar>
            <w:vAlign w:val="center"/>
          </w:tcPr>
          <w:p>
            <w:pPr>
              <w:spacing w:after="0"/>
            </w:pPr>
            <w:r>
              <w:rPr>
                <w:rFonts w:ascii="Calibri" w:hAnsi="Calibri"/>
                <w:b w:val="0"/>
                <w:i w:val="0"/>
                <w:color w:val="111111"/>
                <w:sz w:val="20"/>
              </w:rPr>
              <w:t>September 3, 2026</w:t>
            </w:r>
          </w:p>
        </w:tc>
      </w:tr>
    </w:tbl>
    <w:p>
      <w:pPr>
        <w:keepNext w:val="0"/>
        <w:spacing w:before="520" w:after="100" w:line="240" w:lineRule="auto"/>
      </w:pPr>
      <w:r>
        <w:rPr>
          <w:rFonts w:ascii="Calibri" w:hAnsi="Calibri"/>
          <w:b w:val="0"/>
          <w:i w:val="0"/>
          <w:color w:val="111111"/>
          <w:sz w:val="22"/>
        </w:rPr>
        <w:t>Design intent</w:t>
      </w:r>
    </w:p>
    <w:p>
      <w:pPr>
        <w:keepNext w:val="0"/>
        <w:spacing w:before="0" w:after="0" w:line="283" w:lineRule="auto"/>
      </w:pPr>
      <w:r>
        <w:rPr>
          <w:rFonts w:ascii="Calibri" w:hAnsi="Calibri"/>
          <w:b w:val="0"/>
          <w:i w:val="0"/>
          <w:color w:val="111111"/>
          <w:sz w:val="22"/>
        </w:rPr>
        <w:t>This is an extension of the evaluation system already used for Agentic Builder, not a greenfield replacement and not a new agent framework. Existing checks and reporting semantics remain usable while the underlying evidence is progressively normalized for broader workflows, models, providers, and client environments.</w:t>
      </w:r>
    </w:p>
    <w:p>
      <w:r>
        <w:br w:type="page"/>
      </w:r>
    </w:p>
    <w:p>
      <w:pPr>
        <w:pStyle w:val="Heading1"/>
        <w:keepNext/>
      </w:pPr>
      <w:r>
        <w:rPr>
          <w:rFonts w:ascii="Calibri" w:hAnsi="Calibri"/>
          <w:b/>
          <w:i w:val="0"/>
          <w:color w:val="2E74B5"/>
          <w:sz w:val="32"/>
        </w:rPr>
        <w:t>Executive summary</w:t>
      </w: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after="0" w:line="269" w:lineRule="auto"/>
            </w:pPr>
            <w:r>
              <w:rPr>
                <w:rFonts w:ascii="Calibri" w:hAnsi="Calibri"/>
                <w:b/>
                <w:i w:val="0"/>
                <w:color w:val="0B2545"/>
                <w:sz w:val="19"/>
              </w:rPr>
              <w:t xml:space="preserve">STARTING POINT AND DIRECTION  </w:t>
            </w:r>
            <w:r>
              <w:rPr>
                <w:rFonts w:ascii="Calibri" w:hAnsi="Calibri"/>
                <w:b w:val="0"/>
                <w:i w:val="0"/>
                <w:color w:val="111111"/>
                <w:sz w:val="21"/>
              </w:rPr>
              <w:t>Agentic Builder already has a working, locally executed evaluation practice: deterministic file checks, severity classes, check-execution coverage, source-fidelity comparison, and early workflow-outcome measures. The goal is to preserve that trusted behavior while turning its evidence into a reusable evaluator that can compare heterogeneous agent workflows, models, providers, and client-hosted runs reproducibly.</w:t>
            </w:r>
          </w:p>
        </w:tc>
      </w:tr>
    </w:tbl>
    <w:p>
      <w:pPr>
        <w:spacing w:after="60"/>
      </w:pP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3000"/>
        <w:gridCol w:w="3220"/>
        <w:gridCol w:w="3140"/>
      </w:tblGrid>
      <w:tr>
        <w:trPr>
          <w:tblHeader w:val="true"/>
          <w:cantSplit/>
        </w:trPr>
        <w:tc>
          <w:tcPr>
            <w:tcW w:type="dxa" w:w="30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Already working today</w:t>
            </w:r>
          </w:p>
        </w:tc>
        <w:tc>
          <w:tcPr>
            <w:tcW w:type="dxa" w:w="322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What is not yet sufficient</w:t>
            </w:r>
          </w:p>
        </w:tc>
        <w:tc>
          <w:tcPr>
            <w:tcW w:type="dxa" w:w="314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Destination</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6"/>
              </w:rPr>
              <w:t>42 deterministic file checks with blocking, advisory, and observe-only results; existing Agentic Builder reports expose whether checks ran.</w:t>
            </w:r>
          </w:p>
        </w:tc>
        <w:tc>
          <w:tcPr>
            <w:tcW w:type="dxa" w:w="3220"/>
            <w:tcMar>
              <w:top w:w="80" w:type="dxa"/>
              <w:start w:w="120" w:type="dxa"/>
              <w:bottom w:w="80" w:type="dxa"/>
              <w:end w:w="120" w:type="dxa"/>
            </w:tcMar>
            <w:vAlign w:val="center"/>
          </w:tcPr>
          <w:p>
            <w:pPr>
              <w:spacing w:after="0" w:line="257" w:lineRule="auto"/>
            </w:pPr>
            <w:r>
              <w:rPr>
                <w:rFonts w:ascii="Calibri" w:hAnsi="Calibri"/>
                <w:b w:val="0"/>
                <w:i w:val="0"/>
                <w:color w:val="111111"/>
                <w:sz w:val="16"/>
              </w:rPr>
              <w:t>Evidence and schemas are tied to one workflow and local report shape; cross-project aggregation, controlled comparative studies, and planning/trajectory visibility remain incomplete.</w:t>
            </w:r>
          </w:p>
        </w:tc>
        <w:tc>
          <w:tcPr>
            <w:tcW w:type="dxa" w:w="3140"/>
            <w:tcMar>
              <w:top w:w="80" w:type="dxa"/>
              <w:start w:w="120" w:type="dxa"/>
              <w:bottom w:w="80" w:type="dxa"/>
              <w:end w:w="120" w:type="dxa"/>
            </w:tcMar>
            <w:vAlign w:val="center"/>
          </w:tcPr>
          <w:p>
            <w:pPr>
              <w:spacing w:after="0" w:line="257" w:lineRule="auto"/>
            </w:pPr>
            <w:r>
              <w:rPr>
                <w:rFonts w:ascii="Calibri" w:hAnsi="Calibri"/>
                <w:b w:val="0"/>
                <w:i w:val="0"/>
                <w:color w:val="111111"/>
                <w:sz w:val="16"/>
              </w:rPr>
              <w:t>One canonical evidence model that imports current results without semantic loss and supports many task families.</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6"/>
              </w:rPr>
              <w:t>Source-fidelity line comparison and stable failure concepts.</w:t>
            </w:r>
          </w:p>
        </w:tc>
        <w:tc>
          <w:tcPr>
            <w:tcW w:type="dxa" w:w="3220"/>
            <w:tcMar>
              <w:top w:w="80" w:type="dxa"/>
              <w:start w:w="120" w:type="dxa"/>
              <w:bottom w:w="80" w:type="dxa"/>
              <w:end w:w="120" w:type="dxa"/>
            </w:tcMar>
            <w:vAlign w:val="center"/>
          </w:tcPr>
          <w:p>
            <w:pPr>
              <w:spacing w:after="0" w:line="257" w:lineRule="auto"/>
            </w:pPr>
            <w:r>
              <w:rPr>
                <w:rFonts w:ascii="Calibri" w:hAnsi="Calibri"/>
                <w:b w:val="0"/>
                <w:i w:val="0"/>
                <w:color w:val="111111"/>
                <w:sz w:val="16"/>
              </w:rPr>
              <w:t>Business-outcome linkage, nondeterministic acceptability envelopes, calibrated judges, continuous scoring, and sealed holdouts are not systematic.</w:t>
            </w:r>
          </w:p>
        </w:tc>
        <w:tc>
          <w:tcPr>
            <w:tcW w:type="dxa" w:w="3140"/>
            <w:tcMar>
              <w:top w:w="80" w:type="dxa"/>
              <w:start w:w="120" w:type="dxa"/>
              <w:bottom w:w="80" w:type="dxa"/>
              <w:end w:w="120" w:type="dxa"/>
            </w:tcMar>
            <w:vAlign w:val="center"/>
          </w:tcPr>
          <w:p>
            <w:pPr>
              <w:spacing w:after="0" w:line="257" w:lineRule="auto"/>
            </w:pPr>
            <w:r>
              <w:rPr>
                <w:rFonts w:ascii="Calibri" w:hAnsi="Calibri"/>
                <w:b w:val="0"/>
                <w:i w:val="0"/>
                <w:color w:val="111111"/>
                <w:sz w:val="16"/>
              </w:rPr>
              <w:t>Versioned EvalDesignSpecs, mixed scorer graphs, calibration, uncertainty, and traceable outcome evidence.</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6"/>
              </w:rPr>
              <w:t>Local-first data handling and workflow-specific operational knowledge.</w:t>
            </w:r>
          </w:p>
        </w:tc>
        <w:tc>
          <w:tcPr>
            <w:tcW w:type="dxa" w:w="3220"/>
            <w:tcMar>
              <w:top w:w="80" w:type="dxa"/>
              <w:start w:w="120" w:type="dxa"/>
              <w:bottom w:w="80" w:type="dxa"/>
              <w:end w:w="120" w:type="dxa"/>
            </w:tcMar>
            <w:vAlign w:val="center"/>
          </w:tcPr>
          <w:p>
            <w:pPr>
              <w:spacing w:after="0" w:line="257" w:lineRule="auto"/>
            </w:pPr>
            <w:r>
              <w:rPr>
                <w:rFonts w:ascii="Calibri" w:hAnsi="Calibri"/>
                <w:b w:val="0"/>
                <w:i w:val="0"/>
                <w:color w:val="111111"/>
                <w:sz w:val="16"/>
              </w:rPr>
              <w:t>No reusable client-hosted execution plane, signed study bundle, field-level release policy, or repeatability capsule.</w:t>
            </w:r>
          </w:p>
        </w:tc>
        <w:tc>
          <w:tcPr>
            <w:tcW w:type="dxa" w:w="3140"/>
            <w:tcMar>
              <w:top w:w="80" w:type="dxa"/>
              <w:start w:w="120" w:type="dxa"/>
              <w:bottom w:w="80" w:type="dxa"/>
              <w:end w:w="120" w:type="dxa"/>
            </w:tcMar>
            <w:vAlign w:val="center"/>
          </w:tcPr>
          <w:p>
            <w:pPr>
              <w:spacing w:after="0" w:line="257" w:lineRule="auto"/>
            </w:pPr>
            <w:r>
              <w:rPr>
                <w:rFonts w:ascii="Calibri" w:hAnsi="Calibri"/>
                <w:b w:val="0"/>
                <w:i w:val="0"/>
                <w:color w:val="111111"/>
                <w:sz w:val="16"/>
              </w:rPr>
              <w:t>Secure external-client evaluation with data and credentials remaining client-local by default.</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6"/>
              </w:rPr>
              <w:t>Initial first-build, edit, and usefulness concepts.</w:t>
            </w:r>
          </w:p>
        </w:tc>
        <w:tc>
          <w:tcPr>
            <w:tcW w:type="dxa" w:w="3220"/>
            <w:tcMar>
              <w:top w:w="80" w:type="dxa"/>
              <w:start w:w="120" w:type="dxa"/>
              <w:bottom w:w="80" w:type="dxa"/>
              <w:end w:w="120" w:type="dxa"/>
            </w:tcMar>
            <w:vAlign w:val="center"/>
          </w:tcPr>
          <w:p>
            <w:pPr>
              <w:spacing w:after="0" w:line="257" w:lineRule="auto"/>
            </w:pPr>
            <w:r>
              <w:rPr>
                <w:rFonts w:ascii="Calibri" w:hAnsi="Calibri"/>
                <w:b w:val="0"/>
                <w:i w:val="0"/>
                <w:color w:val="111111"/>
                <w:sz w:val="16"/>
              </w:rPr>
              <w:t>Some measures are one-off, partly observable, or not yet comparable across projects; workflow planning and checkpoint recovery are not measured end to end.</w:t>
            </w:r>
          </w:p>
        </w:tc>
        <w:tc>
          <w:tcPr>
            <w:tcW w:type="dxa" w:w="3140"/>
            <w:tcMar>
              <w:top w:w="80" w:type="dxa"/>
              <w:start w:w="120" w:type="dxa"/>
              <w:bottom w:w="80" w:type="dxa"/>
              <w:end w:w="120" w:type="dxa"/>
            </w:tcMar>
            <w:vAlign w:val="center"/>
          </w:tcPr>
          <w:p>
            <w:pPr>
              <w:spacing w:after="0" w:line="257" w:lineRule="auto"/>
            </w:pPr>
            <w:r>
              <w:rPr>
                <w:rFonts w:ascii="Calibri" w:hAnsi="Calibri"/>
                <w:b w:val="0"/>
                <w:i w:val="0"/>
                <w:color w:val="111111"/>
                <w:sz w:val="16"/>
              </w:rPr>
              <w:t>Paired, repeated studies of completion, steps, plans, cache, cost, latency, switching, and recovery.</w:t>
            </w:r>
          </w:p>
        </w:tc>
      </w:tr>
    </w:tbl>
    <w:p>
      <w:pPr>
        <w:spacing w:after="40"/>
      </w:pP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after="0" w:line="269" w:lineRule="auto"/>
            </w:pPr>
            <w:r>
              <w:rPr>
                <w:rFonts w:ascii="Calibri" w:hAnsi="Calibri"/>
                <w:b/>
                <w:i w:val="0"/>
                <w:color w:val="0B2545"/>
                <w:sz w:val="19"/>
              </w:rPr>
              <w:t xml:space="preserve">RECOMMENDATION  </w:t>
            </w:r>
            <w:r>
              <w:rPr>
                <w:rFonts w:ascii="Calibri" w:hAnsi="Calibri"/>
                <w:b w:val="0"/>
                <w:i w:val="0"/>
                <w:color w:val="111111"/>
                <w:sz w:val="21"/>
              </w:rPr>
              <w:t xml:space="preserve">Own the compatibility boundary, evaluation contracts, optimizer, and portable trace format. Treat </w:t>
            </w:r>
            <w:hyperlink r:id="rId11">
              <w:r>
                <w:rPr>
                  <w:rFonts w:ascii="Calibri" w:hAnsi="Calibri"/>
                  <w:color w:val="2E74B5"/>
                  <w:u w:val="single"/>
                  <w:sz w:val="21"/>
                  <w:szCs w:val="21"/>
                </w:rPr>
                <w:t>Inspect AI</w:t>
              </w:r>
            </w:hyperlink>
            <w:r>
              <w:rPr>
                <w:rFonts w:ascii="Calibri" w:hAnsi="Calibri"/>
                <w:b w:val="0"/>
                <w:i w:val="0"/>
                <w:color w:val="111111"/>
                <w:sz w:val="21"/>
              </w:rPr>
              <w:t xml:space="preserve"> as the preferred initial runner candidate—not a hard dependency—and qualify it against a thin custom runner and a managed platform. Use native-direct provider adapters as the measurement baseline. Qualify </w:t>
            </w:r>
            <w:hyperlink r:id="rId12">
              <w:r>
                <w:rPr>
                  <w:rFonts w:ascii="Calibri" w:hAnsi="Calibri"/>
                  <w:color w:val="2E74B5"/>
                  <w:u w:val="single"/>
                  <w:sz w:val="21"/>
                  <w:szCs w:val="21"/>
                </w:rPr>
                <w:t>Bifrost</w:t>
              </w:r>
            </w:hyperlink>
            <w:r>
              <w:rPr>
                <w:rFonts w:ascii="Calibri" w:hAnsi="Calibri"/>
                <w:b w:val="0"/>
                <w:i w:val="0"/>
                <w:color w:val="111111"/>
                <w:sz w:val="21"/>
              </w:rPr>
              <w:t xml:space="preserve"> as the leading open-source production-gateway candidate, </w:t>
            </w:r>
            <w:hyperlink r:id="rId13">
              <w:r>
                <w:rPr>
                  <w:rFonts w:ascii="Calibri" w:hAnsi="Calibri"/>
                  <w:color w:val="2E74B5"/>
                  <w:u w:val="single"/>
                  <w:sz w:val="21"/>
                  <w:szCs w:val="21"/>
                </w:rPr>
                <w:t>Portkey</w:t>
              </w:r>
            </w:hyperlink>
            <w:r>
              <w:rPr>
                <w:rFonts w:ascii="Calibri" w:hAnsi="Calibri"/>
                <w:b w:val="0"/>
                <w:i w:val="0"/>
                <w:color w:val="111111"/>
                <w:sz w:val="21"/>
              </w:rPr>
              <w:t xml:space="preserve"> as the governance-heavy contender, and one managed challenger. Use </w:t>
            </w:r>
            <w:hyperlink r:id="rId14">
              <w:r>
                <w:rPr>
                  <w:rFonts w:ascii="Calibri" w:hAnsi="Calibri"/>
                  <w:color w:val="2E74B5"/>
                  <w:u w:val="single"/>
                  <w:sz w:val="21"/>
                  <w:szCs w:val="21"/>
                </w:rPr>
                <w:t>LiteLLM</w:t>
              </w:r>
            </w:hyperlink>
            <w:r>
              <w:rPr>
                <w:rFonts w:ascii="Calibri" w:hAnsi="Calibri"/>
                <w:b w:val="0"/>
                <w:i w:val="0"/>
                <w:color w:val="111111"/>
                <w:sz w:val="21"/>
              </w:rPr>
              <w:t xml:space="preserve"> as a breadth/reference adapter where its integration coverage is valuable—not as the default gateway or source of truth.</w:t>
            </w:r>
          </w:p>
        </w:tc>
      </w:tr>
    </w:tbl>
    <w:p>
      <w:pPr>
        <w:spacing w:after="60"/>
      </w:pPr>
    </w:p>
    <w:p>
      <w:pPr>
        <w:keepNext w:val="0"/>
        <w:spacing w:before="0" w:after="120" w:line="264" w:lineRule="auto"/>
      </w:pPr>
      <w:r>
        <w:rPr>
          <w:rFonts w:ascii="Calibri" w:hAnsi="Calibri"/>
          <w:b w:val="0"/>
          <w:i w:val="0"/>
          <w:color w:val="111111"/>
          <w:sz w:val="22"/>
        </w:rPr>
        <w:t>The system should optimize in four distinct layers. Keeping them separate is the most important design decision because each layer changes a different causal variable:</w:t>
      </w:r>
    </w:p>
    <w:p>
      <w:pPr>
        <w:pStyle w:val="ListNumber"/>
        <w:numPr>
          <w:ilvl w:val="0"/>
          <w:numId w:val="10"/>
        </w:numPr>
        <w:spacing w:after="160" w:line="280" w:lineRule="auto"/>
        <w:ind w:left="720" w:hanging="360"/>
      </w:pPr>
      <w:r>
        <w:rPr>
          <w:rFonts w:ascii="Calibri" w:hAnsi="Calibri"/>
          <w:b/>
          <w:i w:val="0"/>
          <w:color w:val="111111"/>
          <w:sz w:val="22"/>
        </w:rPr>
        <w:t>Measurement validity.</w:t>
      </w:r>
      <w:r>
        <w:rPr>
          <w:rFonts w:ascii="Calibri" w:hAnsi="Calibri"/>
          <w:b w:val="0"/>
          <w:i w:val="0"/>
          <w:color w:val="111111"/>
          <w:sz w:val="22"/>
        </w:rPr>
        <w:t xml:space="preserve"> Define representative tasks, deterministic environments, trustworthy scorers, and a trace schema before comparing models.</w:t>
      </w:r>
    </w:p>
    <w:p>
      <w:pPr>
        <w:pStyle w:val="ListNumber"/>
        <w:numPr>
          <w:ilvl w:val="0"/>
          <w:numId w:val="10"/>
        </w:numPr>
        <w:spacing w:after="160" w:line="280" w:lineRule="auto"/>
        <w:ind w:left="720" w:hanging="360"/>
      </w:pPr>
      <w:r>
        <w:rPr>
          <w:rFonts w:ascii="Calibri" w:hAnsi="Calibri"/>
          <w:b/>
          <w:i w:val="0"/>
          <w:color w:val="111111"/>
          <w:sz w:val="22"/>
        </w:rPr>
        <w:t>Model and workflow composition.</w:t>
      </w:r>
      <w:r>
        <w:rPr>
          <w:rFonts w:ascii="Calibri" w:hAnsi="Calibri"/>
          <w:b w:val="0"/>
          <w:i w:val="0"/>
          <w:color w:val="111111"/>
          <w:sz w:val="22"/>
        </w:rPr>
        <w:t xml:space="preserve"> Select models by role—router, planner, executor, verifier, synthesizer, and memory compressor—using a canonical deployment and stable workflow settings.</w:t>
      </w:r>
    </w:p>
    <w:p>
      <w:pPr>
        <w:pStyle w:val="ListNumber"/>
        <w:numPr>
          <w:ilvl w:val="0"/>
          <w:numId w:val="10"/>
        </w:numPr>
        <w:spacing w:after="160" w:line="280" w:lineRule="auto"/>
        <w:ind w:left="720" w:hanging="360"/>
      </w:pPr>
      <w:r>
        <w:rPr>
          <w:rFonts w:ascii="Calibri" w:hAnsi="Calibri"/>
          <w:b/>
          <w:i w:val="0"/>
          <w:color w:val="111111"/>
          <w:sz w:val="22"/>
        </w:rPr>
        <w:t>Workflow performance tuning.</w:t>
      </w:r>
      <w:r>
        <w:rPr>
          <w:rFonts w:ascii="Calibri" w:hAnsi="Calibri"/>
          <w:b w:val="0"/>
          <w:i w:val="0"/>
          <w:color w:val="111111"/>
          <w:sz w:val="22"/>
        </w:rPr>
        <w:t xml:space="preserve"> Optimize prompt structure, tool exposure, context management, caching, concurrency, retries, early exit, and escalation without changing the chosen model family unless the experiment explicitly tests an interaction.</w:t>
      </w:r>
    </w:p>
    <w:p>
      <w:pPr>
        <w:pStyle w:val="ListNumber"/>
        <w:numPr>
          <w:ilvl w:val="0"/>
          <w:numId w:val="10"/>
        </w:numPr>
        <w:spacing w:after="160" w:line="280" w:lineRule="auto"/>
        <w:ind w:left="720" w:hanging="360"/>
      </w:pPr>
      <w:r>
        <w:rPr>
          <w:rFonts w:ascii="Calibri" w:hAnsi="Calibri"/>
          <w:b/>
          <w:i w:val="0"/>
          <w:color w:val="111111"/>
          <w:sz w:val="22"/>
        </w:rPr>
        <w:t>Provider and serving optimization.</w:t>
      </w:r>
      <w:r>
        <w:rPr>
          <w:rFonts w:ascii="Calibri" w:hAnsi="Calibri"/>
          <w:b w:val="0"/>
          <w:i w:val="0"/>
          <w:color w:val="111111"/>
          <w:sz w:val="22"/>
        </w:rPr>
        <w:t xml:space="preserve"> Compare inference providers or self-hosted engines only after quality-equivalent configurations are established; then select on landed cost, latency SLOs, cache economics, reliability, and operational constraints.</w:t>
      </w:r>
    </w:p>
    <w:p>
      <w:pPr>
        <w:keepNext w:val="0"/>
        <w:spacing w:before="0" w:after="120" w:line="264" w:lineRule="auto"/>
      </w:pPr>
      <w:r>
        <w:rPr>
          <w:rFonts w:ascii="Calibri" w:hAnsi="Calibri"/>
          <w:b w:val="0"/>
          <w:i w:val="0"/>
          <w:color w:val="111111"/>
          <w:sz w:val="22"/>
        </w:rPr>
        <w:t>A fifth, continuous phase turns offline results into a guarded routing policy, with shadow traffic, canaries, regression gates, drift detection, and rolling re-evaluation.</w:t>
      </w:r>
    </w:p>
    <w:p>
      <w:pPr>
        <w:pStyle w:val="Heading2"/>
        <w:keepNext/>
      </w:pPr>
      <w:r>
        <w:rPr>
          <w:rFonts w:ascii="Calibri" w:hAnsi="Calibri"/>
          <w:b/>
          <w:i w:val="0"/>
          <w:color w:val="2E74B5"/>
          <w:sz w:val="26"/>
        </w:rPr>
        <w:t>What this plan adds to today’s evaluator</w:t>
      </w:r>
    </w:p>
    <w:p>
      <w:pPr>
        <w:pStyle w:val="ListBullet"/>
        <w:spacing w:after="160" w:line="280" w:lineRule="auto"/>
        <w:ind w:left="720" w:hanging="360"/>
      </w:pPr>
      <w:r>
        <w:rPr>
          <w:rFonts w:ascii="Calibri" w:hAnsi="Calibri"/>
          <w:b w:val="0"/>
          <w:i w:val="0"/>
          <w:color w:val="111111"/>
          <w:sz w:val="22"/>
        </w:rPr>
        <w:t>Do not use a single weighted score as the primary selector. Apply lexicographic gates: correctness and safety first, then any latency constraint, then Pareto-optimize cost and efficiency among candidates that pass.</w:t>
      </w:r>
    </w:p>
    <w:p>
      <w:pPr>
        <w:pStyle w:val="ListBullet"/>
        <w:spacing w:after="160" w:line="280" w:lineRule="auto"/>
        <w:ind w:left="720" w:hanging="360"/>
      </w:pPr>
      <w:r>
        <w:rPr>
          <w:rFonts w:ascii="Calibri" w:hAnsi="Calibri"/>
          <w:b w:val="0"/>
          <w:i w:val="0"/>
          <w:color w:val="111111"/>
          <w:sz w:val="22"/>
        </w:rPr>
        <w:t>Do not reward fewer steps in isolation. A short unsafe or unverified trajectory is worse than a slightly longer successful one. Classify steps as necessary, productive, redundant, recovery, invalid, or safety/verification.</w:t>
      </w:r>
    </w:p>
    <w:p>
      <w:pPr>
        <w:pStyle w:val="ListBullet"/>
        <w:spacing w:after="160" w:line="280" w:lineRule="auto"/>
        <w:ind w:left="720" w:hanging="360"/>
      </w:pPr>
      <w:r>
        <w:rPr>
          <w:rFonts w:ascii="Calibri" w:hAnsi="Calibri"/>
          <w:b w:val="0"/>
          <w:i w:val="0"/>
          <w:color w:val="111111"/>
          <w:sz w:val="22"/>
        </w:rPr>
        <w:t>Treat cache behavior as an experimental condition. Report cold-cache and realistic warm-cache arms separately, and isolate cache namespaces so repeated benchmark runs do not create artificial advantages.</w:t>
      </w:r>
    </w:p>
    <w:p>
      <w:pPr>
        <w:pStyle w:val="ListBullet"/>
        <w:spacing w:after="160" w:line="280" w:lineRule="auto"/>
        <w:ind w:left="720" w:hanging="360"/>
      </w:pPr>
      <w:r>
        <w:rPr>
          <w:rFonts w:ascii="Calibri" w:hAnsi="Calibri"/>
          <w:b w:val="0"/>
          <w:i w:val="0"/>
          <w:color w:val="111111"/>
          <w:sz w:val="22"/>
        </w:rPr>
        <w:t>Treat cross-step model switching as a first-class experimental factor, not an assumed improvement. Accept a heterogeneous workflow only when it beats the same-model control after handoff latency, duplicated context, cache discontinuity, and new failure modes are charged to it.</w:t>
      </w:r>
    </w:p>
    <w:p>
      <w:pPr>
        <w:pStyle w:val="ListBullet"/>
        <w:spacing w:after="160" w:line="280" w:lineRule="auto"/>
        <w:ind w:left="720" w:hanging="360"/>
      </w:pPr>
      <w:r>
        <w:rPr>
          <w:rFonts w:ascii="Calibri" w:hAnsi="Calibri"/>
          <w:b w:val="0"/>
          <w:i w:val="0"/>
          <w:color w:val="111111"/>
          <w:sz w:val="22"/>
        </w:rPr>
        <w:t>Treat generated media as a first-class artifact rather than forcing it into a text-response abstraction. Video evaluation requires asynchronous job telemetry, reproducible media manifests, specialized temporal scorers, and human-calibrated preference judgments.</w:t>
      </w:r>
    </w:p>
    <w:p>
      <w:pPr>
        <w:pStyle w:val="ListBullet"/>
        <w:spacing w:after="160" w:line="280" w:lineRule="auto"/>
        <w:ind w:left="720" w:hanging="360"/>
      </w:pPr>
      <w:r>
        <w:rPr>
          <w:rFonts w:ascii="Calibri" w:hAnsi="Calibri"/>
          <w:b w:val="0"/>
          <w:i w:val="0"/>
          <w:color w:val="111111"/>
          <w:sz w:val="22"/>
        </w:rPr>
        <w:t>For external clients, separate the evaluator control plane from a client-hosted execution and data plane. Send signed declarative evaluation bundles inward and release only policy-filtered results outward; client credentials and raw sensitive traces should remain in the client environment by default.</w:t>
      </w:r>
    </w:p>
    <w:p>
      <w:pPr>
        <w:pStyle w:val="ListBullet"/>
        <w:spacing w:after="160" w:line="280" w:lineRule="auto"/>
        <w:ind w:left="720" w:hanging="360"/>
      </w:pPr>
      <w:r>
        <w:rPr>
          <w:rFonts w:ascii="Calibri" w:hAnsi="Calibri"/>
          <w:b w:val="0"/>
          <w:i w:val="0"/>
          <w:color w:val="111111"/>
          <w:sz w:val="22"/>
        </w:rPr>
        <w:t>Validate LLM judges against human labels, blind model/provider identity, randomize pairwise order, and use deterministic outcome checks whenever possible.</w:t>
      </w:r>
    </w:p>
    <w:p>
      <w:pPr>
        <w:pStyle w:val="ListBullet"/>
        <w:spacing w:after="160" w:line="280" w:lineRule="auto"/>
        <w:ind w:left="720" w:hanging="360"/>
      </w:pPr>
      <w:r>
        <w:rPr>
          <w:rFonts w:ascii="Calibri" w:hAnsi="Calibri"/>
          <w:b w:val="0"/>
          <w:i w:val="0"/>
          <w:color w:val="111111"/>
          <w:sz w:val="22"/>
        </w:rPr>
        <w:t>Treat a model served by two providers as two deployments until a paired quality-equivalence test passes; quantization, tokenizer versions, sampling defaults, tool-call normalization, and safety layers can change outcomes.</w:t>
      </w:r>
    </w:p>
    <w:p>
      <w:pPr>
        <w:pStyle w:val="ListBullet"/>
        <w:spacing w:after="160" w:line="280" w:lineRule="auto"/>
        <w:ind w:left="720" w:hanging="360"/>
      </w:pPr>
      <w:r>
        <w:rPr>
          <w:rFonts w:ascii="Calibri" w:hAnsi="Calibri"/>
          <w:b w:val="0"/>
          <w:i w:val="0"/>
          <w:color w:val="111111"/>
          <w:sz w:val="22"/>
        </w:rPr>
        <w:t>Keep logical role routing and physical provider routing as separate planes. The evaluator chooses which model a workflow step needs; a gateway chooses where an already-selected model is served. Both decisions must be independently pinned and traced.</w:t>
      </w:r>
    </w:p>
    <w:p>
      <w:pPr>
        <w:pStyle w:val="ListBullet"/>
        <w:spacing w:after="160" w:line="280" w:lineRule="auto"/>
        <w:ind w:left="720" w:hanging="360"/>
      </w:pPr>
      <w:r>
        <w:rPr>
          <w:rFonts w:ascii="Calibri" w:hAnsi="Calibri"/>
          <w:b w:val="0"/>
          <w:i w:val="0"/>
          <w:color w:val="111111"/>
          <w:sz w:val="22"/>
        </w:rPr>
        <w:t>Keep target-workflow economics separate from evaluation-plane overhead. Report target-only cost/time and all-in study cost/time, including graders, media analysis, storage, and human review.</w:t>
      </w:r>
    </w:p>
    <w:p>
      <w:pPr>
        <w:pStyle w:val="ListBullet"/>
        <w:spacing w:after="160" w:line="280" w:lineRule="auto"/>
        <w:ind w:left="720" w:hanging="360"/>
      </w:pPr>
      <w:r>
        <w:rPr>
          <w:rFonts w:ascii="Calibri" w:hAnsi="Calibri"/>
          <w:b w:val="0"/>
          <w:i w:val="0"/>
          <w:color w:val="111111"/>
          <w:sz w:val="22"/>
        </w:rPr>
        <w:t>Start from the existing Agentic Builder evaluation practice rather than a blank slate: deterministic file checks, explicit “never executed” and “not observable” states, source-fidelity comparison, controlled old-versus-new studies, and allowlisted local-first telemetry become baseline requirements.</w:t>
      </w:r>
    </w:p>
    <w:p>
      <w:pPr>
        <w:pStyle w:val="ListBullet"/>
        <w:spacing w:after="160" w:line="280" w:lineRule="auto"/>
        <w:ind w:left="720" w:hanging="360"/>
      </w:pPr>
      <w:r>
        <w:rPr>
          <w:rFonts w:ascii="Calibri" w:hAnsi="Calibri"/>
          <w:b w:val="0"/>
          <w:i w:val="0"/>
          <w:color w:val="111111"/>
          <w:sz w:val="22"/>
        </w:rPr>
        <w:t>Provide an AI-assisted design studio that drafts task, behavior, failure-mode, dataset, scorer, judge-prompt, and workflow-prompt specifications from natural language. Drafts never become selection evidence until an authorized human approves them and they pass calibration, leakage, and holdout-isolation checks.</w:t>
      </w:r>
    </w:p>
    <w:p>
      <w:pPr>
        <w:pStyle w:val="Heading2"/>
        <w:keepNext/>
      </w:pPr>
      <w:r>
        <w:rPr>
          <w:rFonts w:ascii="Calibri" w:hAnsi="Calibri"/>
          <w:b/>
          <w:i w:val="0"/>
          <w:color w:val="2E74B5"/>
          <w:sz w:val="26"/>
        </w:rPr>
        <w:t>Target operating outcome</w:t>
      </w:r>
    </w:p>
    <w:p>
      <w:pPr>
        <w:keepNext w:val="0"/>
        <w:spacing w:before="0" w:after="120" w:line="264" w:lineRule="auto"/>
      </w:pPr>
      <w:r>
        <w:rPr>
          <w:rFonts w:ascii="Calibri" w:hAnsi="Calibri"/>
          <w:b w:val="0"/>
          <w:i w:val="0"/>
          <w:color w:val="111111"/>
          <w:sz w:val="22"/>
        </w:rPr>
        <w:t>For every task family and operating mode, the evaluator should emit a versioned deployment policy such as: “use model A for planning, model B for execution, invoke model C only for verification when uncertainty exceeds τ, serve through provider P in latency-sensitive mode and provider Q in economy mode, with cache policy K and retry policy R.” The decision must be backed by trace-level evidence, confidence intervals, and reproducible run manifests.</w:t>
      </w:r>
    </w:p>
    <w:p>
      <w:pPr>
        <w:pStyle w:val="Heading1"/>
        <w:keepNext/>
      </w:pPr>
      <w:r>
        <w:rPr>
          <w:rFonts w:ascii="Calibri" w:hAnsi="Calibri"/>
          <w:b/>
          <w:i w:val="0"/>
          <w:color w:val="2E74B5"/>
          <w:sz w:val="32"/>
        </w:rPr>
        <w:t>1. Where we are today and where we are going</w:t>
      </w:r>
    </w:p>
    <w:p>
      <w:pPr>
        <w:pStyle w:val="Heading2"/>
        <w:keepNext/>
      </w:pPr>
      <w:r>
        <w:rPr>
          <w:rFonts w:ascii="Calibri" w:hAnsi="Calibri"/>
          <w:b/>
          <w:i w:val="0"/>
          <w:color w:val="2E74B5"/>
          <w:sz w:val="26"/>
        </w:rPr>
        <w:t>Today: a useful evaluator already exists</w:t>
      </w:r>
    </w:p>
    <w:p>
      <w:pPr>
        <w:keepNext w:val="0"/>
        <w:spacing w:before="0" w:after="120" w:line="264" w:lineRule="auto"/>
      </w:pPr>
      <w:r>
        <w:rPr>
          <w:rFonts w:ascii="Calibri" w:hAnsi="Calibri"/>
          <w:b w:val="0"/>
          <w:i w:val="0"/>
          <w:color w:val="111111"/>
          <w:sz w:val="22"/>
        </w:rPr>
        <w:t>EVAL.md describes an evaluation system in active use for Agentic Builder. It should be treated as the operational baseline and compatibility contract for this program—not merely as background material. Its strongest design choices become invariants; incomplete or workflow-specific pieces become the first migration backlog.</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2050"/>
        <w:gridCol w:w="3510"/>
        <w:gridCol w:w="3800"/>
      </w:tblGrid>
      <w:tr>
        <w:trPr>
          <w:tblHeader w:val="true"/>
          <w:cantSplit/>
        </w:trPr>
        <w:tc>
          <w:tcPr>
            <w:tcW w:type="dxa" w:w="20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Current capability</w:t>
            </w:r>
          </w:p>
        </w:tc>
        <w:tc>
          <w:tcPr>
            <w:tcW w:type="dxa" w:w="351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Current status</w:t>
            </w:r>
          </w:p>
        </w:tc>
        <w:tc>
          <w:tcPr>
            <w:tcW w:type="dxa" w:w="38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Migration implication</w:t>
            </w:r>
          </w:p>
        </w:tc>
      </w:tr>
      <w:tr>
        <w:trPr>
          <w:cantSplit/>
        </w:trPr>
        <w:tc>
          <w:tcPr>
            <w:tcW w:type="dxa" w:w="2050"/>
            <w:tcMar>
              <w:top w:w="80" w:type="dxa"/>
              <w:start w:w="120" w:type="dxa"/>
              <w:bottom w:w="80" w:type="dxa"/>
              <w:end w:w="120" w:type="dxa"/>
            </w:tcMar>
            <w:vAlign w:val="center"/>
          </w:tcPr>
          <w:p>
            <w:pPr>
              <w:spacing w:after="0" w:line="257" w:lineRule="auto"/>
            </w:pPr>
            <w:r>
              <w:rPr>
                <w:rFonts w:ascii="Calibri" w:hAnsi="Calibri"/>
                <w:b w:val="0"/>
                <w:i w:val="0"/>
                <w:color w:val="111111"/>
                <w:sz w:val="16"/>
              </w:rPr>
              <w:t>Deterministic artifact checks</w:t>
            </w:r>
          </w:p>
        </w:tc>
        <w:tc>
          <w:tcPr>
            <w:tcW w:type="dxa" w:w="3510"/>
            <w:tcMar>
              <w:top w:w="80" w:type="dxa"/>
              <w:start w:w="120" w:type="dxa"/>
              <w:bottom w:w="80" w:type="dxa"/>
              <w:end w:w="120" w:type="dxa"/>
            </w:tcMar>
            <w:vAlign w:val="center"/>
          </w:tcPr>
          <w:p>
            <w:pPr>
              <w:spacing w:after="0" w:line="257" w:lineRule="auto"/>
            </w:pPr>
            <w:r>
              <w:rPr>
                <w:rFonts w:ascii="Calibri" w:hAnsi="Calibri"/>
                <w:b w:val="0"/>
                <w:i w:val="0"/>
                <w:color w:val="111111"/>
                <w:sz w:val="16"/>
              </w:rPr>
              <w:t>42 file-based checks are implemented across blocker, advisory, and observe-only severities.</w:t>
            </w:r>
          </w:p>
        </w:tc>
        <w:tc>
          <w:tcPr>
            <w:tcW w:type="dxa" w:w="3800"/>
            <w:tcMar>
              <w:top w:w="80" w:type="dxa"/>
              <w:start w:w="120" w:type="dxa"/>
              <w:bottom w:w="80" w:type="dxa"/>
              <w:end w:w="120" w:type="dxa"/>
            </w:tcMar>
            <w:vAlign w:val="center"/>
          </w:tcPr>
          <w:p>
            <w:pPr>
              <w:spacing w:after="0" w:line="257" w:lineRule="auto"/>
            </w:pPr>
            <w:r>
              <w:rPr>
                <w:rFonts w:ascii="Calibri" w:hAnsi="Calibri"/>
                <w:b w:val="0"/>
                <w:i w:val="0"/>
                <w:color w:val="111111"/>
                <w:sz w:val="16"/>
              </w:rPr>
              <w:t>Import them through a compatibility adapter; do not rewrite them before parity is proven.</w:t>
            </w:r>
          </w:p>
        </w:tc>
      </w:tr>
      <w:tr>
        <w:trPr>
          <w:cantSplit/>
        </w:trPr>
        <w:tc>
          <w:tcPr>
            <w:tcW w:type="dxa" w:w="2050"/>
            <w:tcMar>
              <w:top w:w="80" w:type="dxa"/>
              <w:start w:w="120" w:type="dxa"/>
              <w:bottom w:w="80" w:type="dxa"/>
              <w:end w:w="120" w:type="dxa"/>
            </w:tcMar>
            <w:vAlign w:val="center"/>
          </w:tcPr>
          <w:p>
            <w:pPr>
              <w:spacing w:after="0" w:line="257" w:lineRule="auto"/>
            </w:pPr>
            <w:r>
              <w:rPr>
                <w:rFonts w:ascii="Calibri" w:hAnsi="Calibri"/>
                <w:b w:val="0"/>
                <w:i w:val="0"/>
                <w:color w:val="111111"/>
                <w:sz w:val="16"/>
              </w:rPr>
              <w:t>Execution coverage</w:t>
            </w:r>
          </w:p>
        </w:tc>
        <w:tc>
          <w:tcPr>
            <w:tcW w:type="dxa" w:w="3510"/>
            <w:tcMar>
              <w:top w:w="80" w:type="dxa"/>
              <w:start w:w="120" w:type="dxa"/>
              <w:bottom w:w="80" w:type="dxa"/>
              <w:end w:w="120" w:type="dxa"/>
            </w:tcMar>
            <w:vAlign w:val="center"/>
          </w:tcPr>
          <w:p>
            <w:pPr>
              <w:spacing w:after="0" w:line="257" w:lineRule="auto"/>
            </w:pPr>
            <w:r>
              <w:rPr>
                <w:rFonts w:ascii="Calibri" w:hAnsi="Calibri"/>
                <w:b w:val="0"/>
                <w:i w:val="0"/>
                <w:color w:val="111111"/>
                <w:sz w:val="16"/>
              </w:rPr>
              <w:t>Existing reports distinguish whether a check executed instead of equating no finding with a pass.</w:t>
            </w:r>
          </w:p>
        </w:tc>
        <w:tc>
          <w:tcPr>
            <w:tcW w:type="dxa" w:w="3800"/>
            <w:tcMar>
              <w:top w:w="80" w:type="dxa"/>
              <w:start w:w="120" w:type="dxa"/>
              <w:bottom w:w="80" w:type="dxa"/>
              <w:end w:w="120" w:type="dxa"/>
            </w:tcMar>
            <w:vAlign w:val="center"/>
          </w:tcPr>
          <w:p>
            <w:pPr>
              <w:spacing w:after="0" w:line="257" w:lineRule="auto"/>
            </w:pPr>
            <w:r>
              <w:rPr>
                <w:rFonts w:ascii="Calibri" w:hAnsi="Calibri"/>
                <w:b w:val="0"/>
                <w:i w:val="0"/>
                <w:color w:val="111111"/>
                <w:sz w:val="16"/>
              </w:rPr>
              <w:t>Preserve and generalize the state model to finding, no finding, skipped, never invoked, not observable, and evaluator error.</w:t>
            </w:r>
          </w:p>
        </w:tc>
      </w:tr>
      <w:tr>
        <w:trPr>
          <w:cantSplit/>
        </w:trPr>
        <w:tc>
          <w:tcPr>
            <w:tcW w:type="dxa" w:w="2050"/>
            <w:tcMar>
              <w:top w:w="80" w:type="dxa"/>
              <w:start w:w="120" w:type="dxa"/>
              <w:bottom w:w="80" w:type="dxa"/>
              <w:end w:w="120" w:type="dxa"/>
            </w:tcMar>
            <w:vAlign w:val="center"/>
          </w:tcPr>
          <w:p>
            <w:pPr>
              <w:spacing w:after="0" w:line="257" w:lineRule="auto"/>
            </w:pPr>
            <w:r>
              <w:rPr>
                <w:rFonts w:ascii="Calibri" w:hAnsi="Calibri"/>
                <w:b w:val="0"/>
                <w:i w:val="0"/>
                <w:color w:val="111111"/>
                <w:sz w:val="16"/>
              </w:rPr>
              <w:t>Source fidelity</w:t>
            </w:r>
          </w:p>
        </w:tc>
        <w:tc>
          <w:tcPr>
            <w:tcW w:type="dxa" w:w="3510"/>
            <w:tcMar>
              <w:top w:w="80" w:type="dxa"/>
              <w:start w:w="120" w:type="dxa"/>
              <w:bottom w:w="80" w:type="dxa"/>
              <w:end w:w="120" w:type="dxa"/>
            </w:tcMar>
            <w:vAlign w:val="center"/>
          </w:tcPr>
          <w:p>
            <w:pPr>
              <w:spacing w:after="0" w:line="257" w:lineRule="auto"/>
            </w:pPr>
            <w:r>
              <w:rPr>
                <w:rFonts w:ascii="Calibri" w:hAnsi="Calibri"/>
                <w:b w:val="0"/>
                <w:i w:val="0"/>
                <w:color w:val="111111"/>
                <w:sz w:val="16"/>
              </w:rPr>
              <w:t>Line-level comparison has been completed for the current Agentic Builder path.</w:t>
            </w:r>
          </w:p>
        </w:tc>
        <w:tc>
          <w:tcPr>
            <w:tcW w:type="dxa" w:w="3800"/>
            <w:tcMar>
              <w:top w:w="80" w:type="dxa"/>
              <w:start w:w="120" w:type="dxa"/>
              <w:bottom w:w="80" w:type="dxa"/>
              <w:end w:w="120" w:type="dxa"/>
            </w:tcMar>
            <w:vAlign w:val="center"/>
          </w:tcPr>
          <w:p>
            <w:pPr>
              <w:spacing w:after="0" w:line="257" w:lineRule="auto"/>
            </w:pPr>
            <w:r>
              <w:rPr>
                <w:rFonts w:ascii="Calibri" w:hAnsi="Calibri"/>
                <w:b w:val="0"/>
                <w:i w:val="0"/>
                <w:color w:val="111111"/>
                <w:sz w:val="16"/>
              </w:rPr>
              <w:t>Retain its outputs and add structured claim/requirement lineage for other task families.</w:t>
            </w:r>
          </w:p>
        </w:tc>
      </w:tr>
      <w:tr>
        <w:trPr>
          <w:cantSplit/>
        </w:trPr>
        <w:tc>
          <w:tcPr>
            <w:tcW w:type="dxa" w:w="2050"/>
            <w:tcMar>
              <w:top w:w="80" w:type="dxa"/>
              <w:start w:w="120" w:type="dxa"/>
              <w:bottom w:w="80" w:type="dxa"/>
              <w:end w:w="120" w:type="dxa"/>
            </w:tcMar>
            <w:vAlign w:val="center"/>
          </w:tcPr>
          <w:p>
            <w:pPr>
              <w:spacing w:after="0" w:line="257" w:lineRule="auto"/>
            </w:pPr>
            <w:r>
              <w:rPr>
                <w:rFonts w:ascii="Calibri" w:hAnsi="Calibri"/>
                <w:b w:val="0"/>
                <w:i w:val="0"/>
                <w:color w:val="111111"/>
                <w:sz w:val="16"/>
              </w:rPr>
              <w:t>Cross-project evidence</w:t>
            </w:r>
          </w:p>
        </w:tc>
        <w:tc>
          <w:tcPr>
            <w:tcW w:type="dxa" w:w="3510"/>
            <w:tcMar>
              <w:top w:w="80" w:type="dxa"/>
              <w:start w:w="120" w:type="dxa"/>
              <w:bottom w:w="80" w:type="dxa"/>
              <w:end w:w="120" w:type="dxa"/>
            </w:tcMar>
            <w:vAlign w:val="center"/>
          </w:tcPr>
          <w:p>
            <w:pPr>
              <w:spacing w:after="0" w:line="257" w:lineRule="auto"/>
            </w:pPr>
            <w:r>
              <w:rPr>
                <w:rFonts w:ascii="Calibri" w:hAnsi="Calibri"/>
                <w:b w:val="0"/>
                <w:i w:val="0"/>
                <w:color w:val="111111"/>
                <w:sz w:val="16"/>
              </w:rPr>
              <w:t>Per-project reports exist, but trustworthy trigger-rate aggregation and explicit missing-project coverage are not yet complete.</w:t>
            </w:r>
          </w:p>
        </w:tc>
        <w:tc>
          <w:tcPr>
            <w:tcW w:type="dxa" w:w="3800"/>
            <w:tcMar>
              <w:top w:w="80" w:type="dxa"/>
              <w:start w:w="120" w:type="dxa"/>
              <w:bottom w:w="80" w:type="dxa"/>
              <w:end w:w="120" w:type="dxa"/>
            </w:tcMar>
            <w:vAlign w:val="center"/>
          </w:tcPr>
          <w:p>
            <w:pPr>
              <w:spacing w:after="0" w:line="257" w:lineRule="auto"/>
            </w:pPr>
            <w:r>
              <w:rPr>
                <w:rFonts w:ascii="Calibri" w:hAnsi="Calibri"/>
                <w:b w:val="0"/>
                <w:i w:val="0"/>
                <w:color w:val="111111"/>
                <w:sz w:val="16"/>
              </w:rPr>
              <w:t>Add idempotent allowlisted aggregation and surface absent uploads before rankings.</w:t>
            </w:r>
          </w:p>
        </w:tc>
      </w:tr>
      <w:tr>
        <w:trPr>
          <w:cantSplit/>
        </w:trPr>
        <w:tc>
          <w:tcPr>
            <w:tcW w:type="dxa" w:w="2050"/>
            <w:tcMar>
              <w:top w:w="80" w:type="dxa"/>
              <w:start w:w="120" w:type="dxa"/>
              <w:bottom w:w="80" w:type="dxa"/>
              <w:end w:w="120" w:type="dxa"/>
            </w:tcMar>
            <w:vAlign w:val="center"/>
          </w:tcPr>
          <w:p>
            <w:pPr>
              <w:spacing w:after="0" w:line="257" w:lineRule="auto"/>
            </w:pPr>
            <w:r>
              <w:rPr>
                <w:rFonts w:ascii="Calibri" w:hAnsi="Calibri"/>
                <w:b w:val="0"/>
                <w:i w:val="0"/>
                <w:color w:val="111111"/>
                <w:sz w:val="16"/>
              </w:rPr>
              <w:t>Outcome usefulness</w:t>
            </w:r>
          </w:p>
        </w:tc>
        <w:tc>
          <w:tcPr>
            <w:tcW w:type="dxa" w:w="3510"/>
            <w:tcMar>
              <w:top w:w="80" w:type="dxa"/>
              <w:start w:w="120" w:type="dxa"/>
              <w:bottom w:w="80" w:type="dxa"/>
              <w:end w:w="120" w:type="dxa"/>
            </w:tcMar>
            <w:vAlign w:val="center"/>
          </w:tcPr>
          <w:p>
            <w:pPr>
              <w:spacing w:after="0" w:line="257" w:lineRule="auto"/>
            </w:pPr>
            <w:r>
              <w:rPr>
                <w:rFonts w:ascii="Calibri" w:hAnsi="Calibri"/>
                <w:b w:val="0"/>
                <w:i w:val="0"/>
                <w:color w:val="111111"/>
                <w:sz w:val="16"/>
              </w:rPr>
              <w:t>First-build time, post-generation edits, and old-versus-new usefulness are identified, but some are one-off, half-observable, or not yet controlled/repeated.</w:t>
            </w:r>
          </w:p>
        </w:tc>
        <w:tc>
          <w:tcPr>
            <w:tcW w:type="dxa" w:w="3800"/>
            <w:tcMar>
              <w:top w:w="80" w:type="dxa"/>
              <w:start w:w="120" w:type="dxa"/>
              <w:bottom w:w="80" w:type="dxa"/>
              <w:end w:w="120" w:type="dxa"/>
            </w:tcMar>
            <w:vAlign w:val="center"/>
          </w:tcPr>
          <w:p>
            <w:pPr>
              <w:spacing w:after="0" w:line="257" w:lineRule="auto"/>
            </w:pPr>
            <w:r>
              <w:rPr>
                <w:rFonts w:ascii="Calibri" w:hAnsi="Calibri"/>
                <w:b w:val="0"/>
                <w:i w:val="0"/>
                <w:color w:val="111111"/>
                <w:sz w:val="16"/>
              </w:rPr>
              <w:t>Turn them into pinned, paired studies with comparable definitions, complete instrumentation, and uncertainty.</w:t>
            </w:r>
          </w:p>
        </w:tc>
      </w:tr>
      <w:tr>
        <w:trPr>
          <w:cantSplit/>
        </w:trPr>
        <w:tc>
          <w:tcPr>
            <w:tcW w:type="dxa" w:w="2050"/>
            <w:tcMar>
              <w:top w:w="80" w:type="dxa"/>
              <w:start w:w="120" w:type="dxa"/>
              <w:bottom w:w="80" w:type="dxa"/>
              <w:end w:w="120" w:type="dxa"/>
            </w:tcMar>
            <w:vAlign w:val="center"/>
          </w:tcPr>
          <w:p>
            <w:pPr>
              <w:spacing w:after="0" w:line="257" w:lineRule="auto"/>
            </w:pPr>
            <w:r>
              <w:rPr>
                <w:rFonts w:ascii="Calibri" w:hAnsi="Calibri"/>
                <w:b w:val="0"/>
                <w:i w:val="0"/>
                <w:color w:val="111111"/>
                <w:sz w:val="16"/>
              </w:rPr>
              <w:t>Workflow trajectory</w:t>
            </w:r>
          </w:p>
        </w:tc>
        <w:tc>
          <w:tcPr>
            <w:tcW w:type="dxa" w:w="3510"/>
            <w:tcMar>
              <w:top w:w="80" w:type="dxa"/>
              <w:start w:w="120" w:type="dxa"/>
              <w:bottom w:w="80" w:type="dxa"/>
              <w:end w:w="120" w:type="dxa"/>
            </w:tcMar>
            <w:vAlign w:val="center"/>
          </w:tcPr>
          <w:p>
            <w:pPr>
              <w:spacing w:after="0" w:line="257" w:lineRule="auto"/>
            </w:pPr>
            <w:r>
              <w:rPr>
                <w:rFonts w:ascii="Calibri" w:hAnsi="Calibri"/>
                <w:b w:val="0"/>
                <w:i w:val="0"/>
                <w:color w:val="111111"/>
                <w:sz w:val="16"/>
              </w:rPr>
              <w:t>Final artifacts are visible; planning, redundant work, cache behavior, model handoffs, and recovery are mostly blind spots.</w:t>
            </w:r>
          </w:p>
        </w:tc>
        <w:tc>
          <w:tcPr>
            <w:tcW w:type="dxa" w:w="3800"/>
            <w:tcMar>
              <w:top w:w="80" w:type="dxa"/>
              <w:start w:w="120" w:type="dxa"/>
              <w:bottom w:w="80" w:type="dxa"/>
              <w:end w:w="120" w:type="dxa"/>
            </w:tcMar>
            <w:vAlign w:val="center"/>
          </w:tcPr>
          <w:p>
            <w:pPr>
              <w:spacing w:after="0" w:line="257" w:lineRule="auto"/>
            </w:pPr>
            <w:r>
              <w:rPr>
                <w:rFonts w:ascii="Calibri" w:hAnsi="Calibri"/>
                <w:b w:val="0"/>
                <w:i w:val="0"/>
                <w:color w:val="111111"/>
                <w:sz w:val="16"/>
              </w:rPr>
              <w:t>Add canonical trace events and checkpoint evidence without requiring hidden reasoning.</w:t>
            </w:r>
          </w:p>
        </w:tc>
      </w:tr>
      <w:tr>
        <w:trPr>
          <w:cantSplit/>
        </w:trPr>
        <w:tc>
          <w:tcPr>
            <w:tcW w:type="dxa" w:w="2050"/>
            <w:tcMar>
              <w:top w:w="80" w:type="dxa"/>
              <w:start w:w="120" w:type="dxa"/>
              <w:bottom w:w="80" w:type="dxa"/>
              <w:end w:w="120" w:type="dxa"/>
            </w:tcMar>
            <w:vAlign w:val="center"/>
          </w:tcPr>
          <w:p>
            <w:pPr>
              <w:spacing w:after="0" w:line="257" w:lineRule="auto"/>
            </w:pPr>
            <w:r>
              <w:rPr>
                <w:rFonts w:ascii="Calibri" w:hAnsi="Calibri"/>
                <w:b w:val="0"/>
                <w:i w:val="0"/>
                <w:color w:val="111111"/>
                <w:sz w:val="16"/>
              </w:rPr>
              <w:t>Deployment scope</w:t>
            </w:r>
          </w:p>
        </w:tc>
        <w:tc>
          <w:tcPr>
            <w:tcW w:type="dxa" w:w="3510"/>
            <w:tcMar>
              <w:top w:w="80" w:type="dxa"/>
              <w:start w:w="120" w:type="dxa"/>
              <w:bottom w:w="80" w:type="dxa"/>
              <w:end w:w="120" w:type="dxa"/>
            </w:tcMar>
            <w:vAlign w:val="center"/>
          </w:tcPr>
          <w:p>
            <w:pPr>
              <w:spacing w:after="0" w:line="257" w:lineRule="auto"/>
            </w:pPr>
            <w:r>
              <w:rPr>
                <w:rFonts w:ascii="Calibri" w:hAnsi="Calibri"/>
                <w:b w:val="0"/>
                <w:i w:val="0"/>
                <w:color w:val="111111"/>
                <w:sz w:val="16"/>
              </w:rPr>
              <w:t>Runs and raw evidence are local to the existing workflow.</w:t>
            </w:r>
          </w:p>
        </w:tc>
        <w:tc>
          <w:tcPr>
            <w:tcW w:type="dxa" w:w="3800"/>
            <w:tcMar>
              <w:top w:w="80" w:type="dxa"/>
              <w:start w:w="120" w:type="dxa"/>
              <w:bottom w:w="80" w:type="dxa"/>
              <w:end w:w="120" w:type="dxa"/>
            </w:tcMar>
            <w:vAlign w:val="center"/>
          </w:tcPr>
          <w:p>
            <w:pPr>
              <w:spacing w:after="0" w:line="257" w:lineRule="auto"/>
            </w:pPr>
            <w:r>
              <w:rPr>
                <w:rFonts w:ascii="Calibri" w:hAnsi="Calibri"/>
                <w:b w:val="0"/>
                <w:i w:val="0"/>
                <w:color w:val="111111"/>
                <w:sz w:val="16"/>
              </w:rPr>
              <w:t>Add a client-hosted execution/data plane and export only signed, policy-filtered results.</w:t>
            </w:r>
          </w:p>
        </w:tc>
      </w:tr>
    </w:tbl>
    <w:p>
      <w:pPr>
        <w:spacing w:after="40"/>
      </w:pPr>
    </w:p>
    <w:p>
      <w:pPr>
        <w:pStyle w:val="Heading2"/>
        <w:keepNext/>
      </w:pPr>
      <w:r>
        <w:rPr>
          <w:rFonts w:ascii="Calibri" w:hAnsi="Calibri"/>
          <w:b/>
          <w:i w:val="0"/>
          <w:color w:val="2E74B5"/>
          <w:sz w:val="26"/>
        </w:rPr>
        <w:t>What remains unchanged</w:t>
      </w:r>
    </w:p>
    <w:p>
      <w:pPr>
        <w:pStyle w:val="ListBullet"/>
        <w:spacing w:after="160" w:line="280" w:lineRule="auto"/>
        <w:ind w:left="720" w:hanging="360"/>
      </w:pPr>
      <w:r>
        <w:rPr>
          <w:rFonts w:ascii="Calibri" w:hAnsi="Calibri"/>
          <w:b w:val="0"/>
          <w:i w:val="0"/>
          <w:color w:val="111111"/>
          <w:sz w:val="22"/>
        </w:rPr>
        <w:t>Existing Agentic Builder commands, checks, severity meanings, and local reports remain supported during migration.</w:t>
      </w:r>
    </w:p>
    <w:p>
      <w:pPr>
        <w:pStyle w:val="ListBullet"/>
        <w:spacing w:after="160" w:line="280" w:lineRule="auto"/>
        <w:ind w:left="720" w:hanging="360"/>
      </w:pPr>
      <w:r>
        <w:rPr>
          <w:rFonts w:ascii="Calibri" w:hAnsi="Calibri"/>
          <w:b w:val="0"/>
          <w:i w:val="0"/>
          <w:color w:val="111111"/>
          <w:sz w:val="22"/>
        </w:rPr>
        <w:t>Deterministic evidence remains preferred over model judgment whenever the outcome is directly observable.</w:t>
      </w:r>
    </w:p>
    <w:p>
      <w:pPr>
        <w:pStyle w:val="ListBullet"/>
        <w:spacing w:after="160" w:line="280" w:lineRule="auto"/>
        <w:ind w:left="720" w:hanging="360"/>
      </w:pPr>
      <w:r>
        <w:rPr>
          <w:rFonts w:ascii="Calibri" w:hAnsi="Calibri"/>
          <w:b w:val="0"/>
          <w:i w:val="0"/>
          <w:color w:val="111111"/>
          <w:sz w:val="22"/>
        </w:rPr>
        <w:t>Execution coverage is reported before pass rate; missing or unobservable evidence is never silently scored as success.</w:t>
      </w:r>
    </w:p>
    <w:p>
      <w:pPr>
        <w:pStyle w:val="ListBullet"/>
        <w:spacing w:after="160" w:line="280" w:lineRule="auto"/>
        <w:ind w:left="720" w:hanging="360"/>
      </w:pPr>
      <w:r>
        <w:rPr>
          <w:rFonts w:ascii="Calibri" w:hAnsi="Calibri"/>
          <w:b w:val="0"/>
          <w:i w:val="0"/>
          <w:color w:val="111111"/>
          <w:sz w:val="22"/>
        </w:rPr>
        <w:t>Raw sensitive data stays local by default, and any aggregation uses explicit allowlists and pseudonymous identifiers.</w:t>
      </w:r>
    </w:p>
    <w:p>
      <w:pPr>
        <w:pStyle w:val="ListBullet"/>
        <w:spacing w:after="160" w:line="280" w:lineRule="auto"/>
        <w:ind w:left="720" w:hanging="360"/>
      </w:pPr>
      <w:r>
        <w:rPr>
          <w:rFonts w:ascii="Calibri" w:hAnsi="Calibri"/>
          <w:b w:val="0"/>
          <w:i w:val="0"/>
          <w:color w:val="111111"/>
          <w:sz w:val="22"/>
        </w:rPr>
        <w:t>Evaluation conclusions remain reviewable: every score maps to an input, evaluator version, execution state, and evidence artifact.</w:t>
      </w:r>
    </w:p>
    <w:p>
      <w:pPr>
        <w:pStyle w:val="Heading2"/>
        <w:keepNext/>
      </w:pPr>
      <w:r>
        <w:rPr>
          <w:rFonts w:ascii="Calibri" w:hAnsi="Calibri"/>
          <w:b/>
          <w:i w:val="0"/>
          <w:color w:val="2E74B5"/>
          <w:sz w:val="26"/>
        </w:rPr>
        <w:t>What changes</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660"/>
        <w:gridCol w:w="2500"/>
        <w:gridCol w:w="2970"/>
        <w:gridCol w:w="2230"/>
      </w:tblGrid>
      <w:tr>
        <w:trPr>
          <w:tblHeader w:val="true"/>
          <w:cantSplit/>
        </w:trPr>
        <w:tc>
          <w:tcPr>
            <w:tcW w:type="dxa" w:w="166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Change layer</w:t>
            </w:r>
          </w:p>
        </w:tc>
        <w:tc>
          <w:tcPr>
            <w:tcW w:type="dxa" w:w="25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From today</w:t>
            </w:r>
          </w:p>
        </w:tc>
        <w:tc>
          <w:tcPr>
            <w:tcW w:type="dxa" w:w="297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To target state</w:t>
            </w:r>
          </w:p>
        </w:tc>
        <w:tc>
          <w:tcPr>
            <w:tcW w:type="dxa" w:w="223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Evidence of successful transition</w:t>
            </w:r>
          </w:p>
        </w:tc>
      </w:tr>
      <w:tr>
        <w:trPr>
          <w:cantSplit/>
        </w:trPr>
        <w:tc>
          <w:tcPr>
            <w:tcW w:type="dxa" w:w="1660"/>
            <w:tcMar>
              <w:top w:w="80" w:type="dxa"/>
              <w:start w:w="120" w:type="dxa"/>
              <w:bottom w:w="80" w:type="dxa"/>
              <w:end w:w="120" w:type="dxa"/>
            </w:tcMar>
            <w:vAlign w:val="center"/>
          </w:tcPr>
          <w:p>
            <w:pPr>
              <w:spacing w:after="0" w:line="257" w:lineRule="auto"/>
            </w:pPr>
            <w:r>
              <w:rPr>
                <w:rFonts w:ascii="Calibri" w:hAnsi="Calibri"/>
                <w:b w:val="0"/>
                <w:i w:val="0"/>
                <w:color w:val="111111"/>
                <w:sz w:val="15"/>
              </w:rPr>
              <w:t>Compatibility and evidence</w:t>
            </w:r>
          </w:p>
        </w:tc>
        <w:tc>
          <w:tcPr>
            <w:tcW w:type="dxa" w:w="2500"/>
            <w:tcMar>
              <w:top w:w="80" w:type="dxa"/>
              <w:start w:w="120" w:type="dxa"/>
              <w:bottom w:w="80" w:type="dxa"/>
              <w:end w:w="120" w:type="dxa"/>
            </w:tcMar>
            <w:vAlign w:val="center"/>
          </w:tcPr>
          <w:p>
            <w:pPr>
              <w:spacing w:after="0" w:line="257" w:lineRule="auto"/>
            </w:pPr>
            <w:r>
              <w:rPr>
                <w:rFonts w:ascii="Calibri" w:hAnsi="Calibri"/>
                <w:b w:val="0"/>
                <w:i w:val="0"/>
                <w:color w:val="111111"/>
                <w:sz w:val="15"/>
              </w:rPr>
              <w:t>Agentic Builder-specific results and report files</w:t>
            </w:r>
          </w:p>
        </w:tc>
        <w:tc>
          <w:tcPr>
            <w:tcW w:type="dxa" w:w="2970"/>
            <w:tcMar>
              <w:top w:w="80" w:type="dxa"/>
              <w:start w:w="120" w:type="dxa"/>
              <w:bottom w:w="80" w:type="dxa"/>
              <w:end w:w="120" w:type="dxa"/>
            </w:tcMar>
            <w:vAlign w:val="center"/>
          </w:tcPr>
          <w:p>
            <w:pPr>
              <w:spacing w:after="0" w:line="257" w:lineRule="auto"/>
            </w:pPr>
            <w:r>
              <w:rPr>
                <w:rFonts w:ascii="Calibri" w:hAnsi="Calibri"/>
                <w:b w:val="0"/>
                <w:i w:val="0"/>
                <w:color w:val="111111"/>
                <w:sz w:val="15"/>
              </w:rPr>
              <w:t>Canonical events, manifests, score states, and artifact references</w:t>
            </w:r>
          </w:p>
        </w:tc>
        <w:tc>
          <w:tcPr>
            <w:tcW w:type="dxa" w:w="2230"/>
            <w:tcMar>
              <w:top w:w="80" w:type="dxa"/>
              <w:start w:w="120" w:type="dxa"/>
              <w:bottom w:w="80" w:type="dxa"/>
              <w:end w:w="120" w:type="dxa"/>
            </w:tcMar>
            <w:vAlign w:val="center"/>
          </w:tcPr>
          <w:p>
            <w:pPr>
              <w:spacing w:after="0" w:line="257" w:lineRule="auto"/>
            </w:pPr>
            <w:r>
              <w:rPr>
                <w:rFonts w:ascii="Calibri" w:hAnsi="Calibri"/>
                <w:b w:val="0"/>
                <w:i w:val="0"/>
                <w:color w:val="111111"/>
                <w:sz w:val="15"/>
              </w:rPr>
              <w:t>Golden fixtures yield the same findings and severities; old and new reports reconcile.</w:t>
            </w:r>
          </w:p>
        </w:tc>
      </w:tr>
      <w:tr>
        <w:trPr>
          <w:cantSplit/>
        </w:trPr>
        <w:tc>
          <w:tcPr>
            <w:tcW w:type="dxa" w:w="1660"/>
            <w:tcMar>
              <w:top w:w="80" w:type="dxa"/>
              <w:start w:w="120" w:type="dxa"/>
              <w:bottom w:w="80" w:type="dxa"/>
              <w:end w:w="120" w:type="dxa"/>
            </w:tcMar>
            <w:vAlign w:val="center"/>
          </w:tcPr>
          <w:p>
            <w:pPr>
              <w:spacing w:after="0" w:line="257" w:lineRule="auto"/>
            </w:pPr>
            <w:r>
              <w:rPr>
                <w:rFonts w:ascii="Calibri" w:hAnsi="Calibri"/>
                <w:b w:val="0"/>
                <w:i w:val="0"/>
                <w:color w:val="111111"/>
                <w:sz w:val="15"/>
              </w:rPr>
              <w:t>Task definition</w:t>
            </w:r>
          </w:p>
        </w:tc>
        <w:tc>
          <w:tcPr>
            <w:tcW w:type="dxa" w:w="2500"/>
            <w:tcMar>
              <w:top w:w="80" w:type="dxa"/>
              <w:start w:w="120" w:type="dxa"/>
              <w:bottom w:w="80" w:type="dxa"/>
              <w:end w:w="120" w:type="dxa"/>
            </w:tcMar>
            <w:vAlign w:val="center"/>
          </w:tcPr>
          <w:p>
            <w:pPr>
              <w:spacing w:after="0" w:line="257" w:lineRule="auto"/>
            </w:pPr>
            <w:r>
              <w:rPr>
                <w:rFonts w:ascii="Calibri" w:hAnsi="Calibri"/>
                <w:b w:val="0"/>
                <w:i w:val="0"/>
                <w:color w:val="111111"/>
                <w:sz w:val="15"/>
              </w:rPr>
              <w:t>Rules embedded in one workflow</w:t>
            </w:r>
          </w:p>
        </w:tc>
        <w:tc>
          <w:tcPr>
            <w:tcW w:type="dxa" w:w="2970"/>
            <w:tcMar>
              <w:top w:w="80" w:type="dxa"/>
              <w:start w:w="120" w:type="dxa"/>
              <w:bottom w:w="80" w:type="dxa"/>
              <w:end w:w="120" w:type="dxa"/>
            </w:tcMar>
            <w:vAlign w:val="center"/>
          </w:tcPr>
          <w:p>
            <w:pPr>
              <w:spacing w:after="0" w:line="257" w:lineRule="auto"/>
            </w:pPr>
            <w:r>
              <w:rPr>
                <w:rFonts w:ascii="Calibri" w:hAnsi="Calibri"/>
                <w:b w:val="0"/>
                <w:i w:val="0"/>
                <w:color w:val="111111"/>
                <w:sz w:val="15"/>
              </w:rPr>
              <w:t>Versioned task-family EvalDesignSpecs with target behavior, cases, failures, and holdouts</w:t>
            </w:r>
          </w:p>
        </w:tc>
        <w:tc>
          <w:tcPr>
            <w:tcW w:type="dxa" w:w="2230"/>
            <w:tcMar>
              <w:top w:w="80" w:type="dxa"/>
              <w:start w:w="120" w:type="dxa"/>
              <w:bottom w:w="80" w:type="dxa"/>
              <w:end w:w="120" w:type="dxa"/>
            </w:tcMar>
            <w:vAlign w:val="center"/>
          </w:tcPr>
          <w:p>
            <w:pPr>
              <w:spacing w:after="0" w:line="257" w:lineRule="auto"/>
            </w:pPr>
            <w:r>
              <w:rPr>
                <w:rFonts w:ascii="Calibri" w:hAnsi="Calibri"/>
                <w:b w:val="0"/>
                <w:i w:val="0"/>
                <w:color w:val="111111"/>
                <w:sz w:val="15"/>
              </w:rPr>
              <w:t>A new task family can be added without changing the evidence contracts.</w:t>
            </w:r>
          </w:p>
        </w:tc>
      </w:tr>
      <w:tr>
        <w:trPr>
          <w:cantSplit/>
        </w:trPr>
        <w:tc>
          <w:tcPr>
            <w:tcW w:type="dxa" w:w="1660"/>
            <w:tcMar>
              <w:top w:w="80" w:type="dxa"/>
              <w:start w:w="120" w:type="dxa"/>
              <w:bottom w:w="80" w:type="dxa"/>
              <w:end w:w="120" w:type="dxa"/>
            </w:tcMar>
            <w:vAlign w:val="center"/>
          </w:tcPr>
          <w:p>
            <w:pPr>
              <w:spacing w:after="0" w:line="257" w:lineRule="auto"/>
            </w:pPr>
            <w:r>
              <w:rPr>
                <w:rFonts w:ascii="Calibri" w:hAnsi="Calibri"/>
                <w:b w:val="0"/>
                <w:i w:val="0"/>
                <w:color w:val="111111"/>
                <w:sz w:val="15"/>
              </w:rPr>
              <w:t>Scoring</w:t>
            </w:r>
          </w:p>
        </w:tc>
        <w:tc>
          <w:tcPr>
            <w:tcW w:type="dxa" w:w="2500"/>
            <w:tcMar>
              <w:top w:w="80" w:type="dxa"/>
              <w:start w:w="120" w:type="dxa"/>
              <w:bottom w:w="80" w:type="dxa"/>
              <w:end w:w="120" w:type="dxa"/>
            </w:tcMar>
            <w:vAlign w:val="center"/>
          </w:tcPr>
          <w:p>
            <w:pPr>
              <w:spacing w:after="0" w:line="257" w:lineRule="auto"/>
            </w:pPr>
            <w:r>
              <w:rPr>
                <w:rFonts w:ascii="Calibri" w:hAnsi="Calibri"/>
                <w:b w:val="0"/>
                <w:i w:val="0"/>
                <w:color w:val="111111"/>
                <w:sz w:val="15"/>
              </w:rPr>
              <w:t>Mostly deterministic file checks and coarse outcome measures</w:t>
            </w:r>
          </w:p>
        </w:tc>
        <w:tc>
          <w:tcPr>
            <w:tcW w:type="dxa" w:w="2970"/>
            <w:tcMar>
              <w:top w:w="80" w:type="dxa"/>
              <w:start w:w="120" w:type="dxa"/>
              <w:bottom w:w="80" w:type="dxa"/>
              <w:end w:w="120" w:type="dxa"/>
            </w:tcMar>
            <w:vAlign w:val="center"/>
          </w:tcPr>
          <w:p>
            <w:pPr>
              <w:spacing w:after="0" w:line="257" w:lineRule="auto"/>
            </w:pPr>
            <w:r>
              <w:rPr>
                <w:rFonts w:ascii="Calibri" w:hAnsi="Calibri"/>
                <w:b w:val="0"/>
                <w:i w:val="0"/>
                <w:color w:val="111111"/>
                <w:sz w:val="15"/>
              </w:rPr>
              <w:t>Deterministic, reference, DAG/traceability, calibrated judge, pairwise human, and downstream scorers</w:t>
            </w:r>
          </w:p>
        </w:tc>
        <w:tc>
          <w:tcPr>
            <w:tcW w:type="dxa" w:w="2230"/>
            <w:tcMar>
              <w:top w:w="80" w:type="dxa"/>
              <w:start w:w="120" w:type="dxa"/>
              <w:bottom w:w="80" w:type="dxa"/>
              <w:end w:w="120" w:type="dxa"/>
            </w:tcMar>
            <w:vAlign w:val="center"/>
          </w:tcPr>
          <w:p>
            <w:pPr>
              <w:spacing w:after="0" w:line="257" w:lineRule="auto"/>
            </w:pPr>
            <w:r>
              <w:rPr>
                <w:rFonts w:ascii="Calibri" w:hAnsi="Calibri"/>
                <w:b w:val="0"/>
                <w:i w:val="0"/>
                <w:color w:val="111111"/>
                <w:sz w:val="15"/>
              </w:rPr>
              <w:t>False-pass/error thresholds and uncertainty are reported per evaluator.</w:t>
            </w:r>
          </w:p>
        </w:tc>
      </w:tr>
      <w:tr>
        <w:trPr>
          <w:cantSplit/>
        </w:trPr>
        <w:tc>
          <w:tcPr>
            <w:tcW w:type="dxa" w:w="1660"/>
            <w:tcMar>
              <w:top w:w="80" w:type="dxa"/>
              <w:start w:w="120" w:type="dxa"/>
              <w:bottom w:w="80" w:type="dxa"/>
              <w:end w:w="120" w:type="dxa"/>
            </w:tcMar>
            <w:vAlign w:val="center"/>
          </w:tcPr>
          <w:p>
            <w:pPr>
              <w:spacing w:after="0" w:line="257" w:lineRule="auto"/>
            </w:pPr>
            <w:r>
              <w:rPr>
                <w:rFonts w:ascii="Calibri" w:hAnsi="Calibri"/>
                <w:b w:val="0"/>
                <w:i w:val="0"/>
                <w:color w:val="111111"/>
                <w:sz w:val="15"/>
              </w:rPr>
              <w:t>Execution visibility</w:t>
            </w:r>
          </w:p>
        </w:tc>
        <w:tc>
          <w:tcPr>
            <w:tcW w:type="dxa" w:w="2500"/>
            <w:tcMar>
              <w:top w:w="80" w:type="dxa"/>
              <w:start w:w="120" w:type="dxa"/>
              <w:bottom w:w="80" w:type="dxa"/>
              <w:end w:w="120" w:type="dxa"/>
            </w:tcMar>
            <w:vAlign w:val="center"/>
          </w:tcPr>
          <w:p>
            <w:pPr>
              <w:spacing w:after="0" w:line="257" w:lineRule="auto"/>
            </w:pPr>
            <w:r>
              <w:rPr>
                <w:rFonts w:ascii="Calibri" w:hAnsi="Calibri"/>
                <w:b w:val="0"/>
                <w:i w:val="0"/>
                <w:color w:val="111111"/>
                <w:sz w:val="15"/>
              </w:rPr>
              <w:t>Final artifact and partial operational telemetry</w:t>
            </w:r>
          </w:p>
        </w:tc>
        <w:tc>
          <w:tcPr>
            <w:tcW w:type="dxa" w:w="2970"/>
            <w:tcMar>
              <w:top w:w="80" w:type="dxa"/>
              <w:start w:w="120" w:type="dxa"/>
              <w:bottom w:w="80" w:type="dxa"/>
              <w:end w:w="120" w:type="dxa"/>
            </w:tcMar>
            <w:vAlign w:val="center"/>
          </w:tcPr>
          <w:p>
            <w:pPr>
              <w:spacing w:after="0" w:line="257" w:lineRule="auto"/>
            </w:pPr>
            <w:r>
              <w:rPr>
                <w:rFonts w:ascii="Calibri" w:hAnsi="Calibri"/>
                <w:b w:val="0"/>
                <w:i w:val="0"/>
                <w:color w:val="111111"/>
                <w:sz w:val="15"/>
              </w:rPr>
              <w:t>Portable trajectory, plan, cache, handoff, checkpoint, and cost/latency traces</w:t>
            </w:r>
          </w:p>
        </w:tc>
        <w:tc>
          <w:tcPr>
            <w:tcW w:type="dxa" w:w="2230"/>
            <w:tcMar>
              <w:top w:w="80" w:type="dxa"/>
              <w:start w:w="120" w:type="dxa"/>
              <w:bottom w:w="80" w:type="dxa"/>
              <w:end w:w="120" w:type="dxa"/>
            </w:tcMar>
            <w:vAlign w:val="center"/>
          </w:tcPr>
          <w:p>
            <w:pPr>
              <w:spacing w:after="0" w:line="257" w:lineRule="auto"/>
            </w:pPr>
            <w:r>
              <w:rPr>
                <w:rFonts w:ascii="Calibri" w:hAnsi="Calibri"/>
                <w:b w:val="0"/>
                <w:i w:val="0"/>
                <w:color w:val="111111"/>
                <w:sz w:val="15"/>
              </w:rPr>
              <w:t>One episode can be replayed, rescored, and attributed without rerunning inference.</w:t>
            </w:r>
          </w:p>
        </w:tc>
      </w:tr>
      <w:tr>
        <w:trPr>
          <w:cantSplit/>
        </w:trPr>
        <w:tc>
          <w:tcPr>
            <w:tcW w:type="dxa" w:w="1660"/>
            <w:tcMar>
              <w:top w:w="80" w:type="dxa"/>
              <w:start w:w="120" w:type="dxa"/>
              <w:bottom w:w="80" w:type="dxa"/>
              <w:end w:w="120" w:type="dxa"/>
            </w:tcMar>
            <w:vAlign w:val="center"/>
          </w:tcPr>
          <w:p>
            <w:pPr>
              <w:spacing w:after="0" w:line="257" w:lineRule="auto"/>
            </w:pPr>
            <w:r>
              <w:rPr>
                <w:rFonts w:ascii="Calibri" w:hAnsi="Calibri"/>
                <w:b w:val="0"/>
                <w:i w:val="0"/>
                <w:color w:val="111111"/>
                <w:sz w:val="15"/>
              </w:rPr>
              <w:t>Optimization</w:t>
            </w:r>
          </w:p>
        </w:tc>
        <w:tc>
          <w:tcPr>
            <w:tcW w:type="dxa" w:w="2500"/>
            <w:tcMar>
              <w:top w:w="80" w:type="dxa"/>
              <w:start w:w="120" w:type="dxa"/>
              <w:bottom w:w="80" w:type="dxa"/>
              <w:end w:w="120" w:type="dxa"/>
            </w:tcMar>
            <w:vAlign w:val="center"/>
          </w:tcPr>
          <w:p>
            <w:pPr>
              <w:spacing w:after="0" w:line="257" w:lineRule="auto"/>
            </w:pPr>
            <w:r>
              <w:rPr>
                <w:rFonts w:ascii="Calibri" w:hAnsi="Calibri"/>
                <w:b w:val="0"/>
                <w:i w:val="0"/>
                <w:color w:val="111111"/>
                <w:sz w:val="15"/>
              </w:rPr>
              <w:t>Observe one workflow</w:t>
            </w:r>
          </w:p>
        </w:tc>
        <w:tc>
          <w:tcPr>
            <w:tcW w:type="dxa" w:w="2970"/>
            <w:tcMar>
              <w:top w:w="80" w:type="dxa"/>
              <w:start w:w="120" w:type="dxa"/>
              <w:bottom w:w="80" w:type="dxa"/>
              <w:end w:w="120" w:type="dxa"/>
            </w:tcMar>
            <w:vAlign w:val="center"/>
          </w:tcPr>
          <w:p>
            <w:pPr>
              <w:spacing w:after="0" w:line="257" w:lineRule="auto"/>
            </w:pPr>
            <w:r>
              <w:rPr>
                <w:rFonts w:ascii="Calibri" w:hAnsi="Calibri"/>
                <w:b w:val="0"/>
                <w:i w:val="0"/>
                <w:color w:val="111111"/>
                <w:sz w:val="15"/>
              </w:rPr>
              <w:t>Paired search across model roles, workflow controls, and later provider deployments</w:t>
            </w:r>
          </w:p>
        </w:tc>
        <w:tc>
          <w:tcPr>
            <w:tcW w:type="dxa" w:w="2230"/>
            <w:tcMar>
              <w:top w:w="80" w:type="dxa"/>
              <w:start w:w="120" w:type="dxa"/>
              <w:bottom w:w="80" w:type="dxa"/>
              <w:end w:w="120" w:type="dxa"/>
            </w:tcMar>
            <w:vAlign w:val="center"/>
          </w:tcPr>
          <w:p>
            <w:pPr>
              <w:spacing w:after="0" w:line="257" w:lineRule="auto"/>
            </w:pPr>
            <w:r>
              <w:rPr>
                <w:rFonts w:ascii="Calibri" w:hAnsi="Calibri"/>
                <w:b w:val="0"/>
                <w:i w:val="0"/>
                <w:color w:val="111111"/>
                <w:sz w:val="15"/>
              </w:rPr>
              <w:t>Passing candidates form a Pareto set; promotions beat a same-model/current-workflow control.</w:t>
            </w:r>
          </w:p>
        </w:tc>
      </w:tr>
      <w:tr>
        <w:trPr>
          <w:cantSplit/>
        </w:trPr>
        <w:tc>
          <w:tcPr>
            <w:tcW w:type="dxa" w:w="1660"/>
            <w:tcMar>
              <w:top w:w="80" w:type="dxa"/>
              <w:start w:w="120" w:type="dxa"/>
              <w:bottom w:w="80" w:type="dxa"/>
              <w:end w:w="120" w:type="dxa"/>
            </w:tcMar>
            <w:vAlign w:val="center"/>
          </w:tcPr>
          <w:p>
            <w:pPr>
              <w:spacing w:after="0" w:line="257" w:lineRule="auto"/>
            </w:pPr>
            <w:r>
              <w:rPr>
                <w:rFonts w:ascii="Calibri" w:hAnsi="Calibri"/>
                <w:b w:val="0"/>
                <w:i w:val="0"/>
                <w:color w:val="111111"/>
                <w:sz w:val="15"/>
              </w:rPr>
              <w:t>Client use</w:t>
            </w:r>
          </w:p>
        </w:tc>
        <w:tc>
          <w:tcPr>
            <w:tcW w:type="dxa" w:w="2500"/>
            <w:tcMar>
              <w:top w:w="80" w:type="dxa"/>
              <w:start w:w="120" w:type="dxa"/>
              <w:bottom w:w="80" w:type="dxa"/>
              <w:end w:w="120" w:type="dxa"/>
            </w:tcMar>
            <w:vAlign w:val="center"/>
          </w:tcPr>
          <w:p>
            <w:pPr>
              <w:spacing w:after="0" w:line="257" w:lineRule="auto"/>
            </w:pPr>
            <w:r>
              <w:rPr>
                <w:rFonts w:ascii="Calibri" w:hAnsi="Calibri"/>
                <w:b w:val="0"/>
                <w:i w:val="0"/>
                <w:color w:val="111111"/>
                <w:sz w:val="15"/>
              </w:rPr>
              <w:t>Internal/local workflow</w:t>
            </w:r>
          </w:p>
        </w:tc>
        <w:tc>
          <w:tcPr>
            <w:tcW w:type="dxa" w:w="2970"/>
            <w:tcMar>
              <w:top w:w="80" w:type="dxa"/>
              <w:start w:w="120" w:type="dxa"/>
              <w:bottom w:w="80" w:type="dxa"/>
              <w:end w:w="120" w:type="dxa"/>
            </w:tcMar>
            <w:vAlign w:val="center"/>
          </w:tcPr>
          <w:p>
            <w:pPr>
              <w:spacing w:after="0" w:line="257" w:lineRule="auto"/>
            </w:pPr>
            <w:r>
              <w:rPr>
                <w:rFonts w:ascii="Calibri" w:hAnsi="Calibri"/>
                <w:b w:val="0"/>
                <w:i w:val="0"/>
                <w:color w:val="111111"/>
                <w:sz w:val="15"/>
              </w:rPr>
              <w:t>Signed bundles into client environments and filtered result envelopes out</w:t>
            </w:r>
          </w:p>
        </w:tc>
        <w:tc>
          <w:tcPr>
            <w:tcW w:type="dxa" w:w="2230"/>
            <w:tcMar>
              <w:top w:w="80" w:type="dxa"/>
              <w:start w:w="120" w:type="dxa"/>
              <w:bottom w:w="80" w:type="dxa"/>
              <w:end w:w="120" w:type="dxa"/>
            </w:tcMar>
            <w:vAlign w:val="center"/>
          </w:tcPr>
          <w:p>
            <w:pPr>
              <w:spacing w:after="0" w:line="257" w:lineRule="auto"/>
            </w:pPr>
            <w:r>
              <w:rPr>
                <w:rFonts w:ascii="Calibri" w:hAnsi="Calibri"/>
                <w:b w:val="0"/>
                <w:i w:val="0"/>
                <w:color w:val="111111"/>
                <w:sz w:val="15"/>
              </w:rPr>
              <w:t>An external-client MVP runs approved workflow/data without exporting raw sensitive traces.</w:t>
            </w:r>
          </w:p>
        </w:tc>
      </w:tr>
    </w:tbl>
    <w:p>
      <w:pPr>
        <w:spacing w:after="40"/>
      </w:pP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after="0" w:line="269" w:lineRule="auto"/>
            </w:pPr>
            <w:r>
              <w:rPr>
                <w:rFonts w:ascii="Calibri" w:hAnsi="Calibri"/>
                <w:b/>
                <w:i w:val="0"/>
                <w:color w:val="0B2545"/>
                <w:sz w:val="19"/>
              </w:rPr>
              <w:t xml:space="preserve">NORTH STAR  </w:t>
            </w:r>
            <w:r>
              <w:rPr>
                <w:rFonts w:ascii="Calibri" w:hAnsi="Calibri"/>
                <w:b w:val="0"/>
                <w:i w:val="0"/>
                <w:color w:val="111111"/>
                <w:sz w:val="21"/>
              </w:rPr>
              <w:t>A team should be able to preserve today’s trusted Agentic Builder conclusions, add a new internal or external workflow through contracts rather than bespoke evaluator code, and choose a model/workflow/provider policy from reproducible evidence—without moving client data or credentials outside the approved environment.</w:t>
            </w:r>
          </w:p>
        </w:tc>
      </w:tr>
    </w:tbl>
    <w:p>
      <w:pPr>
        <w:spacing w:after="60"/>
      </w:pPr>
    </w:p>
    <w:p>
      <w:pPr>
        <w:pStyle w:val="Heading1"/>
        <w:keepNext/>
      </w:pPr>
      <w:r>
        <w:rPr>
          <w:rFonts w:ascii="Calibri" w:hAnsi="Calibri"/>
          <w:b/>
          <w:i w:val="0"/>
          <w:color w:val="2E74B5"/>
          <w:sz w:val="32"/>
        </w:rPr>
        <w:t>2. Target scope: from current Agentic Builder checks to a general evaluator</w:t>
      </w:r>
    </w:p>
    <w:tbl>
      <w:tblPr>
        <w:tblW w:type="dxa" w:w="9360"/>
        <w:jc w:val="left"/>
        <w:tblLayout w:type="fixed"/>
        <w:tblLook w:firstColumn="1" w:firstRow="1" w:lastColumn="0" w:lastRow="0" w:noHBand="0" w:noVBand="1" w:val="04A0"/>
        <w:tblInd w:w="120" w:type="dxa"/>
        <w:tblBorders>
          <w:top w:val="single" w:sz="0" w:space="0" w:color="EEF3F8"/>
          <w:left w:val="single" w:sz="0" w:space="0" w:color="EEF3F8"/>
          <w:bottom w:val="single" w:sz="0" w:space="0" w:color="EEF3F8"/>
          <w:right w:val="single" w:sz="0" w:space="0" w:color="EEF3F8"/>
          <w:insideH w:val="single" w:sz="0" w:space="0" w:color="EEF3F8"/>
          <w:insideV w:val="single" w:sz="0" w:space="0" w:color="EEF3F8"/>
        </w:tblBorders>
      </w:tblPr>
      <w:tblGrid>
        <w:gridCol w:w="9360"/>
      </w:tblGrid>
      <w:tr>
        <w:trPr>
          <w:cantSplit/>
        </w:trPr>
        <w:tc>
          <w:tcPr>
            <w:tcW w:type="dxa" w:w="9360"/>
            <w:tcMar>
              <w:top w:w="80" w:type="dxa"/>
              <w:start w:w="120" w:type="dxa"/>
              <w:bottom w:w="80" w:type="dxa"/>
              <w:end w:w="120" w:type="dxa"/>
            </w:tcMar>
            <w:vAlign w:val="center"/>
            <w:shd w:fill="EEF3F8"/>
          </w:tcPr>
          <w:p>
            <w:pPr>
              <w:spacing w:after="0" w:line="269" w:lineRule="auto"/>
            </w:pPr>
            <w:r>
              <w:rPr>
                <w:rFonts w:ascii="Calibri" w:hAnsi="Calibri"/>
                <w:b/>
                <w:i w:val="0"/>
                <w:color w:val="1F4D78"/>
                <w:sz w:val="19"/>
              </w:rPr>
              <w:t xml:space="preserve">CHANGE FROM TODAY  </w:t>
            </w:r>
            <w:r>
              <w:rPr>
                <w:rFonts w:ascii="Calibri" w:hAnsi="Calibri"/>
                <w:b w:val="0"/>
                <w:i w:val="0"/>
                <w:color w:val="111111"/>
                <w:sz w:val="21"/>
              </w:rPr>
              <w:t>Today: The evaluator is organized around one Agentic Builder workflow and its artifacts.  Change: Generalize the evaluated object to task families, workflows, logical models, physical deployments, episodes, and policies while keeping Agentic Builder as the first adapter.  Proof: Agentic Builder parity passes and a second task family uses the same contracts without Agentic Builder-specific schema changes.</w:t>
            </w:r>
          </w:p>
        </w:tc>
      </w:tr>
    </w:tbl>
    <w:p>
      <w:pPr>
        <w:spacing w:after="60"/>
      </w:pPr>
    </w:p>
    <w:p>
      <w:pPr>
        <w:pStyle w:val="Heading2"/>
        <w:keepNext/>
      </w:pPr>
      <w:r>
        <w:rPr>
          <w:rFonts w:ascii="Calibri" w:hAnsi="Calibri"/>
          <w:b/>
          <w:i w:val="0"/>
          <w:color w:val="2E74B5"/>
          <w:sz w:val="26"/>
        </w:rPr>
        <w:t>Terminology and abbreviations</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Term</w:t>
            </w:r>
          </w:p>
        </w:tc>
        <w:tc>
          <w:tcPr>
            <w:tcW w:type="dxa" w:w="756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Meaning in this document</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AI</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Artificial intelligence.</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API / HTTP / CLI</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Application programming interface / Hypertext Transfer Protocol / command-line interface.</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ASHA / HPO</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Asynchronous Successive Halving Algorithm / hyperparameter optimization.</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CI</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Continuous integration: automated checks run when code or configuration changes.</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DAG</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Directed acyclic graph; used here for dependency and causal-path evaluation.</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E2E / p50 / p95 / p99 / LCB</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End-to-end / 50th, 95th, and 99th percentiles / lower confidence bound.</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GPU / KV cache</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Graphics processing unit / key-value cache used to reuse model attention state.</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JSON / YAML / SQL</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Structured data and query formats: JavaScript Object Notation, YAML data serialization, and Structured Query Language.</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LLM / ML / RAG / VQA</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Large language model / machine learning / retrieval-augmented generation / visual question answering.</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MCP</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Model Context Protocol for connecting models or agents to tools and context sources.</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MVP</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Minimum viable product.</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OTel / OTLP</w:t>
            </w:r>
          </w:p>
        </w:tc>
        <w:tc>
          <w:tcPr>
            <w:tcW w:type="dxa" w:w="7560"/>
            <w:tcMar>
              <w:top w:w="80" w:type="dxa"/>
              <w:start w:w="120" w:type="dxa"/>
              <w:bottom w:w="80" w:type="dxa"/>
              <w:end w:w="120" w:type="dxa"/>
            </w:tcMar>
            <w:vAlign w:val="center"/>
          </w:tcPr>
          <w:p>
            <w:pPr>
              <w:spacing w:after="0" w:line="257" w:lineRule="auto"/>
            </w:pPr>
            <w:hyperlink r:id="rId15">
              <w:r>
                <w:rPr>
                  <w:rFonts w:ascii="Calibri" w:hAnsi="Calibri"/>
                  <w:color w:val="2E74B5"/>
                  <w:u w:val="single"/>
                  <w:sz w:val="17"/>
                  <w:szCs w:val="17"/>
                </w:rPr>
                <w:t>OpenTelemetry</w:t>
              </w:r>
            </w:hyperlink>
            <w:r>
              <w:rPr>
                <w:rFonts w:ascii="Calibri" w:hAnsi="Calibri"/>
                <w:b w:val="0"/>
                <w:i w:val="0"/>
                <w:color w:val="111111"/>
                <w:sz w:val="17"/>
              </w:rPr>
              <w:t xml:space="preserve"> / </w:t>
            </w:r>
            <w:hyperlink r:id="rId15">
              <w:r>
                <w:rPr>
                  <w:rFonts w:ascii="Calibri" w:hAnsi="Calibri"/>
                  <w:color w:val="2E74B5"/>
                  <w:u w:val="single"/>
                  <w:sz w:val="17"/>
                  <w:szCs w:val="17"/>
                </w:rPr>
                <w:t>OpenTelemetry</w:t>
              </w:r>
            </w:hyperlink>
            <w:r>
              <w:rPr>
                <w:rFonts w:ascii="Calibri" w:hAnsi="Calibri"/>
                <w:b w:val="0"/>
                <w:i w:val="0"/>
                <w:color w:val="111111"/>
                <w:sz w:val="17"/>
              </w:rPr>
              <w:t xml:space="preserve"> Protocol for portable traces, metrics, and logs.</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P0</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Highest-priority functionality or requirements required for the initial release.</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PRD</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Product requirements document.</w:t>
            </w:r>
          </w:p>
        </w:tc>
      </w:tr>
      <w:tr>
        <w:trPr>
          <w:cantSplit/>
        </w:trPr>
        <w:tc>
          <w:tcPr>
            <w:tcW w:type="dxa" w:w="1800"/>
            <w:tcMar>
              <w:top w:w="80" w:type="dxa"/>
              <w:start w:w="120" w:type="dxa"/>
              <w:bottom w:w="80" w:type="dxa"/>
              <w:end w:w="120" w:type="dxa"/>
            </w:tcMar>
            <w:vAlign w:val="center"/>
          </w:tcPr>
          <w:p>
            <w:pPr>
              <w:spacing w:after="0" w:line="257" w:lineRule="auto"/>
            </w:pPr>
            <w:hyperlink r:id="rId16">
              <w:r>
                <w:rPr>
                  <w:rFonts w:ascii="Calibri" w:hAnsi="Calibri"/>
                  <w:color w:val="2E74B5"/>
                  <w:u w:val="single"/>
                  <w:sz w:val="17"/>
                  <w:szCs w:val="17"/>
                </w:rPr>
                <w:t>QAG</w:t>
              </w:r>
            </w:hyperlink>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Question-answer generation; atomic questions used to test source support or requirement coverage.</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RBAC / ABAC</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Role-based access control / attribute-based access control.</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Security infrastructure</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KMS = key management service; VPC = virtual private cloud; OIDC = OpenID Connect; mTLS = mutual Transport Layer Security; SBOM = software bill of materials; SSRF = server-side request forgery.</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SLO / SLA</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Service-level objective / service-level agreement.</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SME</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Subject-matter expert.</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Supply-chain governance</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 xml:space="preserve">OCI = Open Container Initiative; </w:t>
            </w:r>
            <w:hyperlink r:id="rId17">
              <w:r>
                <w:rPr>
                  <w:rFonts w:ascii="Calibri" w:hAnsi="Calibri"/>
                  <w:color w:val="2E74B5"/>
                  <w:u w:val="single"/>
                  <w:sz w:val="17"/>
                  <w:szCs w:val="17"/>
                </w:rPr>
                <w:t>NIST SSDF</w:t>
              </w:r>
            </w:hyperlink>
            <w:r>
              <w:rPr>
                <w:rFonts w:ascii="Calibri" w:hAnsi="Calibri"/>
                <w:b w:val="0"/>
                <w:i w:val="0"/>
                <w:color w:val="111111"/>
                <w:sz w:val="17"/>
              </w:rPr>
              <w:t xml:space="preserve"> = National Institute of Standards and Technology Secure Software Development Framework; SLSA = Supply-chain Levels for Software Artifacts; </w:t>
            </w:r>
            <w:hyperlink r:id="rId18">
              <w:r>
                <w:rPr>
                  <w:rFonts w:ascii="Calibri" w:hAnsi="Calibri"/>
                  <w:color w:val="2E74B5"/>
                  <w:u w:val="single"/>
                  <w:sz w:val="17"/>
                  <w:szCs w:val="17"/>
                </w:rPr>
                <w:t>OPA</w:t>
              </w:r>
            </w:hyperlink>
            <w:r>
              <w:rPr>
                <w:rFonts w:ascii="Calibri" w:hAnsi="Calibri"/>
                <w:b w:val="0"/>
                <w:i w:val="0"/>
                <w:color w:val="111111"/>
                <w:sz w:val="17"/>
              </w:rPr>
              <w:t xml:space="preserve"> = Open Policy Agent.</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TTFT / TTL</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Time to first token / time to live.</w:t>
            </w:r>
          </w:p>
        </w:tc>
      </w:tr>
      <w:tr>
        <w:trPr>
          <w:cantSplit/>
        </w:trPr>
        <w:tc>
          <w:tcPr>
            <w:tcW w:type="dxa" w:w="1800"/>
            <w:tcMar>
              <w:top w:w="80" w:type="dxa"/>
              <w:start w:w="120" w:type="dxa"/>
              <w:bottom w:w="80" w:type="dxa"/>
              <w:end w:w="120" w:type="dxa"/>
            </w:tcMar>
            <w:vAlign w:val="center"/>
          </w:tcPr>
          <w:p>
            <w:pPr>
              <w:spacing w:after="0" w:line="257" w:lineRule="auto"/>
            </w:pPr>
            <w:r>
              <w:rPr>
                <w:rFonts w:ascii="Calibri" w:hAnsi="Calibri"/>
                <w:b w:val="0"/>
                <w:i w:val="0"/>
                <w:color w:val="111111"/>
                <w:sz w:val="17"/>
              </w:rPr>
              <w:t>UX / UI</w:t>
            </w:r>
          </w:p>
        </w:tc>
        <w:tc>
          <w:tcPr>
            <w:tcW w:type="dxa" w:w="7560"/>
            <w:tcMar>
              <w:top w:w="80" w:type="dxa"/>
              <w:start w:w="120" w:type="dxa"/>
              <w:bottom w:w="80" w:type="dxa"/>
              <w:end w:w="120" w:type="dxa"/>
            </w:tcMar>
            <w:vAlign w:val="center"/>
          </w:tcPr>
          <w:p>
            <w:pPr>
              <w:spacing w:after="0" w:line="257" w:lineRule="auto"/>
            </w:pPr>
            <w:r>
              <w:rPr>
                <w:rFonts w:ascii="Calibri" w:hAnsi="Calibri"/>
                <w:b w:val="0"/>
                <w:i w:val="0"/>
                <w:color w:val="111111"/>
                <w:sz w:val="17"/>
              </w:rPr>
              <w:t>User experience / user interface.</w:t>
            </w:r>
          </w:p>
        </w:tc>
      </w:tr>
    </w:tbl>
    <w:p>
      <w:pPr>
        <w:spacing w:after="40"/>
      </w:pPr>
    </w:p>
    <w:p>
      <w:pPr>
        <w:pStyle w:val="Heading2"/>
        <w:keepNext/>
      </w:pPr>
      <w:r>
        <w:rPr>
          <w:rFonts w:ascii="Calibri" w:hAnsi="Calibri"/>
          <w:b/>
          <w:i w:val="0"/>
          <w:color w:val="2E74B5"/>
          <w:sz w:val="26"/>
        </w:rPr>
        <w:t>What is being optimized</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450"/>
        <w:gridCol w:w="3950"/>
        <w:gridCol w:w="3960"/>
      </w:tblGrid>
      <w:tr>
        <w:trPr>
          <w:tblHeader w:val="true"/>
          <w:cantSplit/>
        </w:trPr>
        <w:tc>
          <w:tcPr>
            <w:tcW w:type="dxa" w:w="14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Object</w:t>
            </w:r>
          </w:p>
        </w:tc>
        <w:tc>
          <w:tcPr>
            <w:tcW w:type="dxa" w:w="39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Meaning</w:t>
            </w:r>
          </w:p>
        </w:tc>
        <w:tc>
          <w:tcPr>
            <w:tcW w:type="dxa" w:w="396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Examples</w:t>
            </w:r>
          </w:p>
        </w:tc>
      </w:tr>
      <w:tr>
        <w:trPr>
          <w:cantSplit/>
        </w:trPr>
        <w:tc>
          <w:tcPr>
            <w:tcW w:type="dxa" w:w="1450"/>
            <w:tcMar>
              <w:top w:w="80" w:type="dxa"/>
              <w:start w:w="120" w:type="dxa"/>
              <w:bottom w:w="80" w:type="dxa"/>
              <w:end w:w="120" w:type="dxa"/>
            </w:tcMar>
            <w:vAlign w:val="center"/>
          </w:tcPr>
          <w:p>
            <w:pPr>
              <w:spacing w:after="0" w:line="257" w:lineRule="auto"/>
            </w:pPr>
            <w:r>
              <w:rPr>
                <w:rFonts w:ascii="Calibri" w:hAnsi="Calibri"/>
                <w:b w:val="0"/>
                <w:i w:val="0"/>
                <w:color w:val="111111"/>
                <w:sz w:val="17"/>
              </w:rPr>
              <w:t>Task family</w:t>
            </w:r>
          </w:p>
        </w:tc>
        <w:tc>
          <w:tcPr>
            <w:tcW w:type="dxa" w:w="3950"/>
            <w:tcMar>
              <w:top w:w="80" w:type="dxa"/>
              <w:start w:w="120" w:type="dxa"/>
              <w:bottom w:w="80" w:type="dxa"/>
              <w:end w:w="120" w:type="dxa"/>
            </w:tcMar>
            <w:vAlign w:val="center"/>
          </w:tcPr>
          <w:p>
            <w:pPr>
              <w:spacing w:after="0" w:line="257" w:lineRule="auto"/>
            </w:pPr>
            <w:r>
              <w:rPr>
                <w:rFonts w:ascii="Calibri" w:hAnsi="Calibri"/>
                <w:b w:val="0"/>
                <w:i w:val="0"/>
                <w:color w:val="111111"/>
                <w:sz w:val="17"/>
              </w:rPr>
              <w:t>A population of work with shared tools, risk, and latency needs.</w:t>
            </w:r>
          </w:p>
        </w:tc>
        <w:tc>
          <w:tcPr>
            <w:tcW w:type="dxa" w:w="3960"/>
            <w:tcMar>
              <w:top w:w="80" w:type="dxa"/>
              <w:start w:w="120" w:type="dxa"/>
              <w:bottom w:w="80" w:type="dxa"/>
              <w:end w:w="120" w:type="dxa"/>
            </w:tcMar>
            <w:vAlign w:val="center"/>
          </w:tcPr>
          <w:p>
            <w:pPr>
              <w:spacing w:after="0" w:line="257" w:lineRule="auto"/>
            </w:pPr>
            <w:r>
              <w:rPr>
                <w:rFonts w:ascii="Calibri" w:hAnsi="Calibri"/>
                <w:b w:val="0"/>
                <w:i w:val="0"/>
                <w:color w:val="111111"/>
                <w:sz w:val="17"/>
              </w:rPr>
              <w:t>Coding, browser operations, research, data analysis, document production, support operations</w:t>
            </w:r>
          </w:p>
        </w:tc>
      </w:tr>
      <w:tr>
        <w:trPr>
          <w:cantSplit/>
        </w:trPr>
        <w:tc>
          <w:tcPr>
            <w:tcW w:type="dxa" w:w="1450"/>
            <w:tcMar>
              <w:top w:w="80" w:type="dxa"/>
              <w:start w:w="120" w:type="dxa"/>
              <w:bottom w:w="80" w:type="dxa"/>
              <w:end w:w="120" w:type="dxa"/>
            </w:tcMar>
            <w:vAlign w:val="center"/>
          </w:tcPr>
          <w:p>
            <w:pPr>
              <w:spacing w:after="0" w:line="257" w:lineRule="auto"/>
            </w:pPr>
            <w:r>
              <w:rPr>
                <w:rFonts w:ascii="Calibri" w:hAnsi="Calibri"/>
                <w:b w:val="0"/>
                <w:i w:val="0"/>
                <w:color w:val="111111"/>
                <w:sz w:val="17"/>
              </w:rPr>
              <w:t>Workflow</w:t>
            </w:r>
          </w:p>
        </w:tc>
        <w:tc>
          <w:tcPr>
            <w:tcW w:type="dxa" w:w="3950"/>
            <w:tcMar>
              <w:top w:w="80" w:type="dxa"/>
              <w:start w:w="120" w:type="dxa"/>
              <w:bottom w:w="80" w:type="dxa"/>
              <w:end w:w="120" w:type="dxa"/>
            </w:tcMar>
            <w:vAlign w:val="center"/>
          </w:tcPr>
          <w:p>
            <w:pPr>
              <w:spacing w:after="0" w:line="257" w:lineRule="auto"/>
            </w:pPr>
            <w:r>
              <w:rPr>
                <w:rFonts w:ascii="Calibri" w:hAnsi="Calibri"/>
                <w:b w:val="0"/>
                <w:i w:val="0"/>
                <w:color w:val="111111"/>
                <w:sz w:val="17"/>
              </w:rPr>
              <w:t>A versioned graph of roles, prompts, tools, budgets, state, and control policies.</w:t>
            </w:r>
          </w:p>
        </w:tc>
        <w:tc>
          <w:tcPr>
            <w:tcW w:type="dxa" w:w="3960"/>
            <w:tcMar>
              <w:top w:w="80" w:type="dxa"/>
              <w:start w:w="120" w:type="dxa"/>
              <w:bottom w:w="80" w:type="dxa"/>
              <w:end w:w="120" w:type="dxa"/>
            </w:tcMar>
            <w:vAlign w:val="center"/>
          </w:tcPr>
          <w:p>
            <w:pPr>
              <w:spacing w:after="0" w:line="257" w:lineRule="auto"/>
            </w:pPr>
            <w:r>
              <w:rPr>
                <w:rFonts w:ascii="Calibri" w:hAnsi="Calibri"/>
                <w:b w:val="0"/>
                <w:i w:val="0"/>
                <w:color w:val="111111"/>
                <w:sz w:val="17"/>
              </w:rPr>
              <w:t>Single-agent loop; planner/executor; router + specialists; verifier-on-demand</w:t>
            </w:r>
          </w:p>
        </w:tc>
      </w:tr>
      <w:tr>
        <w:trPr>
          <w:cantSplit/>
        </w:trPr>
        <w:tc>
          <w:tcPr>
            <w:tcW w:type="dxa" w:w="1450"/>
            <w:tcMar>
              <w:top w:w="80" w:type="dxa"/>
              <w:start w:w="120" w:type="dxa"/>
              <w:bottom w:w="80" w:type="dxa"/>
              <w:end w:w="120" w:type="dxa"/>
            </w:tcMar>
            <w:vAlign w:val="center"/>
          </w:tcPr>
          <w:p>
            <w:pPr>
              <w:spacing w:after="0" w:line="257" w:lineRule="auto"/>
            </w:pPr>
            <w:r>
              <w:rPr>
                <w:rFonts w:ascii="Calibri" w:hAnsi="Calibri"/>
                <w:b w:val="0"/>
                <w:i w:val="0"/>
                <w:color w:val="111111"/>
                <w:sz w:val="17"/>
              </w:rPr>
              <w:t>Model reference</w:t>
            </w:r>
          </w:p>
        </w:tc>
        <w:tc>
          <w:tcPr>
            <w:tcW w:type="dxa" w:w="3950"/>
            <w:tcMar>
              <w:top w:w="80" w:type="dxa"/>
              <w:start w:w="120" w:type="dxa"/>
              <w:bottom w:w="80" w:type="dxa"/>
              <w:end w:w="120" w:type="dxa"/>
            </w:tcMar>
            <w:vAlign w:val="center"/>
          </w:tcPr>
          <w:p>
            <w:pPr>
              <w:spacing w:after="0" w:line="257" w:lineRule="auto"/>
            </w:pPr>
            <w:r>
              <w:rPr>
                <w:rFonts w:ascii="Calibri" w:hAnsi="Calibri"/>
                <w:b w:val="0"/>
                <w:i w:val="0"/>
                <w:color w:val="111111"/>
                <w:sz w:val="17"/>
              </w:rPr>
              <w:t>A logical model identity and capability profile, independent of where it is served.</w:t>
            </w:r>
          </w:p>
        </w:tc>
        <w:tc>
          <w:tcPr>
            <w:tcW w:type="dxa" w:w="3960"/>
            <w:tcMar>
              <w:top w:w="80" w:type="dxa"/>
              <w:start w:w="120" w:type="dxa"/>
              <w:bottom w:w="80" w:type="dxa"/>
              <w:end w:w="120" w:type="dxa"/>
            </w:tcMar>
            <w:vAlign w:val="center"/>
          </w:tcPr>
          <w:p>
            <w:pPr>
              <w:spacing w:after="0" w:line="257" w:lineRule="auto"/>
            </w:pPr>
            <w:r>
              <w:rPr>
                <w:rFonts w:ascii="Calibri" w:hAnsi="Calibri"/>
                <w:b w:val="0"/>
                <w:i w:val="0"/>
                <w:color w:val="111111"/>
                <w:sz w:val="17"/>
              </w:rPr>
              <w:t>Closed API model snapshot; open-weight checkpoint + tokenizer revision</w:t>
            </w:r>
          </w:p>
        </w:tc>
      </w:tr>
      <w:tr>
        <w:trPr>
          <w:cantSplit/>
        </w:trPr>
        <w:tc>
          <w:tcPr>
            <w:tcW w:type="dxa" w:w="1450"/>
            <w:tcMar>
              <w:top w:w="80" w:type="dxa"/>
              <w:start w:w="120" w:type="dxa"/>
              <w:bottom w:w="80" w:type="dxa"/>
              <w:end w:w="120" w:type="dxa"/>
            </w:tcMar>
            <w:vAlign w:val="center"/>
          </w:tcPr>
          <w:p>
            <w:pPr>
              <w:spacing w:after="0" w:line="257" w:lineRule="auto"/>
            </w:pPr>
            <w:r>
              <w:rPr>
                <w:rFonts w:ascii="Calibri" w:hAnsi="Calibri"/>
                <w:b w:val="0"/>
                <w:i w:val="0"/>
                <w:color w:val="111111"/>
                <w:sz w:val="17"/>
              </w:rPr>
              <w:t>Deployment reference</w:t>
            </w:r>
          </w:p>
        </w:tc>
        <w:tc>
          <w:tcPr>
            <w:tcW w:type="dxa" w:w="3950"/>
            <w:tcMar>
              <w:top w:w="80" w:type="dxa"/>
              <w:start w:w="120" w:type="dxa"/>
              <w:bottom w:w="80" w:type="dxa"/>
              <w:end w:w="120" w:type="dxa"/>
            </w:tcMar>
            <w:vAlign w:val="center"/>
          </w:tcPr>
          <w:p>
            <w:pPr>
              <w:spacing w:after="0" w:line="257" w:lineRule="auto"/>
            </w:pPr>
            <w:r>
              <w:rPr>
                <w:rFonts w:ascii="Calibri" w:hAnsi="Calibri"/>
                <w:b w:val="0"/>
                <w:i w:val="0"/>
                <w:color w:val="111111"/>
                <w:sz w:val="17"/>
              </w:rPr>
              <w:t>A model served through a provider, region, tier, or self-hosted engine.</w:t>
            </w:r>
          </w:p>
        </w:tc>
        <w:tc>
          <w:tcPr>
            <w:tcW w:type="dxa" w:w="3960"/>
            <w:tcMar>
              <w:top w:w="80" w:type="dxa"/>
              <w:start w:w="120" w:type="dxa"/>
              <w:bottom w:w="80" w:type="dxa"/>
              <w:end w:w="120" w:type="dxa"/>
            </w:tcMar>
            <w:vAlign w:val="center"/>
          </w:tcPr>
          <w:p>
            <w:pPr>
              <w:spacing w:after="0" w:line="257" w:lineRule="auto"/>
            </w:pPr>
            <w:r>
              <w:rPr>
                <w:rFonts w:ascii="Calibri" w:hAnsi="Calibri"/>
                <w:b w:val="0"/>
                <w:i w:val="0"/>
                <w:color w:val="111111"/>
                <w:sz w:val="17"/>
              </w:rPr>
              <w:t xml:space="preserve">Provider API; Bedrock/Vertex-hosted model; </w:t>
            </w:r>
            <w:hyperlink r:id="rId19">
              <w:r>
                <w:rPr>
                  <w:rFonts w:ascii="Calibri" w:hAnsi="Calibri"/>
                  <w:color w:val="2E74B5"/>
                  <w:u w:val="single"/>
                  <w:sz w:val="17"/>
                  <w:szCs w:val="17"/>
                </w:rPr>
                <w:t>vLLM</w:t>
              </w:r>
            </w:hyperlink>
            <w:r>
              <w:rPr>
                <w:rFonts w:ascii="Calibri" w:hAnsi="Calibri"/>
                <w:b w:val="0"/>
                <w:i w:val="0"/>
                <w:color w:val="111111"/>
                <w:sz w:val="17"/>
              </w:rPr>
              <w:t xml:space="preserve"> deployment</w:t>
            </w:r>
          </w:p>
        </w:tc>
      </w:tr>
      <w:tr>
        <w:trPr>
          <w:cantSplit/>
        </w:trPr>
        <w:tc>
          <w:tcPr>
            <w:tcW w:type="dxa" w:w="1450"/>
            <w:tcMar>
              <w:top w:w="80" w:type="dxa"/>
              <w:start w:w="120" w:type="dxa"/>
              <w:bottom w:w="80" w:type="dxa"/>
              <w:end w:w="120" w:type="dxa"/>
            </w:tcMar>
            <w:vAlign w:val="center"/>
          </w:tcPr>
          <w:p>
            <w:pPr>
              <w:spacing w:after="0" w:line="257" w:lineRule="auto"/>
            </w:pPr>
            <w:r>
              <w:rPr>
                <w:rFonts w:ascii="Calibri" w:hAnsi="Calibri"/>
                <w:b w:val="0"/>
                <w:i w:val="0"/>
                <w:color w:val="111111"/>
                <w:sz w:val="17"/>
              </w:rPr>
              <w:t>Episode</w:t>
            </w:r>
          </w:p>
        </w:tc>
        <w:tc>
          <w:tcPr>
            <w:tcW w:type="dxa" w:w="3950"/>
            <w:tcMar>
              <w:top w:w="80" w:type="dxa"/>
              <w:start w:w="120" w:type="dxa"/>
              <w:bottom w:w="80" w:type="dxa"/>
              <w:end w:w="120" w:type="dxa"/>
            </w:tcMar>
            <w:vAlign w:val="center"/>
          </w:tcPr>
          <w:p>
            <w:pPr>
              <w:spacing w:after="0" w:line="257" w:lineRule="auto"/>
            </w:pPr>
            <w:r>
              <w:rPr>
                <w:rFonts w:ascii="Calibri" w:hAnsi="Calibri"/>
                <w:b w:val="0"/>
                <w:i w:val="0"/>
                <w:color w:val="111111"/>
                <w:sz w:val="17"/>
              </w:rPr>
              <w:t>One isolated attempt to complete one task under one frozen configuration.</w:t>
            </w:r>
          </w:p>
        </w:tc>
        <w:tc>
          <w:tcPr>
            <w:tcW w:type="dxa" w:w="3960"/>
            <w:tcMar>
              <w:top w:w="80" w:type="dxa"/>
              <w:start w:w="120" w:type="dxa"/>
              <w:bottom w:w="80" w:type="dxa"/>
              <w:end w:w="120" w:type="dxa"/>
            </w:tcMar>
            <w:vAlign w:val="center"/>
          </w:tcPr>
          <w:p>
            <w:pPr>
              <w:spacing w:after="0" w:line="257" w:lineRule="auto"/>
            </w:pPr>
            <w:r>
              <w:rPr>
                <w:rFonts w:ascii="Calibri" w:hAnsi="Calibri"/>
                <w:b w:val="0"/>
                <w:i w:val="0"/>
                <w:color w:val="111111"/>
                <w:sz w:val="17"/>
              </w:rPr>
              <w:t>Task seed + environment snapshot + workflow + deployment map</w:t>
            </w:r>
          </w:p>
        </w:tc>
      </w:tr>
      <w:tr>
        <w:trPr>
          <w:cantSplit/>
        </w:trPr>
        <w:tc>
          <w:tcPr>
            <w:tcW w:type="dxa" w:w="1450"/>
            <w:tcMar>
              <w:top w:w="80" w:type="dxa"/>
              <w:start w:w="120" w:type="dxa"/>
              <w:bottom w:w="80" w:type="dxa"/>
              <w:end w:w="120" w:type="dxa"/>
            </w:tcMar>
            <w:vAlign w:val="center"/>
          </w:tcPr>
          <w:p>
            <w:pPr>
              <w:spacing w:after="0" w:line="257" w:lineRule="auto"/>
            </w:pPr>
            <w:r>
              <w:rPr>
                <w:rFonts w:ascii="Calibri" w:hAnsi="Calibri"/>
                <w:b w:val="0"/>
                <w:i w:val="0"/>
                <w:color w:val="111111"/>
                <w:sz w:val="17"/>
              </w:rPr>
              <w:t>Policy</w:t>
            </w:r>
          </w:p>
        </w:tc>
        <w:tc>
          <w:tcPr>
            <w:tcW w:type="dxa" w:w="3950"/>
            <w:tcMar>
              <w:top w:w="80" w:type="dxa"/>
              <w:start w:w="120" w:type="dxa"/>
              <w:bottom w:w="80" w:type="dxa"/>
              <w:end w:w="120" w:type="dxa"/>
            </w:tcMar>
            <w:vAlign w:val="center"/>
          </w:tcPr>
          <w:p>
            <w:pPr>
              <w:spacing w:after="0" w:line="257" w:lineRule="auto"/>
            </w:pPr>
            <w:r>
              <w:rPr>
                <w:rFonts w:ascii="Calibri" w:hAnsi="Calibri"/>
                <w:b w:val="0"/>
                <w:i w:val="0"/>
                <w:color w:val="111111"/>
                <w:sz w:val="17"/>
              </w:rPr>
              <w:t>The chosen mapping from task and operating mode to workflow/deployments.</w:t>
            </w:r>
          </w:p>
        </w:tc>
        <w:tc>
          <w:tcPr>
            <w:tcW w:type="dxa" w:w="3960"/>
            <w:tcMar>
              <w:top w:w="80" w:type="dxa"/>
              <w:start w:w="120" w:type="dxa"/>
              <w:bottom w:w="80" w:type="dxa"/>
              <w:end w:w="120" w:type="dxa"/>
            </w:tcMar>
            <w:vAlign w:val="center"/>
          </w:tcPr>
          <w:p>
            <w:pPr>
              <w:spacing w:after="0" w:line="257" w:lineRule="auto"/>
            </w:pPr>
            <w:r>
              <w:rPr>
                <w:rFonts w:ascii="Calibri" w:hAnsi="Calibri"/>
                <w:b w:val="0"/>
                <w:i w:val="0"/>
                <w:color w:val="111111"/>
                <w:sz w:val="17"/>
              </w:rPr>
              <w:t>Latency mode, economy mode, high-assurance mode</w:t>
            </w:r>
          </w:p>
        </w:tc>
      </w:tr>
    </w:tbl>
    <w:p>
      <w:pPr>
        <w:spacing w:after="40"/>
      </w:pPr>
    </w:p>
    <w:p>
      <w:pPr>
        <w:pStyle w:val="Heading2"/>
        <w:keepNext/>
      </w:pPr>
      <w:r>
        <w:rPr>
          <w:rFonts w:ascii="Calibri" w:hAnsi="Calibri"/>
          <w:b/>
          <w:i w:val="0"/>
          <w:color w:val="2E74B5"/>
          <w:sz w:val="26"/>
        </w:rPr>
        <w:t>Non-negotiable principles</w:t>
      </w:r>
    </w:p>
    <w:p>
      <w:pPr>
        <w:pStyle w:val="ListBullet"/>
        <w:spacing w:after="160" w:line="280" w:lineRule="auto"/>
        <w:ind w:left="720" w:hanging="360"/>
      </w:pPr>
      <w:r>
        <w:rPr>
          <w:rFonts w:ascii="Calibri" w:hAnsi="Calibri"/>
          <w:b w:val="0"/>
          <w:i w:val="0"/>
          <w:color w:val="111111"/>
          <w:sz w:val="22"/>
        </w:rPr>
        <w:t>Model agnosticism through capability negotiation, not a least-common-denominator API. Native reasoning, structured output, multimodality, tool streaming, and cache controls must be represented explicitly and marked unsupported when absent.</w:t>
      </w:r>
    </w:p>
    <w:p>
      <w:pPr>
        <w:pStyle w:val="ListBullet"/>
        <w:spacing w:after="160" w:line="280" w:lineRule="auto"/>
        <w:ind w:left="720" w:hanging="360"/>
      </w:pPr>
      <w:r>
        <w:rPr>
          <w:rFonts w:ascii="Calibri" w:hAnsi="Calibri"/>
          <w:b w:val="0"/>
          <w:i w:val="0"/>
          <w:color w:val="111111"/>
          <w:sz w:val="22"/>
        </w:rPr>
        <w:t>Provider neutrality through separate model_ref and deployment_ref identifiers. Every metric and trace span carries both.</w:t>
      </w:r>
    </w:p>
    <w:p>
      <w:pPr>
        <w:pStyle w:val="ListBullet"/>
        <w:spacing w:after="160" w:line="280" w:lineRule="auto"/>
        <w:ind w:left="720" w:hanging="360"/>
      </w:pPr>
      <w:r>
        <w:rPr>
          <w:rFonts w:ascii="Calibri" w:hAnsi="Calibri"/>
          <w:b w:val="0"/>
          <w:i w:val="0"/>
          <w:color w:val="111111"/>
          <w:sz w:val="22"/>
        </w:rPr>
        <w:t>Reproducibility through immutable run manifests: dataset version, environment image, workflow revision, prompt hashes, tool versions, sampling settings, provider metadata, timestamps, and evaluator versions.</w:t>
      </w:r>
    </w:p>
    <w:p>
      <w:pPr>
        <w:pStyle w:val="ListBullet"/>
        <w:spacing w:after="160" w:line="280" w:lineRule="auto"/>
        <w:ind w:left="720" w:hanging="360"/>
      </w:pPr>
      <w:r>
        <w:rPr>
          <w:rFonts w:ascii="Calibri" w:hAnsi="Calibri"/>
          <w:b w:val="0"/>
          <w:i w:val="0"/>
          <w:color w:val="111111"/>
          <w:sz w:val="22"/>
        </w:rPr>
        <w:t>Outcome-first scoring. Use executable assertions, environment state, database changes, tests, or artifact checks before semantic graders.</w:t>
      </w:r>
    </w:p>
    <w:p>
      <w:pPr>
        <w:pStyle w:val="ListBullet"/>
        <w:spacing w:after="160" w:line="280" w:lineRule="auto"/>
        <w:ind w:left="720" w:hanging="360"/>
      </w:pPr>
      <w:r>
        <w:rPr>
          <w:rFonts w:ascii="Calibri" w:hAnsi="Calibri"/>
          <w:b w:val="0"/>
          <w:i w:val="0"/>
          <w:color w:val="111111"/>
          <w:sz w:val="22"/>
        </w:rPr>
        <w:t>Paired comparisons. Run candidates on the same task/seed blocks and analyze paired deltas to reduce noise from task difficulty.</w:t>
      </w:r>
    </w:p>
    <w:p>
      <w:pPr>
        <w:pStyle w:val="ListBullet"/>
        <w:spacing w:after="160" w:line="280" w:lineRule="auto"/>
        <w:ind w:left="720" w:hanging="360"/>
      </w:pPr>
      <w:r>
        <w:rPr>
          <w:rFonts w:ascii="Calibri" w:hAnsi="Calibri"/>
          <w:b w:val="0"/>
          <w:i w:val="0"/>
          <w:color w:val="111111"/>
          <w:sz w:val="22"/>
        </w:rPr>
        <w:t>Security and least privilege. Sandboxes, scoped credentials, trace redaction, cache isolation, and egress policy are part of evaluation—not operational afterthoughts.</w:t>
      </w:r>
    </w:p>
    <w:p>
      <w:pPr>
        <w:pStyle w:val="ListBullet"/>
        <w:spacing w:after="160" w:line="280" w:lineRule="auto"/>
        <w:ind w:left="720" w:hanging="360"/>
      </w:pPr>
      <w:r>
        <w:rPr>
          <w:rFonts w:ascii="Calibri" w:hAnsi="Calibri"/>
          <w:b w:val="0"/>
          <w:i w:val="0"/>
          <w:color w:val="111111"/>
          <w:sz w:val="22"/>
        </w:rPr>
        <w:t>No benchmark-only optimization. Public suites are adapters and diagnostics; the release gate is a versioned, private, representative task set.</w:t>
      </w:r>
    </w:p>
    <w:p>
      <w:pPr>
        <w:pStyle w:val="Heading1"/>
        <w:keepNext/>
      </w:pPr>
      <w:r>
        <w:rPr>
          <w:rFonts w:ascii="Calibri" w:hAnsi="Calibri"/>
          <w:b/>
          <w:i w:val="0"/>
          <w:color w:val="2E74B5"/>
          <w:sz w:val="32"/>
        </w:rPr>
        <w:t>3. Decision policy: from pass counts to outcome, risk, and economics</w:t>
      </w:r>
    </w:p>
    <w:tbl>
      <w:tblPr>
        <w:tblW w:type="dxa" w:w="9360"/>
        <w:jc w:val="left"/>
        <w:tblLayout w:type="fixed"/>
        <w:tblLook w:firstColumn="1" w:firstRow="1" w:lastColumn="0" w:lastRow="0" w:noHBand="0" w:noVBand="1" w:val="04A0"/>
        <w:tblInd w:w="120" w:type="dxa"/>
        <w:tblBorders>
          <w:top w:val="single" w:sz="0" w:space="0" w:color="EEF3F8"/>
          <w:left w:val="single" w:sz="0" w:space="0" w:color="EEF3F8"/>
          <w:bottom w:val="single" w:sz="0" w:space="0" w:color="EEF3F8"/>
          <w:right w:val="single" w:sz="0" w:space="0" w:color="EEF3F8"/>
          <w:insideH w:val="single" w:sz="0" w:space="0" w:color="EEF3F8"/>
          <w:insideV w:val="single" w:sz="0" w:space="0" w:color="EEF3F8"/>
        </w:tblBorders>
      </w:tblPr>
      <w:tblGrid>
        <w:gridCol w:w="9360"/>
      </w:tblGrid>
      <w:tr>
        <w:trPr>
          <w:cantSplit/>
        </w:trPr>
        <w:tc>
          <w:tcPr>
            <w:tcW w:type="dxa" w:w="9360"/>
            <w:tcMar>
              <w:top w:w="80" w:type="dxa"/>
              <w:start w:w="120" w:type="dxa"/>
              <w:bottom w:w="80" w:type="dxa"/>
              <w:end w:w="120" w:type="dxa"/>
            </w:tcMar>
            <w:vAlign w:val="center"/>
            <w:shd w:fill="EEF3F8"/>
          </w:tcPr>
          <w:p>
            <w:pPr>
              <w:spacing w:after="0" w:line="269" w:lineRule="auto"/>
            </w:pPr>
            <w:r>
              <w:rPr>
                <w:rFonts w:ascii="Calibri" w:hAnsi="Calibri"/>
                <w:b/>
                <w:i w:val="0"/>
                <w:color w:val="1F4D78"/>
                <w:sz w:val="19"/>
              </w:rPr>
              <w:t xml:space="preserve">CHANGE FROM TODAY  </w:t>
            </w:r>
            <w:r>
              <w:rPr>
                <w:rFonts w:ascii="Calibri" w:hAnsi="Calibri"/>
                <w:b w:val="0"/>
                <w:i w:val="0"/>
                <w:color w:val="111111"/>
                <w:sz w:val="21"/>
              </w:rPr>
              <w:t>Today: Current checks identify important artifact failures and early outcome measures, but they do not yet select among many model/workflow/provider combinations.  Change: Make correctness, safety, reliability, and any deadline requirements gates; compare the remaining candidates on a multidimensional Pareto frontier.  Proof: No cheaper or faster candidate is promoted by hiding a quality failure, missing check, or evaluation-plane cost.</w:t>
            </w:r>
          </w:p>
        </w:tc>
      </w:tr>
    </w:tbl>
    <w:p>
      <w:pPr>
        <w:spacing w:after="60"/>
      </w:pPr>
    </w:p>
    <w:tbl>
      <w:tblPr>
        <w:tblW w:type="dxa" w:w="9360"/>
        <w:jc w:val="left"/>
        <w:tblLayout w:type="fixed"/>
        <w:tblLook w:firstColumn="1" w:firstRow="1" w:lastColumn="0" w:lastRow="0" w:noHBand="0" w:noVBand="1" w:val="04A0"/>
        <w:tblInd w:w="120" w:type="dxa"/>
        <w:tblBorders>
          <w:top w:val="single" w:sz="0" w:space="0" w:color="EAF3EC"/>
          <w:left w:val="single" w:sz="0" w:space="0" w:color="EAF3EC"/>
          <w:bottom w:val="single" w:sz="0" w:space="0" w:color="EAF3EC"/>
          <w:right w:val="single" w:sz="0" w:space="0" w:color="EAF3EC"/>
          <w:insideH w:val="single" w:sz="0" w:space="0" w:color="EAF3EC"/>
          <w:insideV w:val="single" w:sz="0" w:space="0" w:color="EAF3EC"/>
        </w:tblBorders>
      </w:tblPr>
      <w:tblGrid>
        <w:gridCol w:w="9360"/>
      </w:tblGrid>
      <w:tr>
        <w:trPr>
          <w:cantSplit/>
        </w:trPr>
        <w:tc>
          <w:tcPr>
            <w:tcW w:type="dxa" w:w="9360"/>
            <w:tcMar>
              <w:top w:w="80" w:type="dxa"/>
              <w:start w:w="120" w:type="dxa"/>
              <w:bottom w:w="80" w:type="dxa"/>
              <w:end w:w="120" w:type="dxa"/>
            </w:tcMar>
            <w:vAlign w:val="center"/>
            <w:shd w:fill="EAF3EC"/>
          </w:tcPr>
          <w:p>
            <w:pPr>
              <w:spacing w:after="0" w:line="269" w:lineRule="auto"/>
            </w:pPr>
            <w:r>
              <w:rPr>
                <w:rFonts w:ascii="Calibri" w:hAnsi="Calibri"/>
                <w:b/>
                <w:i w:val="0"/>
                <w:color w:val="276749"/>
                <w:sz w:val="19"/>
              </w:rPr>
              <w:t xml:space="preserve">PRIMARY RULE  </w:t>
            </w:r>
            <w:r>
              <w:rPr>
                <w:rFonts w:ascii="Calibri" w:hAnsi="Calibri"/>
                <w:b w:val="0"/>
                <w:i w:val="0"/>
                <w:color w:val="111111"/>
                <w:sz w:val="21"/>
              </w:rPr>
              <w:t>Choose the least expensive and fastest configuration only among candidates that meet minimum quality, safety, and reliability requirements. Preserve the Pareto frontier instead of collapsing all objectives into a fragile scalar score.</w:t>
            </w:r>
          </w:p>
        </w:tc>
      </w:tr>
    </w:tbl>
    <w:p>
      <w:pPr>
        <w:spacing w:after="60"/>
      </w:pPr>
    </w:p>
    <w:p>
      <w:pPr>
        <w:pStyle w:val="Heading2"/>
        <w:keepNext/>
      </w:pPr>
      <w:r>
        <w:rPr>
          <w:rFonts w:ascii="Calibri" w:hAnsi="Calibri"/>
          <w:b/>
          <w:i w:val="0"/>
          <w:color w:val="2E74B5"/>
          <w:sz w:val="26"/>
        </w:rPr>
        <w:t>Constraint hierarchy</w:t>
      </w:r>
    </w:p>
    <w:p>
      <w:pPr>
        <w:pStyle w:val="ListNumber"/>
        <w:numPr>
          <w:ilvl w:val="0"/>
          <w:numId w:val="11"/>
        </w:numPr>
        <w:spacing w:after="160" w:line="280" w:lineRule="auto"/>
        <w:ind w:left="720" w:hanging="360"/>
      </w:pPr>
      <w:r>
        <w:rPr>
          <w:rFonts w:ascii="Calibri" w:hAnsi="Calibri"/>
          <w:b w:val="0"/>
          <w:i w:val="0"/>
          <w:color w:val="111111"/>
          <w:sz w:val="22"/>
        </w:rPr>
        <w:t>Hard validity gates: environment integrity, tool permissions, policy compliance, and absence of disqualifying safety failures.</w:t>
      </w:r>
    </w:p>
    <w:p>
      <w:pPr>
        <w:pStyle w:val="ListNumber"/>
        <w:numPr>
          <w:ilvl w:val="0"/>
          <w:numId w:val="11"/>
        </w:numPr>
        <w:spacing w:after="160" w:line="280" w:lineRule="auto"/>
        <w:ind w:left="720" w:hanging="360"/>
      </w:pPr>
      <w:r>
        <w:rPr>
          <w:rFonts w:ascii="Calibri" w:hAnsi="Calibri"/>
          <w:b w:val="0"/>
          <w:i w:val="0"/>
          <w:color w:val="111111"/>
          <w:sz w:val="22"/>
        </w:rPr>
        <w:t>Quality gate: task success and critical sub-scores exceed thresholds with the required statistical confidence.</w:t>
      </w:r>
    </w:p>
    <w:p>
      <w:pPr>
        <w:pStyle w:val="ListNumber"/>
        <w:numPr>
          <w:ilvl w:val="0"/>
          <w:numId w:val="11"/>
        </w:numPr>
        <w:spacing w:after="160" w:line="280" w:lineRule="auto"/>
        <w:ind w:left="720" w:hanging="360"/>
      </w:pPr>
      <w:r>
        <w:rPr>
          <w:rFonts w:ascii="Calibri" w:hAnsi="Calibri"/>
          <w:b w:val="0"/>
          <w:i w:val="0"/>
          <w:color w:val="111111"/>
          <w:sz w:val="22"/>
        </w:rPr>
        <w:t>Reliability gate: failure, timeout, malformed tool call, and retry-exhaustion rates remain within limits.</w:t>
      </w:r>
    </w:p>
    <w:p>
      <w:pPr>
        <w:pStyle w:val="ListNumber"/>
        <w:numPr>
          <w:ilvl w:val="0"/>
          <w:numId w:val="11"/>
        </w:numPr>
        <w:spacing w:after="160" w:line="280" w:lineRule="auto"/>
        <w:ind w:left="720" w:hanging="360"/>
      </w:pPr>
      <w:r>
        <w:rPr>
          <w:rFonts w:ascii="Calibri" w:hAnsi="Calibri"/>
          <w:b w:val="0"/>
          <w:i w:val="0"/>
          <w:color w:val="111111"/>
          <w:sz w:val="22"/>
        </w:rPr>
        <w:t>Latency gate when applicable: end-to-end p95 or deadline-success rate meets the task-specific SLO.</w:t>
      </w:r>
    </w:p>
    <w:p>
      <w:pPr>
        <w:pStyle w:val="ListNumber"/>
        <w:numPr>
          <w:ilvl w:val="0"/>
          <w:numId w:val="11"/>
        </w:numPr>
        <w:spacing w:after="160" w:line="280" w:lineRule="auto"/>
        <w:ind w:left="720" w:hanging="360"/>
      </w:pPr>
      <w:r>
        <w:rPr>
          <w:rFonts w:ascii="Calibri" w:hAnsi="Calibri"/>
          <w:b w:val="0"/>
          <w:i w:val="0"/>
          <w:color w:val="111111"/>
          <w:sz w:val="22"/>
        </w:rPr>
        <w:t>Pareto selection: minimize landed cost per successful task, end-to-end time, redundant work, and operational burden while maximizing cache yield and robustness.</w:t>
      </w:r>
    </w:p>
    <w:p>
      <w:pPr>
        <w:pStyle w:val="Heading2"/>
        <w:keepNext/>
      </w:pPr>
      <w:r>
        <w:rPr>
          <w:rFonts w:ascii="Calibri" w:hAnsi="Calibri"/>
          <w:b/>
          <w:i w:val="0"/>
          <w:color w:val="2E74B5"/>
          <w:sz w:val="26"/>
        </w:rPr>
        <w:t>Core derived measures</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600"/>
        <w:gridCol w:w="4300"/>
        <w:gridCol w:w="3460"/>
      </w:tblGrid>
      <w:tr>
        <w:trPr>
          <w:tblHeader w:val="true"/>
          <w:cantSplit/>
        </w:trPr>
        <w:tc>
          <w:tcPr>
            <w:tcW w:type="dxa" w:w="16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Measure</w:t>
            </w:r>
          </w:p>
        </w:tc>
        <w:tc>
          <w:tcPr>
            <w:tcW w:type="dxa" w:w="43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Definition</w:t>
            </w:r>
          </w:p>
        </w:tc>
        <w:tc>
          <w:tcPr>
            <w:tcW w:type="dxa" w:w="346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Why it matters</w:t>
            </w:r>
          </w:p>
        </w:tc>
      </w:tr>
      <w:tr>
        <w:trPr>
          <w:cantSplit/>
        </w:trPr>
        <w:tc>
          <w:tcPr>
            <w:tcW w:type="dxa" w:w="1600"/>
            <w:tcMar>
              <w:top w:w="80" w:type="dxa"/>
              <w:start w:w="120" w:type="dxa"/>
              <w:bottom w:w="80" w:type="dxa"/>
              <w:end w:w="120" w:type="dxa"/>
            </w:tcMar>
            <w:vAlign w:val="center"/>
          </w:tcPr>
          <w:p>
            <w:pPr>
              <w:spacing w:after="0" w:line="257" w:lineRule="auto"/>
            </w:pPr>
            <w:r>
              <w:rPr>
                <w:rFonts w:ascii="Calibri" w:hAnsi="Calibri"/>
                <w:b w:val="0"/>
                <w:i w:val="0"/>
                <w:color w:val="111111"/>
                <w:sz w:val="17"/>
              </w:rPr>
              <w:t>Success rate</w:t>
            </w:r>
          </w:p>
        </w:tc>
        <w:tc>
          <w:tcPr>
            <w:tcW w:type="dxa" w:w="4300"/>
            <w:tcMar>
              <w:top w:w="80" w:type="dxa"/>
              <w:start w:w="120" w:type="dxa"/>
              <w:bottom w:w="80" w:type="dxa"/>
              <w:end w:w="120" w:type="dxa"/>
            </w:tcMar>
            <w:vAlign w:val="center"/>
          </w:tcPr>
          <w:p>
            <w:pPr>
              <w:spacing w:after="0" w:line="257" w:lineRule="auto"/>
            </w:pPr>
            <w:r>
              <w:rPr>
                <w:rFonts w:ascii="Calibri" w:hAnsi="Calibri"/>
                <w:b w:val="0"/>
                <w:i w:val="0"/>
                <w:color w:val="111111"/>
                <w:sz w:val="17"/>
              </w:rPr>
              <w:t>Passing episodes ÷ valid episodes; report pass@1 and reliability across repeated attempts.</w:t>
            </w:r>
          </w:p>
        </w:tc>
        <w:tc>
          <w:tcPr>
            <w:tcW w:type="dxa" w:w="3460"/>
            <w:tcMar>
              <w:top w:w="80" w:type="dxa"/>
              <w:start w:w="120" w:type="dxa"/>
              <w:bottom w:w="80" w:type="dxa"/>
              <w:end w:w="120" w:type="dxa"/>
            </w:tcMar>
            <w:vAlign w:val="center"/>
          </w:tcPr>
          <w:p>
            <w:pPr>
              <w:spacing w:after="0" w:line="257" w:lineRule="auto"/>
            </w:pPr>
            <w:r>
              <w:rPr>
                <w:rFonts w:ascii="Calibri" w:hAnsi="Calibri"/>
                <w:b w:val="0"/>
                <w:i w:val="0"/>
                <w:color w:val="111111"/>
                <w:sz w:val="17"/>
              </w:rPr>
              <w:t>The primary outcome; segment by task family and risk tier.</w:t>
            </w:r>
          </w:p>
        </w:tc>
      </w:tr>
      <w:tr>
        <w:trPr>
          <w:cantSplit/>
        </w:trPr>
        <w:tc>
          <w:tcPr>
            <w:tcW w:type="dxa" w:w="1600"/>
            <w:tcMar>
              <w:top w:w="80" w:type="dxa"/>
              <w:start w:w="120" w:type="dxa"/>
              <w:bottom w:w="80" w:type="dxa"/>
              <w:end w:w="120" w:type="dxa"/>
            </w:tcMar>
            <w:vAlign w:val="center"/>
          </w:tcPr>
          <w:p>
            <w:pPr>
              <w:spacing w:after="0" w:line="257" w:lineRule="auto"/>
            </w:pPr>
            <w:r>
              <w:rPr>
                <w:rFonts w:ascii="Calibri" w:hAnsi="Calibri"/>
                <w:b w:val="0"/>
                <w:i w:val="0"/>
                <w:color w:val="111111"/>
                <w:sz w:val="17"/>
              </w:rPr>
              <w:t>Cost per successful task</w:t>
            </w:r>
          </w:p>
        </w:tc>
        <w:tc>
          <w:tcPr>
            <w:tcW w:type="dxa" w:w="4300"/>
            <w:tcMar>
              <w:top w:w="80" w:type="dxa"/>
              <w:start w:w="120" w:type="dxa"/>
              <w:bottom w:w="80" w:type="dxa"/>
              <w:end w:w="120" w:type="dxa"/>
            </w:tcMar>
            <w:vAlign w:val="center"/>
          </w:tcPr>
          <w:p>
            <w:pPr>
              <w:spacing w:after="0" w:line="257" w:lineRule="auto"/>
            </w:pPr>
            <w:r>
              <w:rPr>
                <w:rFonts w:ascii="Calibri" w:hAnsi="Calibri"/>
                <w:b w:val="0"/>
                <w:i w:val="0"/>
                <w:color w:val="111111"/>
                <w:sz w:val="17"/>
              </w:rPr>
              <w:t>Report target-only and all-in variants. Both charge failed attempts and retries; all-in also includes scorers/judges, media analysis, annotation, trace storage, and analysis.</w:t>
            </w:r>
          </w:p>
        </w:tc>
        <w:tc>
          <w:tcPr>
            <w:tcW w:type="dxa" w:w="3460"/>
            <w:tcMar>
              <w:top w:w="80" w:type="dxa"/>
              <w:start w:w="120" w:type="dxa"/>
              <w:bottom w:w="80" w:type="dxa"/>
              <w:end w:w="120" w:type="dxa"/>
            </w:tcMar>
            <w:vAlign w:val="center"/>
          </w:tcPr>
          <w:p>
            <w:pPr>
              <w:spacing w:after="0" w:line="257" w:lineRule="auto"/>
            </w:pPr>
            <w:r>
              <w:rPr>
                <w:rFonts w:ascii="Calibri" w:hAnsi="Calibri"/>
                <w:b w:val="0"/>
                <w:i w:val="0"/>
                <w:color w:val="111111"/>
                <w:sz w:val="17"/>
              </w:rPr>
              <w:t>Avoids “cheap per call, expensive per outcome,” while preserving a fair provider-only view.</w:t>
            </w:r>
          </w:p>
        </w:tc>
      </w:tr>
      <w:tr>
        <w:trPr>
          <w:cantSplit/>
        </w:trPr>
        <w:tc>
          <w:tcPr>
            <w:tcW w:type="dxa" w:w="1600"/>
            <w:tcMar>
              <w:top w:w="80" w:type="dxa"/>
              <w:start w:w="120" w:type="dxa"/>
              <w:bottom w:w="80" w:type="dxa"/>
              <w:end w:w="120" w:type="dxa"/>
            </w:tcMar>
            <w:vAlign w:val="center"/>
          </w:tcPr>
          <w:p>
            <w:pPr>
              <w:spacing w:after="0" w:line="257" w:lineRule="auto"/>
            </w:pPr>
            <w:r>
              <w:rPr>
                <w:rFonts w:ascii="Calibri" w:hAnsi="Calibri"/>
                <w:b w:val="0"/>
                <w:i w:val="0"/>
                <w:color w:val="111111"/>
                <w:sz w:val="17"/>
              </w:rPr>
              <w:t>Evaluation-plane overhead</w:t>
            </w:r>
          </w:p>
        </w:tc>
        <w:tc>
          <w:tcPr>
            <w:tcW w:type="dxa" w:w="4300"/>
            <w:tcMar>
              <w:top w:w="80" w:type="dxa"/>
              <w:start w:w="120" w:type="dxa"/>
              <w:bottom w:w="80" w:type="dxa"/>
              <w:end w:w="120" w:type="dxa"/>
            </w:tcMar>
            <w:vAlign w:val="center"/>
          </w:tcPr>
          <w:p>
            <w:pPr>
              <w:spacing w:after="0" w:line="257" w:lineRule="auto"/>
            </w:pPr>
            <w:r>
              <w:rPr>
                <w:rFonts w:ascii="Calibri" w:hAnsi="Calibri"/>
                <w:b w:val="0"/>
                <w:i w:val="0"/>
                <w:color w:val="111111"/>
                <w:sz w:val="17"/>
              </w:rPr>
              <w:t>Judge/scorer inference, media processing, annotation, trace transport/storage, and analysis cost/time reported separately from the target workflow.</w:t>
            </w:r>
          </w:p>
        </w:tc>
        <w:tc>
          <w:tcPr>
            <w:tcW w:type="dxa" w:w="3460"/>
            <w:tcMar>
              <w:top w:w="80" w:type="dxa"/>
              <w:start w:w="120" w:type="dxa"/>
              <w:bottom w:w="80" w:type="dxa"/>
              <w:end w:w="120" w:type="dxa"/>
            </w:tcMar>
            <w:vAlign w:val="center"/>
          </w:tcPr>
          <w:p>
            <w:pPr>
              <w:spacing w:after="0" w:line="257" w:lineRule="auto"/>
            </w:pPr>
            <w:r>
              <w:rPr>
                <w:rFonts w:ascii="Calibri" w:hAnsi="Calibri"/>
                <w:b w:val="0"/>
                <w:i w:val="0"/>
                <w:color w:val="111111"/>
                <w:sz w:val="17"/>
              </w:rPr>
              <w:t>Prevents an inexpensive target from appearing efficient only because expensive evaluation work is hidden.</w:t>
            </w:r>
          </w:p>
        </w:tc>
      </w:tr>
      <w:tr>
        <w:trPr>
          <w:cantSplit/>
        </w:trPr>
        <w:tc>
          <w:tcPr>
            <w:tcW w:type="dxa" w:w="1600"/>
            <w:tcMar>
              <w:top w:w="80" w:type="dxa"/>
              <w:start w:w="120" w:type="dxa"/>
              <w:bottom w:w="80" w:type="dxa"/>
              <w:end w:w="120" w:type="dxa"/>
            </w:tcMar>
            <w:vAlign w:val="center"/>
          </w:tcPr>
          <w:p>
            <w:pPr>
              <w:spacing w:after="0" w:line="257" w:lineRule="auto"/>
            </w:pPr>
            <w:r>
              <w:rPr>
                <w:rFonts w:ascii="Calibri" w:hAnsi="Calibri"/>
                <w:b w:val="0"/>
                <w:i w:val="0"/>
                <w:color w:val="111111"/>
                <w:sz w:val="17"/>
              </w:rPr>
              <w:t>Deadline success</w:t>
            </w:r>
          </w:p>
        </w:tc>
        <w:tc>
          <w:tcPr>
            <w:tcW w:type="dxa" w:w="4300"/>
            <w:tcMar>
              <w:top w:w="80" w:type="dxa"/>
              <w:start w:w="120" w:type="dxa"/>
              <w:bottom w:w="80" w:type="dxa"/>
              <w:end w:w="120" w:type="dxa"/>
            </w:tcMar>
            <w:vAlign w:val="center"/>
          </w:tcPr>
          <w:p>
            <w:pPr>
              <w:spacing w:after="0" w:line="257" w:lineRule="auto"/>
            </w:pPr>
            <w:r>
              <w:rPr>
                <w:rFonts w:ascii="Calibri" w:hAnsi="Calibri"/>
                <w:b w:val="0"/>
                <w:i w:val="0"/>
                <w:color w:val="111111"/>
                <w:sz w:val="17"/>
              </w:rPr>
              <w:t>Fraction of valid episodes that both pass and finish before the SLO.</w:t>
            </w:r>
          </w:p>
        </w:tc>
        <w:tc>
          <w:tcPr>
            <w:tcW w:type="dxa" w:w="3460"/>
            <w:tcMar>
              <w:top w:w="80" w:type="dxa"/>
              <w:start w:w="120" w:type="dxa"/>
              <w:bottom w:w="80" w:type="dxa"/>
              <w:end w:w="120" w:type="dxa"/>
            </w:tcMar>
            <w:vAlign w:val="center"/>
          </w:tcPr>
          <w:p>
            <w:pPr>
              <w:spacing w:after="0" w:line="257" w:lineRule="auto"/>
            </w:pPr>
            <w:r>
              <w:rPr>
                <w:rFonts w:ascii="Calibri" w:hAnsi="Calibri"/>
                <w:b w:val="0"/>
                <w:i w:val="0"/>
                <w:color w:val="111111"/>
                <w:sz w:val="17"/>
              </w:rPr>
              <w:t>Combines latency and usefulness for interactive tasks.</w:t>
            </w:r>
          </w:p>
        </w:tc>
      </w:tr>
      <w:tr>
        <w:trPr>
          <w:cantSplit/>
        </w:trPr>
        <w:tc>
          <w:tcPr>
            <w:tcW w:type="dxa" w:w="1600"/>
            <w:tcMar>
              <w:top w:w="80" w:type="dxa"/>
              <w:start w:w="120" w:type="dxa"/>
              <w:bottom w:w="80" w:type="dxa"/>
              <w:end w:w="120" w:type="dxa"/>
            </w:tcMar>
            <w:vAlign w:val="center"/>
          </w:tcPr>
          <w:p>
            <w:pPr>
              <w:spacing w:after="0" w:line="257" w:lineRule="auto"/>
            </w:pPr>
            <w:r>
              <w:rPr>
                <w:rFonts w:ascii="Calibri" w:hAnsi="Calibri"/>
                <w:b w:val="0"/>
                <w:i w:val="0"/>
                <w:color w:val="111111"/>
                <w:sz w:val="17"/>
              </w:rPr>
              <w:t>Step efficiency</w:t>
            </w:r>
          </w:p>
        </w:tc>
        <w:tc>
          <w:tcPr>
            <w:tcW w:type="dxa" w:w="4300"/>
            <w:tcMar>
              <w:top w:w="80" w:type="dxa"/>
              <w:start w:w="120" w:type="dxa"/>
              <w:bottom w:w="80" w:type="dxa"/>
              <w:end w:w="120" w:type="dxa"/>
            </w:tcMar>
            <w:vAlign w:val="center"/>
          </w:tcPr>
          <w:p>
            <w:pPr>
              <w:spacing w:after="0" w:line="257" w:lineRule="auto"/>
            </w:pPr>
            <w:r>
              <w:rPr>
                <w:rFonts w:ascii="Calibri" w:hAnsi="Calibri"/>
                <w:b w:val="0"/>
                <w:i w:val="0"/>
                <w:color w:val="111111"/>
                <w:sz w:val="17"/>
              </w:rPr>
              <w:t>Necessary + productive actions ÷ all actions, with separate penalties for invalid and redundant actions.</w:t>
            </w:r>
          </w:p>
        </w:tc>
        <w:tc>
          <w:tcPr>
            <w:tcW w:type="dxa" w:w="3460"/>
            <w:tcMar>
              <w:top w:w="80" w:type="dxa"/>
              <w:start w:w="120" w:type="dxa"/>
              <w:bottom w:w="80" w:type="dxa"/>
              <w:end w:w="120" w:type="dxa"/>
            </w:tcMar>
            <w:vAlign w:val="center"/>
          </w:tcPr>
          <w:p>
            <w:pPr>
              <w:spacing w:after="0" w:line="257" w:lineRule="auto"/>
            </w:pPr>
            <w:r>
              <w:rPr>
                <w:rFonts w:ascii="Calibri" w:hAnsi="Calibri"/>
                <w:b w:val="0"/>
                <w:i w:val="0"/>
                <w:color w:val="111111"/>
                <w:sz w:val="17"/>
              </w:rPr>
              <w:t>Does not punish required verification or safe recovery.</w:t>
            </w:r>
          </w:p>
        </w:tc>
      </w:tr>
      <w:tr>
        <w:trPr>
          <w:cantSplit/>
        </w:trPr>
        <w:tc>
          <w:tcPr>
            <w:tcW w:type="dxa" w:w="1600"/>
            <w:tcMar>
              <w:top w:w="80" w:type="dxa"/>
              <w:start w:w="120" w:type="dxa"/>
              <w:bottom w:w="80" w:type="dxa"/>
              <w:end w:w="120" w:type="dxa"/>
            </w:tcMar>
            <w:vAlign w:val="center"/>
          </w:tcPr>
          <w:p>
            <w:pPr>
              <w:spacing w:after="0" w:line="257" w:lineRule="auto"/>
            </w:pPr>
            <w:r>
              <w:rPr>
                <w:rFonts w:ascii="Calibri" w:hAnsi="Calibri"/>
                <w:b w:val="0"/>
                <w:i w:val="0"/>
                <w:color w:val="111111"/>
                <w:sz w:val="17"/>
              </w:rPr>
              <w:t>Plan efficiency</w:t>
            </w:r>
          </w:p>
        </w:tc>
        <w:tc>
          <w:tcPr>
            <w:tcW w:type="dxa" w:w="4300"/>
            <w:tcMar>
              <w:top w:w="80" w:type="dxa"/>
              <w:start w:w="120" w:type="dxa"/>
              <w:bottom w:w="80" w:type="dxa"/>
              <w:end w:w="120" w:type="dxa"/>
            </w:tcMar>
            <w:vAlign w:val="center"/>
          </w:tcPr>
          <w:p>
            <w:pPr>
              <w:spacing w:after="0" w:line="257" w:lineRule="auto"/>
            </w:pPr>
            <w:r>
              <w:rPr>
                <w:rFonts w:ascii="Calibri" w:hAnsi="Calibri"/>
                <w:b w:val="0"/>
                <w:i w:val="0"/>
                <w:color w:val="111111"/>
                <w:sz w:val="17"/>
              </w:rPr>
              <w:t>Critical-path inflation, plan churn, dependency violations, and planning-token share.</w:t>
            </w:r>
          </w:p>
        </w:tc>
        <w:tc>
          <w:tcPr>
            <w:tcW w:type="dxa" w:w="3460"/>
            <w:tcMar>
              <w:top w:w="80" w:type="dxa"/>
              <w:start w:w="120" w:type="dxa"/>
              <w:bottom w:w="80" w:type="dxa"/>
              <w:end w:w="120" w:type="dxa"/>
            </w:tcMar>
            <w:vAlign w:val="center"/>
          </w:tcPr>
          <w:p>
            <w:pPr>
              <w:spacing w:after="0" w:line="257" w:lineRule="auto"/>
            </w:pPr>
            <w:r>
              <w:rPr>
                <w:rFonts w:ascii="Calibri" w:hAnsi="Calibri"/>
                <w:b w:val="0"/>
                <w:i w:val="0"/>
                <w:color w:val="111111"/>
                <w:sz w:val="17"/>
              </w:rPr>
              <w:t>Measures whether planning reduces work rather than merely adding prose.</w:t>
            </w:r>
          </w:p>
        </w:tc>
      </w:tr>
      <w:tr>
        <w:trPr>
          <w:cantSplit/>
        </w:trPr>
        <w:tc>
          <w:tcPr>
            <w:tcW w:type="dxa" w:w="1600"/>
            <w:tcMar>
              <w:top w:w="80" w:type="dxa"/>
              <w:start w:w="120" w:type="dxa"/>
              <w:bottom w:w="80" w:type="dxa"/>
              <w:end w:w="120" w:type="dxa"/>
            </w:tcMar>
            <w:vAlign w:val="center"/>
          </w:tcPr>
          <w:p>
            <w:pPr>
              <w:spacing w:after="0" w:line="257" w:lineRule="auto"/>
            </w:pPr>
            <w:r>
              <w:rPr>
                <w:rFonts w:ascii="Calibri" w:hAnsi="Calibri"/>
                <w:b w:val="0"/>
                <w:i w:val="0"/>
                <w:color w:val="111111"/>
                <w:sz w:val="17"/>
              </w:rPr>
              <w:t>Progress retention and recovery</w:t>
            </w:r>
          </w:p>
        </w:tc>
        <w:tc>
          <w:tcPr>
            <w:tcW w:type="dxa" w:w="4300"/>
            <w:tcMar>
              <w:top w:w="80" w:type="dxa"/>
              <w:start w:w="120" w:type="dxa"/>
              <w:bottom w:w="80" w:type="dxa"/>
              <w:end w:w="120" w:type="dxa"/>
            </w:tcMar>
            <w:vAlign w:val="center"/>
          </w:tcPr>
          <w:p>
            <w:pPr>
              <w:spacing w:after="0" w:line="257" w:lineRule="auto"/>
            </w:pPr>
            <w:r>
              <w:rPr>
                <w:rFonts w:ascii="Calibri" w:hAnsi="Calibri"/>
                <w:b w:val="0"/>
                <w:i w:val="0"/>
                <w:color w:val="111111"/>
                <w:sz w:val="17"/>
              </w:rPr>
              <w:t>For tasks with verified milestones: time to first viable state, validity of milestone execution, best-confirmed-state retention, regression depth, and confirmed recovery.</w:t>
            </w:r>
          </w:p>
        </w:tc>
        <w:tc>
          <w:tcPr>
            <w:tcW w:type="dxa" w:w="3460"/>
            <w:tcMar>
              <w:top w:w="80" w:type="dxa"/>
              <w:start w:w="120" w:type="dxa"/>
              <w:bottom w:w="80" w:type="dxa"/>
              <w:end w:w="120" w:type="dxa"/>
            </w:tcMar>
            <w:vAlign w:val="center"/>
          </w:tcPr>
          <w:p>
            <w:pPr>
              <w:spacing w:after="0" w:line="257" w:lineRule="auto"/>
            </w:pPr>
            <w:r>
              <w:rPr>
                <w:rFonts w:ascii="Calibri" w:hAnsi="Calibri"/>
                <w:b w:val="0"/>
                <w:i w:val="0"/>
                <w:color w:val="111111"/>
                <w:sz w:val="17"/>
              </w:rPr>
              <w:t>Explains whether a long run advances, degrades, and repairs—not merely whether its final state passes.</w:t>
            </w:r>
          </w:p>
        </w:tc>
      </w:tr>
      <w:tr>
        <w:trPr>
          <w:cantSplit/>
        </w:trPr>
        <w:tc>
          <w:tcPr>
            <w:tcW w:type="dxa" w:w="1600"/>
            <w:tcMar>
              <w:top w:w="80" w:type="dxa"/>
              <w:start w:w="120" w:type="dxa"/>
              <w:bottom w:w="80" w:type="dxa"/>
              <w:end w:w="120" w:type="dxa"/>
            </w:tcMar>
            <w:vAlign w:val="center"/>
          </w:tcPr>
          <w:p>
            <w:pPr>
              <w:spacing w:after="0" w:line="257" w:lineRule="auto"/>
            </w:pPr>
            <w:r>
              <w:rPr>
                <w:rFonts w:ascii="Calibri" w:hAnsi="Calibri"/>
                <w:b w:val="0"/>
                <w:i w:val="0"/>
                <w:color w:val="111111"/>
                <w:sz w:val="17"/>
              </w:rPr>
              <w:t>Effective cache yield</w:t>
            </w:r>
          </w:p>
        </w:tc>
        <w:tc>
          <w:tcPr>
            <w:tcW w:type="dxa" w:w="4300"/>
            <w:tcMar>
              <w:top w:w="80" w:type="dxa"/>
              <w:start w:w="120" w:type="dxa"/>
              <w:bottom w:w="80" w:type="dxa"/>
              <w:end w:w="120" w:type="dxa"/>
            </w:tcMar>
            <w:vAlign w:val="center"/>
          </w:tcPr>
          <w:p>
            <w:pPr>
              <w:spacing w:after="0" w:line="257" w:lineRule="auto"/>
            </w:pPr>
            <w:r>
              <w:rPr>
                <w:rFonts w:ascii="Calibri" w:hAnsi="Calibri"/>
                <w:b w:val="0"/>
                <w:i w:val="0"/>
                <w:color w:val="111111"/>
                <w:sz w:val="17"/>
              </w:rPr>
              <w:t>(Uncached-equivalent cost − actual cache cost − storage/write cost) ÷ uncached-equivalent cost.</w:t>
            </w:r>
          </w:p>
        </w:tc>
        <w:tc>
          <w:tcPr>
            <w:tcW w:type="dxa" w:w="3460"/>
            <w:tcMar>
              <w:top w:w="80" w:type="dxa"/>
              <w:start w:w="120" w:type="dxa"/>
              <w:bottom w:w="80" w:type="dxa"/>
              <w:end w:w="120" w:type="dxa"/>
            </w:tcMar>
            <w:vAlign w:val="center"/>
          </w:tcPr>
          <w:p>
            <w:pPr>
              <w:spacing w:after="0" w:line="257" w:lineRule="auto"/>
            </w:pPr>
            <w:r>
              <w:rPr>
                <w:rFonts w:ascii="Calibri" w:hAnsi="Calibri"/>
                <w:b w:val="0"/>
                <w:i w:val="0"/>
                <w:color w:val="111111"/>
                <w:sz w:val="17"/>
              </w:rPr>
              <w:t>Comparable across providers with different cache billing.</w:t>
            </w:r>
          </w:p>
        </w:tc>
      </w:tr>
      <w:tr>
        <w:trPr>
          <w:cantSplit/>
        </w:trPr>
        <w:tc>
          <w:tcPr>
            <w:tcW w:type="dxa" w:w="1600"/>
            <w:tcMar>
              <w:top w:w="80" w:type="dxa"/>
              <w:start w:w="120" w:type="dxa"/>
              <w:bottom w:w="80" w:type="dxa"/>
              <w:end w:w="120" w:type="dxa"/>
            </w:tcMar>
            <w:vAlign w:val="center"/>
          </w:tcPr>
          <w:p>
            <w:pPr>
              <w:spacing w:after="0" w:line="257" w:lineRule="auto"/>
            </w:pPr>
            <w:r>
              <w:rPr>
                <w:rFonts w:ascii="Calibri" w:hAnsi="Calibri"/>
                <w:b w:val="0"/>
                <w:i w:val="0"/>
                <w:color w:val="111111"/>
                <w:sz w:val="17"/>
              </w:rPr>
              <w:t>Switching overhead</w:t>
            </w:r>
          </w:p>
        </w:tc>
        <w:tc>
          <w:tcPr>
            <w:tcW w:type="dxa" w:w="4300"/>
            <w:tcMar>
              <w:top w:w="80" w:type="dxa"/>
              <w:start w:w="120" w:type="dxa"/>
              <w:bottom w:w="80" w:type="dxa"/>
              <w:end w:w="120" w:type="dxa"/>
            </w:tcMar>
            <w:vAlign w:val="center"/>
          </w:tcPr>
          <w:p>
            <w:pPr>
              <w:spacing w:after="0" w:line="257" w:lineRule="auto"/>
            </w:pPr>
            <w:r>
              <w:rPr>
                <w:rFonts w:ascii="Calibri" w:hAnsi="Calibri"/>
                <w:b w:val="0"/>
                <w:i w:val="0"/>
                <w:color w:val="111111"/>
                <w:sz w:val="17"/>
              </w:rPr>
              <w:t>Incremental serialization, duplicated input, cache misses, requests, TTFT/queue time, and handoff failures caused by changing models.</w:t>
            </w:r>
          </w:p>
        </w:tc>
        <w:tc>
          <w:tcPr>
            <w:tcW w:type="dxa" w:w="3460"/>
            <w:tcMar>
              <w:top w:w="80" w:type="dxa"/>
              <w:start w:w="120" w:type="dxa"/>
              <w:bottom w:w="80" w:type="dxa"/>
              <w:end w:w="120" w:type="dxa"/>
            </w:tcMar>
            <w:vAlign w:val="center"/>
          </w:tcPr>
          <w:p>
            <w:pPr>
              <w:spacing w:after="0" w:line="257" w:lineRule="auto"/>
            </w:pPr>
            <w:r>
              <w:rPr>
                <w:rFonts w:ascii="Calibri" w:hAnsi="Calibri"/>
                <w:b w:val="0"/>
                <w:i w:val="0"/>
                <w:color w:val="111111"/>
                <w:sz w:val="17"/>
              </w:rPr>
              <w:t>Ensures multi-model workflows win end to end, not only on per-call price.</w:t>
            </w:r>
          </w:p>
        </w:tc>
      </w:tr>
      <w:tr>
        <w:trPr>
          <w:cantSplit/>
        </w:trPr>
        <w:tc>
          <w:tcPr>
            <w:tcW w:type="dxa" w:w="1600"/>
            <w:tcMar>
              <w:top w:w="80" w:type="dxa"/>
              <w:start w:w="120" w:type="dxa"/>
              <w:bottom w:w="80" w:type="dxa"/>
              <w:end w:w="120" w:type="dxa"/>
            </w:tcMar>
            <w:vAlign w:val="center"/>
          </w:tcPr>
          <w:p>
            <w:pPr>
              <w:spacing w:after="0" w:line="257" w:lineRule="auto"/>
            </w:pPr>
            <w:r>
              <w:rPr>
                <w:rFonts w:ascii="Calibri" w:hAnsi="Calibri"/>
                <w:b w:val="0"/>
                <w:i w:val="0"/>
                <w:color w:val="111111"/>
                <w:sz w:val="17"/>
              </w:rPr>
              <w:t>Landed cost</w:t>
            </w:r>
          </w:p>
        </w:tc>
        <w:tc>
          <w:tcPr>
            <w:tcW w:type="dxa" w:w="4300"/>
            <w:tcMar>
              <w:top w:w="80" w:type="dxa"/>
              <w:start w:w="120" w:type="dxa"/>
              <w:bottom w:w="80" w:type="dxa"/>
              <w:end w:w="120" w:type="dxa"/>
            </w:tcMar>
            <w:vAlign w:val="center"/>
          </w:tcPr>
          <w:p>
            <w:pPr>
              <w:spacing w:after="0" w:line="257" w:lineRule="auto"/>
            </w:pPr>
            <w:r>
              <w:rPr>
                <w:rFonts w:ascii="Calibri" w:hAnsi="Calibri"/>
                <w:b w:val="0"/>
                <w:i w:val="0"/>
                <w:color w:val="111111"/>
                <w:sz w:val="17"/>
              </w:rPr>
              <w:t>Model, cache, tool, storage, egress, orchestration, and self-hosted amortization costs.</w:t>
            </w:r>
          </w:p>
        </w:tc>
        <w:tc>
          <w:tcPr>
            <w:tcW w:type="dxa" w:w="3460"/>
            <w:tcMar>
              <w:top w:w="80" w:type="dxa"/>
              <w:start w:w="120" w:type="dxa"/>
              <w:bottom w:w="80" w:type="dxa"/>
              <w:end w:w="120" w:type="dxa"/>
            </w:tcMar>
            <w:vAlign w:val="center"/>
          </w:tcPr>
          <w:p>
            <w:pPr>
              <w:spacing w:after="0" w:line="257" w:lineRule="auto"/>
            </w:pPr>
            <w:r>
              <w:rPr>
                <w:rFonts w:ascii="Calibri" w:hAnsi="Calibri"/>
                <w:b w:val="0"/>
                <w:i w:val="0"/>
                <w:color w:val="111111"/>
                <w:sz w:val="17"/>
              </w:rPr>
              <w:t>Provides an honest provider comparison.</w:t>
            </w:r>
          </w:p>
        </w:tc>
      </w:tr>
    </w:tbl>
    <w:p>
      <w:pPr>
        <w:spacing w:after="40"/>
      </w:pPr>
    </w:p>
    <w:p>
      <w:pPr>
        <w:pStyle w:val="Heading2"/>
        <w:keepNext/>
      </w:pPr>
      <w:r>
        <w:rPr>
          <w:rFonts w:ascii="Calibri" w:hAnsi="Calibri"/>
          <w:b/>
          <w:i w:val="0"/>
          <w:color w:val="2E74B5"/>
          <w:sz w:val="26"/>
        </w:rPr>
        <w:t>Avoid premature scalarization</w:t>
      </w:r>
    </w:p>
    <w:p>
      <w:pPr>
        <w:keepNext w:val="0"/>
        <w:spacing w:before="0" w:after="120" w:line="264" w:lineRule="auto"/>
      </w:pPr>
      <w:r>
        <w:rPr>
          <w:rFonts w:ascii="Calibri" w:hAnsi="Calibri"/>
          <w:b w:val="0"/>
          <w:i w:val="0"/>
          <w:color w:val="111111"/>
          <w:sz w:val="22"/>
        </w:rPr>
        <w:t>A weighted score can be offered as a user-configurable view, but it should not be the source of truth. Store raw metrics and confidence intervals, retain non-dominated candidates, and select a deployment using an operating-mode policy:</w:t>
      </w:r>
    </w:p>
    <w:p>
      <w:pPr>
        <w:pStyle w:val="ListBullet"/>
        <w:spacing w:after="160" w:line="280" w:lineRule="auto"/>
        <w:ind w:left="720" w:hanging="360"/>
      </w:pPr>
      <w:r>
        <w:rPr>
          <w:rFonts w:ascii="Calibri" w:hAnsi="Calibri"/>
          <w:b w:val="0"/>
          <w:i w:val="0"/>
          <w:color w:val="111111"/>
          <w:sz w:val="22"/>
        </w:rPr>
        <w:t>Latency mode: enforce a deadline-success and p95 latency gate, then minimize cost.</w:t>
      </w:r>
    </w:p>
    <w:p>
      <w:pPr>
        <w:pStyle w:val="ListBullet"/>
        <w:spacing w:after="160" w:line="280" w:lineRule="auto"/>
        <w:ind w:left="720" w:hanging="360"/>
      </w:pPr>
      <w:r>
        <w:rPr>
          <w:rFonts w:ascii="Calibri" w:hAnsi="Calibri"/>
          <w:b w:val="0"/>
          <w:i w:val="0"/>
          <w:color w:val="111111"/>
          <w:sz w:val="22"/>
        </w:rPr>
        <w:t>Economy mode: enforce quality/reliability gates, then minimize cost per successful task.</w:t>
      </w:r>
    </w:p>
    <w:p>
      <w:pPr>
        <w:pStyle w:val="ListBullet"/>
        <w:spacing w:after="160" w:line="280" w:lineRule="auto"/>
        <w:ind w:left="720" w:hanging="360"/>
      </w:pPr>
      <w:r>
        <w:rPr>
          <w:rFonts w:ascii="Calibri" w:hAnsi="Calibri"/>
          <w:b w:val="0"/>
          <w:i w:val="0"/>
          <w:color w:val="111111"/>
          <w:sz w:val="22"/>
        </w:rPr>
        <w:t>High-assurance mode: raise quality and safety thresholds, allow verifier/escalation steps, then minimize cost subject to those gates.</w:t>
      </w:r>
    </w:p>
    <w:p>
      <w:pPr>
        <w:pStyle w:val="Heading1"/>
        <w:keepNext/>
      </w:pPr>
      <w:r>
        <w:rPr>
          <w:rFonts w:ascii="Calibri" w:hAnsi="Calibri"/>
          <w:b/>
          <w:i w:val="0"/>
          <w:color w:val="2E74B5"/>
          <w:sz w:val="32"/>
        </w:rPr>
        <w:t>4. Task and scoring design: from embedded checks to versioned specifications</w:t>
      </w:r>
    </w:p>
    <w:tbl>
      <w:tblPr>
        <w:tblW w:type="dxa" w:w="9360"/>
        <w:jc w:val="left"/>
        <w:tblLayout w:type="fixed"/>
        <w:tblLook w:firstColumn="1" w:firstRow="1" w:lastColumn="0" w:lastRow="0" w:noHBand="0" w:noVBand="1" w:val="04A0"/>
        <w:tblInd w:w="120" w:type="dxa"/>
        <w:tblBorders>
          <w:top w:val="single" w:sz="0" w:space="0" w:color="EEF3F8"/>
          <w:left w:val="single" w:sz="0" w:space="0" w:color="EEF3F8"/>
          <w:bottom w:val="single" w:sz="0" w:space="0" w:color="EEF3F8"/>
          <w:right w:val="single" w:sz="0" w:space="0" w:color="EEF3F8"/>
          <w:insideH w:val="single" w:sz="0" w:space="0" w:color="EEF3F8"/>
          <w:insideV w:val="single" w:sz="0" w:space="0" w:color="EEF3F8"/>
        </w:tblBorders>
      </w:tblPr>
      <w:tblGrid>
        <w:gridCol w:w="9360"/>
      </w:tblGrid>
      <w:tr>
        <w:trPr>
          <w:cantSplit/>
        </w:trPr>
        <w:tc>
          <w:tcPr>
            <w:tcW w:type="dxa" w:w="9360"/>
            <w:tcMar>
              <w:top w:w="80" w:type="dxa"/>
              <w:start w:w="120" w:type="dxa"/>
              <w:bottom w:w="80" w:type="dxa"/>
              <w:end w:w="120" w:type="dxa"/>
            </w:tcMar>
            <w:vAlign w:val="center"/>
            <w:shd w:fill="EEF3F8"/>
          </w:tcPr>
          <w:p>
            <w:pPr>
              <w:spacing w:after="0" w:line="269" w:lineRule="auto"/>
            </w:pPr>
            <w:r>
              <w:rPr>
                <w:rFonts w:ascii="Calibri" w:hAnsi="Calibri"/>
                <w:b/>
                <w:i w:val="0"/>
                <w:color w:val="1F4D78"/>
                <w:sz w:val="19"/>
              </w:rPr>
              <w:t xml:space="preserve">CHANGE FROM TODAY  </w:t>
            </w:r>
            <w:r>
              <w:rPr>
                <w:rFonts w:ascii="Calibri" w:hAnsi="Calibri"/>
                <w:b w:val="0"/>
                <w:i w:val="0"/>
                <w:color w:val="111111"/>
                <w:sz w:val="21"/>
              </w:rPr>
              <w:t>Today: Agentic Builder checks and source-fidelity logic encode valuable task knowledge in a workflow-specific form.  Change: Wrap those checks, then express new task families through versioned target behavior, test cases, failure modes, scorer graphs, calibration sets, and holdouts.  Proof: The original checks retain identical conclusions while nondeterministic and business-grounded workflows can be evaluated without arbitrary absolute scores.</w:t>
            </w:r>
          </w:p>
        </w:tc>
      </w:tr>
    </w:tbl>
    <w:p>
      <w:pPr>
        <w:spacing w:after="60"/>
      </w:pPr>
    </w:p>
    <w:p>
      <w:pPr>
        <w:pStyle w:val="Heading2"/>
        <w:keepNext/>
      </w:pPr>
      <w:r>
        <w:rPr>
          <w:rFonts w:ascii="Calibri" w:hAnsi="Calibri"/>
          <w:b/>
          <w:i w:val="0"/>
          <w:color w:val="2E74B5"/>
          <w:sz w:val="26"/>
        </w:rPr>
        <w:t>Use a portfolio, not a single benchmark</w:t>
      </w:r>
    </w:p>
    <w:p>
      <w:pPr>
        <w:keepNext w:val="0"/>
        <w:spacing w:before="0" w:after="120" w:line="264" w:lineRule="auto"/>
      </w:pPr>
      <w:r>
        <w:rPr>
          <w:rFonts w:ascii="Calibri" w:hAnsi="Calibri"/>
          <w:b w:val="0"/>
          <w:i w:val="0"/>
          <w:color w:val="111111"/>
          <w:sz w:val="22"/>
        </w:rPr>
        <w:t xml:space="preserve">Build a private representative suite and supplement it with open benchmark adapters. </w:t>
      </w:r>
      <w:hyperlink r:id="rId11">
        <w:r>
          <w:rPr>
            <w:rFonts w:ascii="Calibri" w:hAnsi="Calibri"/>
            <w:color w:val="2E74B5"/>
            <w:u w:val="single"/>
            <w:sz w:val="22"/>
            <w:szCs w:val="22"/>
          </w:rPr>
          <w:t>Inspect AI</w:t>
        </w:r>
      </w:hyperlink>
      <w:r>
        <w:rPr>
          <w:rFonts w:ascii="Calibri" w:hAnsi="Calibri"/>
          <w:b w:val="0"/>
          <w:i w:val="0"/>
          <w:color w:val="111111"/>
          <w:sz w:val="22"/>
        </w:rPr>
        <w:t xml:space="preserve"> is a strong open-source harness candidate because it supports datasets, agents, custom and MCP tools, scorers, third-party agents, and multiple sandbox backends. Public suites can contribute task shapes: </w:t>
      </w:r>
      <w:hyperlink r:id="rId20">
        <w:r>
          <w:rPr>
            <w:rFonts w:ascii="Calibri" w:hAnsi="Calibri"/>
            <w:color w:val="2E74B5"/>
            <w:u w:val="single"/>
            <w:sz w:val="22"/>
            <w:szCs w:val="22"/>
          </w:rPr>
          <w:t>SWE-bench</w:t>
        </w:r>
      </w:hyperlink>
      <w:r>
        <w:rPr>
          <w:rFonts w:ascii="Calibri" w:hAnsi="Calibri"/>
          <w:b w:val="0"/>
          <w:i w:val="0"/>
          <w:color w:val="111111"/>
          <w:sz w:val="22"/>
        </w:rPr>
        <w:t xml:space="preserve"> for repository issue resolution, </w:t>
      </w:r>
      <w:hyperlink r:id="rId21">
        <w:r>
          <w:rPr>
            <w:rFonts w:ascii="Calibri" w:hAnsi="Calibri"/>
            <w:color w:val="2E74B5"/>
            <w:u w:val="single"/>
            <w:sz w:val="22"/>
            <w:szCs w:val="22"/>
          </w:rPr>
          <w:t>BrowserGym</w:t>
        </w:r>
      </w:hyperlink>
      <w:r>
        <w:rPr>
          <w:rFonts w:ascii="Calibri" w:hAnsi="Calibri"/>
          <w:b w:val="0"/>
          <w:i w:val="0"/>
          <w:color w:val="111111"/>
          <w:sz w:val="22"/>
        </w:rPr>
        <w:t xml:space="preserve"> for web environments, </w:t>
      </w:r>
      <w:hyperlink r:id="rId22">
        <w:r>
          <w:rPr>
            <w:rFonts w:ascii="Calibri" w:hAnsi="Calibri"/>
            <w:color w:val="2E74B5"/>
            <w:u w:val="single"/>
            <w:sz w:val="22"/>
            <w:szCs w:val="22"/>
          </w:rPr>
          <w:t>GAIA</w:t>
        </w:r>
      </w:hyperlink>
      <w:r>
        <w:rPr>
          <w:rFonts w:ascii="Calibri" w:hAnsi="Calibri"/>
          <w:b w:val="0"/>
          <w:i w:val="0"/>
          <w:color w:val="111111"/>
          <w:sz w:val="22"/>
        </w:rPr>
        <w:t xml:space="preserve"> for general assistants requiring reasoning, multimodality, browsing, and tool use, and </w:t>
      </w:r>
      <w:hyperlink r:id="rId23">
        <w:r>
          <w:rPr>
            <w:rFonts w:ascii="Calibri" w:hAnsi="Calibri"/>
            <w:color w:val="2E74B5"/>
            <w:u w:val="single"/>
            <w:sz w:val="22"/>
            <w:szCs w:val="22"/>
          </w:rPr>
          <w:t>τ-bench</w:t>
        </w:r>
      </w:hyperlink>
      <w:r>
        <w:rPr>
          <w:rFonts w:ascii="Calibri" w:hAnsi="Calibri"/>
          <w:b w:val="0"/>
          <w:i w:val="0"/>
          <w:color w:val="111111"/>
          <w:sz w:val="22"/>
        </w:rPr>
        <w:t xml:space="preserve"> for tool-agent-user interaction with state-based scoring.</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650"/>
        <w:gridCol w:w="4200"/>
        <w:gridCol w:w="3510"/>
      </w:tblGrid>
      <w:tr>
        <w:trPr>
          <w:tblHeader w:val="true"/>
          <w:cantSplit/>
        </w:trPr>
        <w:tc>
          <w:tcPr>
            <w:tcW w:type="dxa" w:w="16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Task family</w:t>
            </w:r>
          </w:p>
        </w:tc>
        <w:tc>
          <w:tcPr>
            <w:tcW w:type="dxa" w:w="42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Representative outcomes</w:t>
            </w:r>
          </w:p>
        </w:tc>
        <w:tc>
          <w:tcPr>
            <w:tcW w:type="dxa" w:w="351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Preferred scoring</w:t>
            </w:r>
          </w:p>
        </w:tc>
      </w:tr>
      <w:tr>
        <w:trPr>
          <w:cantSplit/>
        </w:trPr>
        <w:tc>
          <w:tcPr>
            <w:tcW w:type="dxa" w:w="1650"/>
            <w:tcMar>
              <w:top w:w="80" w:type="dxa"/>
              <w:start w:w="120" w:type="dxa"/>
              <w:bottom w:w="80" w:type="dxa"/>
              <w:end w:w="120" w:type="dxa"/>
            </w:tcMar>
            <w:vAlign w:val="center"/>
          </w:tcPr>
          <w:p>
            <w:pPr>
              <w:spacing w:after="0" w:line="257" w:lineRule="auto"/>
            </w:pPr>
            <w:r>
              <w:rPr>
                <w:rFonts w:ascii="Calibri" w:hAnsi="Calibri"/>
                <w:b w:val="0"/>
                <w:i w:val="0"/>
                <w:color w:val="111111"/>
                <w:sz w:val="17"/>
              </w:rPr>
              <w:t>Software engineering</w:t>
            </w:r>
          </w:p>
        </w:tc>
        <w:tc>
          <w:tcPr>
            <w:tcW w:type="dxa" w:w="4200"/>
            <w:tcMar>
              <w:top w:w="80" w:type="dxa"/>
              <w:start w:w="120" w:type="dxa"/>
              <w:bottom w:w="80" w:type="dxa"/>
              <w:end w:w="120" w:type="dxa"/>
            </w:tcMar>
            <w:vAlign w:val="center"/>
          </w:tcPr>
          <w:p>
            <w:pPr>
              <w:spacing w:after="0" w:line="257" w:lineRule="auto"/>
            </w:pPr>
            <w:r>
              <w:rPr>
                <w:rFonts w:ascii="Calibri" w:hAnsi="Calibri"/>
                <w:b w:val="0"/>
                <w:i w:val="0"/>
                <w:color w:val="111111"/>
                <w:sz w:val="17"/>
              </w:rPr>
              <w:t>Patch passes tests, respects scope, and does not regress protected behavior.</w:t>
            </w:r>
          </w:p>
        </w:tc>
        <w:tc>
          <w:tcPr>
            <w:tcW w:type="dxa" w:w="3510"/>
            <w:tcMar>
              <w:top w:w="80" w:type="dxa"/>
              <w:start w:w="120" w:type="dxa"/>
              <w:bottom w:w="80" w:type="dxa"/>
              <w:end w:w="120" w:type="dxa"/>
            </w:tcMar>
            <w:vAlign w:val="center"/>
          </w:tcPr>
          <w:p>
            <w:pPr>
              <w:spacing w:after="0" w:line="257" w:lineRule="auto"/>
            </w:pPr>
            <w:r>
              <w:rPr>
                <w:rFonts w:ascii="Calibri" w:hAnsi="Calibri"/>
                <w:b w:val="0"/>
                <w:i w:val="0"/>
                <w:color w:val="111111"/>
                <w:sz w:val="17"/>
              </w:rPr>
              <w:t>Executable tests + diff policy + static checks</w:t>
            </w:r>
          </w:p>
        </w:tc>
      </w:tr>
      <w:tr>
        <w:trPr>
          <w:cantSplit/>
        </w:trPr>
        <w:tc>
          <w:tcPr>
            <w:tcW w:type="dxa" w:w="1650"/>
            <w:tcMar>
              <w:top w:w="80" w:type="dxa"/>
              <w:start w:w="120" w:type="dxa"/>
              <w:bottom w:w="80" w:type="dxa"/>
              <w:end w:w="120" w:type="dxa"/>
            </w:tcMar>
            <w:vAlign w:val="center"/>
          </w:tcPr>
          <w:p>
            <w:pPr>
              <w:spacing w:after="0" w:line="257" w:lineRule="auto"/>
            </w:pPr>
            <w:r>
              <w:rPr>
                <w:rFonts w:ascii="Calibri" w:hAnsi="Calibri"/>
                <w:b w:val="0"/>
                <w:i w:val="0"/>
                <w:color w:val="111111"/>
                <w:sz w:val="17"/>
              </w:rPr>
              <w:t>Browser / SaaS operations</w:t>
            </w:r>
          </w:p>
        </w:tc>
        <w:tc>
          <w:tcPr>
            <w:tcW w:type="dxa" w:w="4200"/>
            <w:tcMar>
              <w:top w:w="80" w:type="dxa"/>
              <w:start w:w="120" w:type="dxa"/>
              <w:bottom w:w="80" w:type="dxa"/>
              <w:end w:w="120" w:type="dxa"/>
            </w:tcMar>
            <w:vAlign w:val="center"/>
          </w:tcPr>
          <w:p>
            <w:pPr>
              <w:spacing w:after="0" w:line="257" w:lineRule="auto"/>
            </w:pPr>
            <w:r>
              <w:rPr>
                <w:rFonts w:ascii="Calibri" w:hAnsi="Calibri"/>
                <w:b w:val="0"/>
                <w:i w:val="0"/>
                <w:color w:val="111111"/>
                <w:sz w:val="17"/>
              </w:rPr>
              <w:t>Correct record, field, recipient, and state transition; no unauthorized action.</w:t>
            </w:r>
          </w:p>
        </w:tc>
        <w:tc>
          <w:tcPr>
            <w:tcW w:type="dxa" w:w="3510"/>
            <w:tcMar>
              <w:top w:w="80" w:type="dxa"/>
              <w:start w:w="120" w:type="dxa"/>
              <w:bottom w:w="80" w:type="dxa"/>
              <w:end w:w="120" w:type="dxa"/>
            </w:tcMar>
            <w:vAlign w:val="center"/>
          </w:tcPr>
          <w:p>
            <w:pPr>
              <w:spacing w:after="0" w:line="257" w:lineRule="auto"/>
            </w:pPr>
            <w:r>
              <w:rPr>
                <w:rFonts w:ascii="Calibri" w:hAnsi="Calibri"/>
                <w:b w:val="0"/>
                <w:i w:val="0"/>
                <w:color w:val="111111"/>
                <w:sz w:val="17"/>
              </w:rPr>
              <w:t>Environment-state assertions + action policy</w:t>
            </w:r>
          </w:p>
        </w:tc>
      </w:tr>
      <w:tr>
        <w:trPr>
          <w:cantSplit/>
        </w:trPr>
        <w:tc>
          <w:tcPr>
            <w:tcW w:type="dxa" w:w="1650"/>
            <w:tcMar>
              <w:top w:w="80" w:type="dxa"/>
              <w:start w:w="120" w:type="dxa"/>
              <w:bottom w:w="80" w:type="dxa"/>
              <w:end w:w="120" w:type="dxa"/>
            </w:tcMar>
            <w:vAlign w:val="center"/>
          </w:tcPr>
          <w:p>
            <w:pPr>
              <w:spacing w:after="0" w:line="257" w:lineRule="auto"/>
            </w:pPr>
            <w:r>
              <w:rPr>
                <w:rFonts w:ascii="Calibri" w:hAnsi="Calibri"/>
                <w:b w:val="0"/>
                <w:i w:val="0"/>
                <w:color w:val="111111"/>
                <w:sz w:val="17"/>
              </w:rPr>
              <w:t>Research / synthesis</w:t>
            </w:r>
          </w:p>
        </w:tc>
        <w:tc>
          <w:tcPr>
            <w:tcW w:type="dxa" w:w="4200"/>
            <w:tcMar>
              <w:top w:w="80" w:type="dxa"/>
              <w:start w:w="120" w:type="dxa"/>
              <w:bottom w:w="80" w:type="dxa"/>
              <w:end w:w="120" w:type="dxa"/>
            </w:tcMar>
            <w:vAlign w:val="center"/>
          </w:tcPr>
          <w:p>
            <w:pPr>
              <w:spacing w:after="0" w:line="257" w:lineRule="auto"/>
            </w:pPr>
            <w:r>
              <w:rPr>
                <w:rFonts w:ascii="Calibri" w:hAnsi="Calibri"/>
                <w:b w:val="0"/>
                <w:i w:val="0"/>
                <w:color w:val="111111"/>
                <w:sz w:val="17"/>
              </w:rPr>
              <w:t>Claims are supported, current, complete, and appropriately qualified.</w:t>
            </w:r>
          </w:p>
        </w:tc>
        <w:tc>
          <w:tcPr>
            <w:tcW w:type="dxa" w:w="3510"/>
            <w:tcMar>
              <w:top w:w="80" w:type="dxa"/>
              <w:start w:w="120" w:type="dxa"/>
              <w:bottom w:w="80" w:type="dxa"/>
              <w:end w:w="120" w:type="dxa"/>
            </w:tcMar>
            <w:vAlign w:val="center"/>
          </w:tcPr>
          <w:p>
            <w:pPr>
              <w:spacing w:after="0" w:line="257" w:lineRule="auto"/>
            </w:pPr>
            <w:r>
              <w:rPr>
                <w:rFonts w:ascii="Calibri" w:hAnsi="Calibri"/>
                <w:b w:val="0"/>
                <w:i w:val="0"/>
                <w:color w:val="111111"/>
                <w:sz w:val="17"/>
              </w:rPr>
              <w:t>Citation validation + fact checks + rubric</w:t>
            </w:r>
          </w:p>
        </w:tc>
      </w:tr>
      <w:tr>
        <w:trPr>
          <w:cantSplit/>
        </w:trPr>
        <w:tc>
          <w:tcPr>
            <w:tcW w:type="dxa" w:w="1650"/>
            <w:tcMar>
              <w:top w:w="80" w:type="dxa"/>
              <w:start w:w="120" w:type="dxa"/>
              <w:bottom w:w="80" w:type="dxa"/>
              <w:end w:w="120" w:type="dxa"/>
            </w:tcMar>
            <w:vAlign w:val="center"/>
          </w:tcPr>
          <w:p>
            <w:pPr>
              <w:spacing w:after="0" w:line="257" w:lineRule="auto"/>
            </w:pPr>
            <w:r>
              <w:rPr>
                <w:rFonts w:ascii="Calibri" w:hAnsi="Calibri"/>
                <w:b w:val="0"/>
                <w:i w:val="0"/>
                <w:color w:val="111111"/>
                <w:sz w:val="17"/>
              </w:rPr>
              <w:t>Data analysis</w:t>
            </w:r>
          </w:p>
        </w:tc>
        <w:tc>
          <w:tcPr>
            <w:tcW w:type="dxa" w:w="4200"/>
            <w:tcMar>
              <w:top w:w="80" w:type="dxa"/>
              <w:start w:w="120" w:type="dxa"/>
              <w:bottom w:w="80" w:type="dxa"/>
              <w:end w:w="120" w:type="dxa"/>
            </w:tcMar>
            <w:vAlign w:val="center"/>
          </w:tcPr>
          <w:p>
            <w:pPr>
              <w:spacing w:after="0" w:line="257" w:lineRule="auto"/>
            </w:pPr>
            <w:r>
              <w:rPr>
                <w:rFonts w:ascii="Calibri" w:hAnsi="Calibri"/>
                <w:b w:val="0"/>
                <w:i w:val="0"/>
                <w:color w:val="111111"/>
                <w:sz w:val="17"/>
              </w:rPr>
              <w:t>Correct transformations, formulas, charts, and conclusions.</w:t>
            </w:r>
          </w:p>
        </w:tc>
        <w:tc>
          <w:tcPr>
            <w:tcW w:type="dxa" w:w="3510"/>
            <w:tcMar>
              <w:top w:w="80" w:type="dxa"/>
              <w:start w:w="120" w:type="dxa"/>
              <w:bottom w:w="80" w:type="dxa"/>
              <w:end w:w="120" w:type="dxa"/>
            </w:tcMar>
            <w:vAlign w:val="center"/>
          </w:tcPr>
          <w:p>
            <w:pPr>
              <w:spacing w:after="0" w:line="257" w:lineRule="auto"/>
            </w:pPr>
            <w:r>
              <w:rPr>
                <w:rFonts w:ascii="Calibri" w:hAnsi="Calibri"/>
                <w:b w:val="0"/>
                <w:i w:val="0"/>
                <w:color w:val="111111"/>
                <w:sz w:val="17"/>
              </w:rPr>
              <w:t>Cell/value assertions + invariant checks</w:t>
            </w:r>
          </w:p>
        </w:tc>
      </w:tr>
      <w:tr>
        <w:trPr>
          <w:cantSplit/>
        </w:trPr>
        <w:tc>
          <w:tcPr>
            <w:tcW w:type="dxa" w:w="1650"/>
            <w:tcMar>
              <w:top w:w="80" w:type="dxa"/>
              <w:start w:w="120" w:type="dxa"/>
              <w:bottom w:w="80" w:type="dxa"/>
              <w:end w:w="120" w:type="dxa"/>
            </w:tcMar>
            <w:vAlign w:val="center"/>
          </w:tcPr>
          <w:p>
            <w:pPr>
              <w:spacing w:after="0" w:line="257" w:lineRule="auto"/>
            </w:pPr>
            <w:r>
              <w:rPr>
                <w:rFonts w:ascii="Calibri" w:hAnsi="Calibri"/>
                <w:b w:val="0"/>
                <w:i w:val="0"/>
                <w:color w:val="111111"/>
                <w:sz w:val="17"/>
              </w:rPr>
              <w:t>Document / artifact production</w:t>
            </w:r>
          </w:p>
        </w:tc>
        <w:tc>
          <w:tcPr>
            <w:tcW w:type="dxa" w:w="4200"/>
            <w:tcMar>
              <w:top w:w="80" w:type="dxa"/>
              <w:start w:w="120" w:type="dxa"/>
              <w:bottom w:w="80" w:type="dxa"/>
              <w:end w:w="120" w:type="dxa"/>
            </w:tcMar>
            <w:vAlign w:val="center"/>
          </w:tcPr>
          <w:p>
            <w:pPr>
              <w:spacing w:after="0" w:line="257" w:lineRule="auto"/>
            </w:pPr>
            <w:r>
              <w:rPr>
                <w:rFonts w:ascii="Calibri" w:hAnsi="Calibri"/>
                <w:b w:val="0"/>
                <w:i w:val="0"/>
                <w:color w:val="111111"/>
                <w:sz w:val="17"/>
              </w:rPr>
              <w:t>Content requirements and visual/layout standards are met.</w:t>
            </w:r>
          </w:p>
        </w:tc>
        <w:tc>
          <w:tcPr>
            <w:tcW w:type="dxa" w:w="3510"/>
            <w:tcMar>
              <w:top w:w="80" w:type="dxa"/>
              <w:start w:w="120" w:type="dxa"/>
              <w:bottom w:w="80" w:type="dxa"/>
              <w:end w:w="120" w:type="dxa"/>
            </w:tcMar>
            <w:vAlign w:val="center"/>
          </w:tcPr>
          <w:p>
            <w:pPr>
              <w:spacing w:after="0" w:line="257" w:lineRule="auto"/>
            </w:pPr>
            <w:r>
              <w:rPr>
                <w:rFonts w:ascii="Calibri" w:hAnsi="Calibri"/>
                <w:b w:val="0"/>
                <w:i w:val="0"/>
                <w:color w:val="111111"/>
                <w:sz w:val="17"/>
              </w:rPr>
              <w:t>Structural checks + render inspection + rubric</w:t>
            </w:r>
          </w:p>
        </w:tc>
      </w:tr>
      <w:tr>
        <w:trPr>
          <w:cantSplit/>
        </w:trPr>
        <w:tc>
          <w:tcPr>
            <w:tcW w:type="dxa" w:w="1650"/>
            <w:tcMar>
              <w:top w:w="80" w:type="dxa"/>
              <w:start w:w="120" w:type="dxa"/>
              <w:bottom w:w="80" w:type="dxa"/>
              <w:end w:w="120" w:type="dxa"/>
            </w:tcMar>
            <w:vAlign w:val="center"/>
          </w:tcPr>
          <w:p>
            <w:pPr>
              <w:spacing w:after="0" w:line="257" w:lineRule="auto"/>
            </w:pPr>
            <w:r>
              <w:rPr>
                <w:rFonts w:ascii="Calibri" w:hAnsi="Calibri"/>
                <w:b w:val="0"/>
                <w:i w:val="0"/>
                <w:color w:val="111111"/>
                <w:sz w:val="17"/>
              </w:rPr>
              <w:t>Customer / support operations</w:t>
            </w:r>
          </w:p>
        </w:tc>
        <w:tc>
          <w:tcPr>
            <w:tcW w:type="dxa" w:w="4200"/>
            <w:tcMar>
              <w:top w:w="80" w:type="dxa"/>
              <w:start w:w="120" w:type="dxa"/>
              <w:bottom w:w="80" w:type="dxa"/>
              <w:end w:w="120" w:type="dxa"/>
            </w:tcMar>
            <w:vAlign w:val="center"/>
          </w:tcPr>
          <w:p>
            <w:pPr>
              <w:spacing w:after="0" w:line="257" w:lineRule="auto"/>
            </w:pPr>
            <w:r>
              <w:rPr>
                <w:rFonts w:ascii="Calibri" w:hAnsi="Calibri"/>
                <w:b w:val="0"/>
                <w:i w:val="0"/>
                <w:color w:val="111111"/>
                <w:sz w:val="17"/>
              </w:rPr>
              <w:t>Policy-compliant resolution and correct backend actions across turns.</w:t>
            </w:r>
          </w:p>
        </w:tc>
        <w:tc>
          <w:tcPr>
            <w:tcW w:type="dxa" w:w="3510"/>
            <w:tcMar>
              <w:top w:w="80" w:type="dxa"/>
              <w:start w:w="120" w:type="dxa"/>
              <w:bottom w:w="80" w:type="dxa"/>
              <w:end w:w="120" w:type="dxa"/>
            </w:tcMar>
            <w:vAlign w:val="center"/>
          </w:tcPr>
          <w:p>
            <w:pPr>
              <w:spacing w:after="0" w:line="257" w:lineRule="auto"/>
            </w:pPr>
            <w:r>
              <w:rPr>
                <w:rFonts w:ascii="Calibri" w:hAnsi="Calibri"/>
                <w:b w:val="0"/>
                <w:i w:val="0"/>
                <w:color w:val="111111"/>
                <w:sz w:val="17"/>
              </w:rPr>
              <w:t>Database end state + policy checks + conversation rubric</w:t>
            </w:r>
          </w:p>
        </w:tc>
      </w:tr>
      <w:tr>
        <w:trPr>
          <w:cantSplit/>
        </w:trPr>
        <w:tc>
          <w:tcPr>
            <w:tcW w:type="dxa" w:w="1650"/>
            <w:tcMar>
              <w:top w:w="80" w:type="dxa"/>
              <w:start w:w="120" w:type="dxa"/>
              <w:bottom w:w="80" w:type="dxa"/>
              <w:end w:w="120" w:type="dxa"/>
            </w:tcMar>
            <w:vAlign w:val="center"/>
          </w:tcPr>
          <w:p>
            <w:pPr>
              <w:spacing w:after="0" w:line="257" w:lineRule="auto"/>
            </w:pPr>
            <w:r>
              <w:rPr>
                <w:rFonts w:ascii="Calibri" w:hAnsi="Calibri"/>
                <w:b w:val="0"/>
                <w:i w:val="0"/>
                <w:color w:val="111111"/>
                <w:sz w:val="17"/>
              </w:rPr>
              <w:t>Long-context / memory</w:t>
            </w:r>
          </w:p>
        </w:tc>
        <w:tc>
          <w:tcPr>
            <w:tcW w:type="dxa" w:w="4200"/>
            <w:tcMar>
              <w:top w:w="80" w:type="dxa"/>
              <w:start w:w="120" w:type="dxa"/>
              <w:bottom w:w="80" w:type="dxa"/>
              <w:end w:w="120" w:type="dxa"/>
            </w:tcMar>
            <w:vAlign w:val="center"/>
          </w:tcPr>
          <w:p>
            <w:pPr>
              <w:spacing w:after="0" w:line="257" w:lineRule="auto"/>
            </w:pPr>
            <w:r>
              <w:rPr>
                <w:rFonts w:ascii="Calibri" w:hAnsi="Calibri"/>
                <w:b w:val="0"/>
                <w:i w:val="0"/>
                <w:color w:val="111111"/>
                <w:sz w:val="17"/>
              </w:rPr>
              <w:t>Retains required facts, discards noise, and uses history safely.</w:t>
            </w:r>
          </w:p>
        </w:tc>
        <w:tc>
          <w:tcPr>
            <w:tcW w:type="dxa" w:w="3510"/>
            <w:tcMar>
              <w:top w:w="80" w:type="dxa"/>
              <w:start w:w="120" w:type="dxa"/>
              <w:bottom w:w="80" w:type="dxa"/>
              <w:end w:w="120" w:type="dxa"/>
            </w:tcMar>
            <w:vAlign w:val="center"/>
          </w:tcPr>
          <w:p>
            <w:pPr>
              <w:spacing w:after="0" w:line="257" w:lineRule="auto"/>
            </w:pPr>
            <w:r>
              <w:rPr>
                <w:rFonts w:ascii="Calibri" w:hAnsi="Calibri"/>
                <w:b w:val="0"/>
                <w:i w:val="0"/>
                <w:color w:val="111111"/>
                <w:sz w:val="17"/>
              </w:rPr>
              <w:t>Needle/invariant checks + contradiction tests</w:t>
            </w:r>
          </w:p>
        </w:tc>
      </w:tr>
      <w:tr>
        <w:trPr>
          <w:cantSplit/>
        </w:trPr>
        <w:tc>
          <w:tcPr>
            <w:tcW w:type="dxa" w:w="1650"/>
            <w:tcMar>
              <w:top w:w="80" w:type="dxa"/>
              <w:start w:w="120" w:type="dxa"/>
              <w:bottom w:w="80" w:type="dxa"/>
              <w:end w:w="120" w:type="dxa"/>
            </w:tcMar>
            <w:vAlign w:val="center"/>
          </w:tcPr>
          <w:p>
            <w:pPr>
              <w:spacing w:after="0" w:line="257" w:lineRule="auto"/>
            </w:pPr>
            <w:r>
              <w:rPr>
                <w:rFonts w:ascii="Calibri" w:hAnsi="Calibri"/>
                <w:b w:val="0"/>
                <w:i w:val="0"/>
                <w:color w:val="111111"/>
                <w:sz w:val="17"/>
              </w:rPr>
              <w:t>Safety / adversarial</w:t>
            </w:r>
          </w:p>
        </w:tc>
        <w:tc>
          <w:tcPr>
            <w:tcW w:type="dxa" w:w="4200"/>
            <w:tcMar>
              <w:top w:w="80" w:type="dxa"/>
              <w:start w:w="120" w:type="dxa"/>
              <w:bottom w:w="80" w:type="dxa"/>
              <w:end w:w="120" w:type="dxa"/>
            </w:tcMar>
            <w:vAlign w:val="center"/>
          </w:tcPr>
          <w:p>
            <w:pPr>
              <w:spacing w:after="0" w:line="257" w:lineRule="auto"/>
            </w:pPr>
            <w:r>
              <w:rPr>
                <w:rFonts w:ascii="Calibri" w:hAnsi="Calibri"/>
                <w:b w:val="0"/>
                <w:i w:val="0"/>
                <w:color w:val="111111"/>
                <w:sz w:val="17"/>
              </w:rPr>
              <w:t>Resists prompt injection, data leakage, privilege escalation, and unsafe tool use.</w:t>
            </w:r>
          </w:p>
        </w:tc>
        <w:tc>
          <w:tcPr>
            <w:tcW w:type="dxa" w:w="3510"/>
            <w:tcMar>
              <w:top w:w="80" w:type="dxa"/>
              <w:start w:w="120" w:type="dxa"/>
              <w:bottom w:w="80" w:type="dxa"/>
              <w:end w:w="120" w:type="dxa"/>
            </w:tcMar>
            <w:vAlign w:val="center"/>
          </w:tcPr>
          <w:p>
            <w:pPr>
              <w:spacing w:after="0" w:line="257" w:lineRule="auto"/>
            </w:pPr>
            <w:r>
              <w:rPr>
                <w:rFonts w:ascii="Calibri" w:hAnsi="Calibri"/>
                <w:b w:val="0"/>
                <w:i w:val="0"/>
                <w:color w:val="111111"/>
                <w:sz w:val="17"/>
              </w:rPr>
              <w:t>Attack-specific assertions + sandbox/egress audit</w:t>
            </w:r>
          </w:p>
        </w:tc>
      </w:tr>
    </w:tbl>
    <w:p>
      <w:pPr>
        <w:spacing w:after="40"/>
      </w:pPr>
    </w:p>
    <w:p>
      <w:pPr>
        <w:pStyle w:val="Heading2"/>
        <w:keepNext/>
      </w:pPr>
      <w:r>
        <w:rPr>
          <w:rFonts w:ascii="Calibri" w:hAnsi="Calibri"/>
          <w:b/>
          <w:i w:val="0"/>
          <w:color w:val="2E74B5"/>
          <w:sz w:val="26"/>
        </w:rPr>
        <w:t>Dataset construction</w:t>
      </w:r>
    </w:p>
    <w:p>
      <w:pPr>
        <w:pStyle w:val="ListBullet"/>
        <w:spacing w:after="160" w:line="280" w:lineRule="auto"/>
        <w:ind w:left="720" w:hanging="360"/>
      </w:pPr>
      <w:r>
        <w:rPr>
          <w:rFonts w:ascii="Calibri" w:hAnsi="Calibri"/>
          <w:b w:val="0"/>
          <w:i w:val="0"/>
          <w:color w:val="111111"/>
          <w:sz w:val="22"/>
        </w:rPr>
        <w:t>Stratify by difficulty, horizon length, tool count, ambiguity, context size, risk, and latency sensitivity. Weight by anticipated production frequency only in the product score; preserve unweighted diagnostic slices.</w:t>
      </w:r>
    </w:p>
    <w:p>
      <w:pPr>
        <w:pStyle w:val="ListBullet"/>
        <w:spacing w:after="160" w:line="280" w:lineRule="auto"/>
        <w:ind w:left="720" w:hanging="360"/>
      </w:pPr>
      <w:r>
        <w:rPr>
          <w:rFonts w:ascii="Calibri" w:hAnsi="Calibri"/>
          <w:b w:val="0"/>
          <w:i w:val="0"/>
          <w:color w:val="111111"/>
          <w:sz w:val="22"/>
        </w:rPr>
        <w:t>Create a small development set, a versioned validation set, and a sequestered holdout. Rotate part of the holdout to limit evaluator overfitting.</w:t>
      </w:r>
    </w:p>
    <w:p>
      <w:pPr>
        <w:pStyle w:val="ListBullet"/>
        <w:spacing w:after="160" w:line="280" w:lineRule="auto"/>
        <w:ind w:left="720" w:hanging="360"/>
      </w:pPr>
      <w:r>
        <w:rPr>
          <w:rFonts w:ascii="Calibri" w:hAnsi="Calibri"/>
          <w:b w:val="0"/>
          <w:i w:val="0"/>
          <w:color w:val="111111"/>
          <w:sz w:val="22"/>
        </w:rPr>
        <w:t>Add perturbation variants: paraphrases, reordered irrelevant context, benign tool failures, slow tools, stale data, conflicting instructions, and partial state.</w:t>
      </w:r>
    </w:p>
    <w:p>
      <w:pPr>
        <w:pStyle w:val="ListBullet"/>
        <w:spacing w:after="160" w:line="280" w:lineRule="auto"/>
        <w:ind w:left="720" w:hanging="360"/>
      </w:pPr>
      <w:r>
        <w:rPr>
          <w:rFonts w:ascii="Calibri" w:hAnsi="Calibri"/>
          <w:b w:val="0"/>
          <w:i w:val="0"/>
          <w:color w:val="111111"/>
          <w:sz w:val="22"/>
        </w:rPr>
        <w:t>Record task provenance, license/data rights, expected state, prohibited actions, timeout, cost budget, latency class, scorer version, and known nondeterminism.</w:t>
      </w:r>
    </w:p>
    <w:p>
      <w:pPr>
        <w:pStyle w:val="ListBullet"/>
        <w:spacing w:after="160" w:line="280" w:lineRule="auto"/>
        <w:ind w:left="720" w:hanging="360"/>
      </w:pPr>
      <w:r>
        <w:rPr>
          <w:rFonts w:ascii="Calibri" w:hAnsi="Calibri"/>
          <w:b w:val="0"/>
          <w:i w:val="0"/>
          <w:color w:val="111111"/>
          <w:sz w:val="22"/>
        </w:rPr>
        <w:t>Before a task family becomes selection evidence, validate it in the frozen environment: an SME executes the workflow, an independent reviewer checks instruction closure/ambiguity/solvability, and pilot agent traces identify hidden dependencies, environment defects, or brittle instructions. Version the resulting fixes and rejection reasons.</w:t>
      </w: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after="0" w:line="269" w:lineRule="auto"/>
            </w:pPr>
            <w:r>
              <w:rPr>
                <w:rFonts w:ascii="Calibri" w:hAnsi="Calibri"/>
                <w:b/>
                <w:i w:val="0"/>
                <w:color w:val="0B2545"/>
                <w:sz w:val="19"/>
              </w:rPr>
              <w:t xml:space="preserve">INHERITED PLATFORM REQUIREMENT  </w:t>
            </w:r>
            <w:r>
              <w:rPr>
                <w:rFonts w:ascii="Calibri" w:hAnsi="Calibri"/>
                <w:b w:val="0"/>
                <w:i w:val="0"/>
                <w:color w:val="111111"/>
                <w:sz w:val="21"/>
              </w:rPr>
              <w:t>Measurement completeness is itself an evaluated outcome. Generalize EVAL.md’s execution-coverage discipline so every report shows scorer coverage, missing telemetry, inactive projects or agents, evaluator errors, and unobservable fields before pass rates or rankings.</w:t>
            </w:r>
          </w:p>
        </w:tc>
      </w:tr>
    </w:tbl>
    <w:p>
      <w:pPr>
        <w:spacing w:after="60"/>
      </w:pPr>
    </w:p>
    <w:p>
      <w:pPr>
        <w:pStyle w:val="Heading2"/>
        <w:keepNext/>
      </w:pPr>
      <w:r>
        <w:rPr>
          <w:rFonts w:ascii="Calibri" w:hAnsi="Calibri"/>
          <w:b/>
          <w:i w:val="0"/>
          <w:color w:val="2E74B5"/>
          <w:sz w:val="26"/>
        </w:rPr>
        <w:t>Specifying nondeterministic tasks and acceptable behavior</w:t>
      </w:r>
    </w:p>
    <w:p>
      <w:pPr>
        <w:keepNext w:val="0"/>
        <w:spacing w:before="0" w:after="120" w:line="264" w:lineRule="auto"/>
      </w:pPr>
      <w:r>
        <w:rPr>
          <w:rFonts w:ascii="Calibri" w:hAnsi="Calibri"/>
          <w:b w:val="0"/>
          <w:i w:val="0"/>
          <w:color w:val="111111"/>
          <w:sz w:val="22"/>
        </w:rPr>
        <w:t>A nondeterministic workflow should not be defined by one expected string or one ideal trajectory. Define an acceptability envelope: required invariants, allowed variation, prohibited behavior, observable outcome evidence, known uncertainty, and a distributional test plan. The canonical EvalDesignSpec below is authored before model comparison and frozen per study.</w:t>
      </w:r>
    </w:p>
    <w:tbl>
      <w:tblPr>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9360"/>
      </w:tblGrid>
      <w:tr>
        <w:trPr>
          <w:cantSplit/>
        </w:trPr>
        <w:tc>
          <w:tcPr>
            <w:tcW w:type="dxa" w:w="9360"/>
            <w:tcMar>
              <w:top w:w="80" w:type="dxa"/>
              <w:start w:w="120" w:type="dxa"/>
              <w:bottom w:w="80" w:type="dxa"/>
              <w:end w:w="120" w:type="dxa"/>
            </w:tcMar>
            <w:vAlign w:val="center"/>
            <w:shd w:fill="F7F8FA"/>
          </w:tcPr>
          <w:p>
            <w:pPr>
              <w:spacing w:after="0" w:line="240" w:lineRule="auto"/>
            </w:pPr>
            <w:r>
              <w:rPr>
                <w:rFonts w:ascii="Menlo" w:hAnsi="Menlo"/>
                <w:b w:val="0"/>
                <w:i w:val="0"/>
                <w:color w:val="263238"/>
                <w:sz w:val="16"/>
              </w:rPr>
              <w:t>eval_design_spec:</w:t>
              <w:br/>
            </w:r>
            <w:r>
              <w:rPr>
                <w:rFonts w:ascii="Menlo" w:hAnsi="Menlo"/>
                <w:b w:val="0"/>
                <w:i w:val="0"/>
                <w:color w:val="263238"/>
                <w:sz w:val="16"/>
              </w:rPr>
              <w:t xml:space="preserve">  task: {type, user_or_business_goal, context, risk_class, latency_class}</w:t>
              <w:br/>
            </w:r>
            <w:r>
              <w:rPr>
                <w:rFonts w:ascii="Menlo" w:hAnsi="Menlo"/>
                <w:b w:val="0"/>
                <w:i w:val="0"/>
                <w:color w:val="263238"/>
                <w:sz w:val="16"/>
              </w:rPr>
              <w:t xml:space="preserve">  target_behavior:</w:t>
              <w:br/>
            </w:r>
            <w:r>
              <w:rPr>
                <w:rFonts w:ascii="Menlo" w:hAnsi="Menlo"/>
                <w:b w:val="0"/>
                <w:i w:val="0"/>
                <w:color w:val="263238"/>
                <w:sz w:val="16"/>
              </w:rPr>
              <w:t xml:space="preserve">    required_outcomes: []</w:t>
              <w:br/>
            </w:r>
            <w:r>
              <w:rPr>
                <w:rFonts w:ascii="Menlo" w:hAnsi="Menlo"/>
                <w:b w:val="0"/>
                <w:i w:val="0"/>
                <w:color w:val="263238"/>
                <w:sz w:val="16"/>
              </w:rPr>
              <w:t xml:space="preserve">    acceptable_variation: []</w:t>
              <w:br/>
            </w:r>
            <w:r>
              <w:rPr>
                <w:rFonts w:ascii="Menlo" w:hAnsi="Menlo"/>
                <w:b w:val="0"/>
                <w:i w:val="0"/>
                <w:color w:val="263238"/>
                <w:sz w:val="16"/>
              </w:rPr>
              <w:t xml:space="preserve">    prohibited_actions_or_claims: []</w:t>
              <w:br/>
            </w:r>
            <w:r>
              <w:rPr>
                <w:rFonts w:ascii="Menlo" w:hAnsi="Menlo"/>
                <w:b w:val="0"/>
                <w:i w:val="0"/>
                <w:color w:val="263238"/>
                <w:sz w:val="16"/>
              </w:rPr>
              <w:t xml:space="preserve">    invariants: []</w:t>
              <w:br/>
            </w:r>
            <w:r>
              <w:rPr>
                <w:rFonts w:ascii="Menlo" w:hAnsi="Menlo"/>
                <w:b w:val="0"/>
                <w:i w:val="0"/>
                <w:color w:val="263238"/>
                <w:sz w:val="16"/>
              </w:rPr>
              <w:t xml:space="preserve">    abstain_or_escalate_when: []</w:t>
              <w:br/>
            </w:r>
            <w:r>
              <w:rPr>
                <w:rFonts w:ascii="Menlo" w:hAnsi="Menlo"/>
                <w:b w:val="0"/>
                <w:i w:val="0"/>
                <w:color w:val="263238"/>
                <w:sz w:val="16"/>
              </w:rPr>
              <w:t xml:space="preserve">  test_cases:</w:t>
              <w:br/>
            </w:r>
            <w:r>
              <w:rPr>
                <w:rFonts w:ascii="Menlo" w:hAnsi="Menlo"/>
                <w:b w:val="0"/>
                <w:i w:val="0"/>
                <w:color w:val="263238"/>
                <w:sz w:val="16"/>
              </w:rPr>
              <w:t xml:space="preserve">    - {id, provenance, input_ref, preconditions, expected_evidence,</w:t>
              <w:br/>
            </w:r>
            <w:r>
              <w:rPr>
                <w:rFonts w:ascii="Menlo" w:hAnsi="Menlo"/>
                <w:b w:val="0"/>
                <w:i w:val="0"/>
                <w:color w:val="263238"/>
                <w:sz w:val="16"/>
              </w:rPr>
              <w:t xml:space="preserve">       perturbations, difficulty, slice, hidden_answer_ref}</w:t>
              <w:br/>
            </w:r>
            <w:r>
              <w:rPr>
                <w:rFonts w:ascii="Menlo" w:hAnsi="Menlo"/>
                <w:b w:val="0"/>
                <w:i w:val="0"/>
                <w:color w:val="263238"/>
                <w:sz w:val="16"/>
              </w:rPr>
              <w:t xml:space="preserve">  failure_modes:</w:t>
              <w:br/>
            </w:r>
            <w:r>
              <w:rPr>
                <w:rFonts w:ascii="Menlo" w:hAnsi="Menlo"/>
                <w:b w:val="0"/>
                <w:i w:val="0"/>
                <w:color w:val="263238"/>
                <w:sz w:val="16"/>
              </w:rPr>
              <w:t xml:space="preserve">    - {id, severity, trigger, observable_signature, detector_ref,</w:t>
              <w:br/>
            </w:r>
            <w:r>
              <w:rPr>
                <w:rFonts w:ascii="Menlo" w:hAnsi="Menlo"/>
                <w:b w:val="0"/>
                <w:i w:val="0"/>
                <w:color w:val="263238"/>
                <w:sz w:val="16"/>
              </w:rPr>
              <w:t xml:space="preserve">       recovery_expectation, business_consequence}</w:t>
              <w:br/>
            </w:r>
            <w:r>
              <w:rPr>
                <w:rFonts w:ascii="Menlo" w:hAnsi="Menlo"/>
                <w:b w:val="0"/>
                <w:i w:val="0"/>
                <w:color w:val="263238"/>
                <w:sz w:val="16"/>
              </w:rPr>
              <w:t xml:space="preserve">  scoring:</w:t>
              <w:br/>
            </w:r>
            <w:r>
              <w:rPr>
                <w:rFonts w:ascii="Menlo" w:hAnsi="Menlo"/>
                <w:b w:val="0"/>
                <w:i w:val="0"/>
                <w:color w:val="263238"/>
                <w:sz w:val="16"/>
              </w:rPr>
              <w:t xml:space="preserve">    deterministic_gates: []</w:t>
              <w:br/>
            </w:r>
            <w:r>
              <w:rPr>
                <w:rFonts w:ascii="Menlo" w:hAnsi="Menlo"/>
                <w:b w:val="0"/>
                <w:i w:val="0"/>
                <w:color w:val="263238"/>
                <w:sz w:val="16"/>
              </w:rPr>
              <w:t xml:space="preserve">    reference_questions: []</w:t>
              <w:br/>
            </w:r>
            <w:r>
              <w:rPr>
                <w:rFonts w:ascii="Menlo" w:hAnsi="Menlo"/>
                <w:b w:val="0"/>
                <w:i w:val="0"/>
                <w:color w:val="263238"/>
                <w:sz w:val="16"/>
              </w:rPr>
              <w:t xml:space="preserve">    dependency_graph_ref: null</w:t>
              <w:br/>
            </w:r>
            <w:r>
              <w:rPr>
                <w:rFonts w:ascii="Menlo" w:hAnsi="Menlo"/>
                <w:b w:val="0"/>
                <w:i w:val="0"/>
                <w:color w:val="263238"/>
                <w:sz w:val="16"/>
              </w:rPr>
              <w:t xml:space="preserve">    subjective_dimensions: []</w:t>
              <w:br/>
            </w:r>
            <w:r>
              <w:rPr>
                <w:rFonts w:ascii="Menlo" w:hAnsi="Menlo"/>
                <w:b w:val="0"/>
                <w:i w:val="0"/>
                <w:color w:val="263238"/>
                <w:sz w:val="16"/>
              </w:rPr>
              <w:t xml:space="preserve">    judge_prompt_ref: null</w:t>
              <w:br/>
            </w:r>
            <w:r>
              <w:rPr>
                <w:rFonts w:ascii="Menlo" w:hAnsi="Menlo"/>
                <w:b w:val="0"/>
                <w:i w:val="0"/>
                <w:color w:val="263238"/>
                <w:sz w:val="16"/>
              </w:rPr>
              <w:t xml:space="preserve">    human_calibration_ref: null</w:t>
              <w:br/>
            </w:r>
            <w:r>
              <w:rPr>
                <w:rFonts w:ascii="Menlo" w:hAnsi="Menlo"/>
                <w:b w:val="0"/>
                <w:i w:val="0"/>
                <w:color w:val="263238"/>
                <w:sz w:val="16"/>
              </w:rPr>
              <w:t xml:space="preserve">    aggregation_policy: lexicographic_then_pareto</w:t>
              <w:br/>
            </w:r>
            <w:r>
              <w:rPr>
                <w:rFonts w:ascii="Menlo" w:hAnsi="Menlo"/>
                <w:b w:val="0"/>
                <w:i w:val="0"/>
                <w:color w:val="263238"/>
                <w:sz w:val="16"/>
              </w:rPr>
              <w:t xml:space="preserve">  sampling: {attempts, seeds, cache_arm, timeout, stopping_rule}</w:t>
              <w:br/>
            </w:r>
            <w:r>
              <w:rPr>
                <w:rFonts w:ascii="Menlo" w:hAnsi="Menlo"/>
                <w:b w:val="0"/>
                <w:i w:val="0"/>
                <w:color w:val="263238"/>
                <w:sz w:val="16"/>
              </w:rPr>
              <w:t xml:space="preserve">  partitions: {development, calibration, validation, sealed_holdout}</w:t>
              <w:br/>
            </w:r>
            <w:r>
              <w:rPr>
                <w:rFonts w:ascii="Menlo" w:hAnsi="Menlo"/>
                <w:b w:val="0"/>
                <w:i w:val="0"/>
                <w:color w:val="263238"/>
                <w:sz w:val="16"/>
              </w:rPr>
              <w:t xml:space="preserve">  versions: {task, workflow, prompt, dataset, scorer, judge, environment}</w:t>
            </w:r>
          </w:p>
        </w:tc>
      </w:tr>
    </w:tbl>
    <w:p>
      <w:pPr>
        <w:spacing w:after="40"/>
      </w:pPr>
    </w:p>
    <w:p>
      <w:pPr>
        <w:pStyle w:val="ListBullet"/>
        <w:spacing w:after="160" w:line="280" w:lineRule="auto"/>
        <w:ind w:left="720" w:hanging="360"/>
      </w:pPr>
      <w:r>
        <w:rPr>
          <w:rFonts w:ascii="Calibri" w:hAnsi="Calibri"/>
          <w:b w:val="0"/>
          <w:i w:val="0"/>
          <w:color w:val="111111"/>
          <w:sz w:val="22"/>
        </w:rPr>
        <w:t>Specify outcomes at the level the user or business can observe; specify intermediate behaviors only when they are necessary for safety, diagnosis, or a validated causal path to the outcome.</w:t>
      </w:r>
    </w:p>
    <w:p>
      <w:pPr>
        <w:pStyle w:val="ListBullet"/>
        <w:spacing w:after="160" w:line="280" w:lineRule="auto"/>
        <w:ind w:left="720" w:hanging="360"/>
      </w:pPr>
      <w:r>
        <w:rPr>
          <w:rFonts w:ascii="Calibri" w:hAnsi="Calibri"/>
          <w:b w:val="0"/>
          <w:i w:val="0"/>
          <w:color w:val="111111"/>
          <w:sz w:val="22"/>
        </w:rPr>
        <w:t>Create failure modes before test data. Each material failure receives severity, a detection method, an expected recovery or abstention response, and a business consequence; use this catalog to generate normal, boundary, adversarial, and recovery cases.</w:t>
      </w:r>
    </w:p>
    <w:p>
      <w:pPr>
        <w:pStyle w:val="ListBullet"/>
        <w:spacing w:after="160" w:line="280" w:lineRule="auto"/>
        <w:ind w:left="720" w:hanging="360"/>
      </w:pPr>
      <w:r>
        <w:rPr>
          <w:rFonts w:ascii="Calibri" w:hAnsi="Calibri"/>
          <w:b w:val="0"/>
          <w:i w:val="0"/>
          <w:color w:val="111111"/>
          <w:sz w:val="22"/>
        </w:rPr>
        <w:t>Score a distribution, not a showcase run. Report pass@1, acceptable-output rate, confidence intervals, tail latency, abstention quality, and severity-weighted failure incidence across repeated paired attempts. Best-of-N may be a separate production policy but never masquerades as first-attempt reliability.</w:t>
      </w:r>
    </w:p>
    <w:p>
      <w:pPr>
        <w:pStyle w:val="ListBullet"/>
        <w:spacing w:after="160" w:line="280" w:lineRule="auto"/>
        <w:ind w:left="720" w:hanging="360"/>
      </w:pPr>
      <w:r>
        <w:rPr>
          <w:rFonts w:ascii="Calibri" w:hAnsi="Calibri"/>
          <w:b w:val="0"/>
          <w:i w:val="0"/>
          <w:color w:val="111111"/>
          <w:sz w:val="22"/>
        </w:rPr>
        <w:t>Where exact outputs vary, use atomic reference questions and invariant checks for facts; a DAG for contingent requirements; calibrated comparative judgment for residual quality; and human adjudication for high-impact ambiguity.</w:t>
      </w:r>
    </w:p>
    <w:p>
      <w:pPr>
        <w:pStyle w:val="Heading2"/>
        <w:keepNext/>
      </w:pPr>
      <w:r>
        <w:rPr>
          <w:rFonts w:ascii="Calibri" w:hAnsi="Calibri"/>
          <w:b/>
          <w:i w:val="0"/>
          <w:color w:val="2E74B5"/>
          <w:sz w:val="26"/>
        </w:rPr>
        <w:t>Scorer stack and precedence</w:t>
      </w:r>
    </w:p>
    <w:p>
      <w:pPr>
        <w:pStyle w:val="ListNumber"/>
        <w:numPr>
          <w:ilvl w:val="0"/>
          <w:numId w:val="12"/>
        </w:numPr>
        <w:spacing w:after="160" w:line="280" w:lineRule="auto"/>
        <w:ind w:left="720" w:hanging="360"/>
      </w:pPr>
      <w:r>
        <w:rPr>
          <w:rFonts w:ascii="Calibri" w:hAnsi="Calibri"/>
          <w:b w:val="0"/>
          <w:i w:val="0"/>
          <w:color w:val="111111"/>
          <w:sz w:val="22"/>
        </w:rPr>
        <w:t>Deterministic validators: exact values, unit/integration tests, schemas, SQL/environment state, file hashes, artifact structure, permission violations.</w:t>
      </w:r>
    </w:p>
    <w:p>
      <w:pPr>
        <w:pStyle w:val="ListNumber"/>
        <w:numPr>
          <w:ilvl w:val="0"/>
          <w:numId w:val="12"/>
        </w:numPr>
        <w:spacing w:after="160" w:line="280" w:lineRule="auto"/>
        <w:ind w:left="720" w:hanging="360"/>
      </w:pPr>
      <w:r>
        <w:rPr>
          <w:rFonts w:ascii="Calibri" w:hAnsi="Calibri"/>
          <w:b w:val="0"/>
          <w:i w:val="0"/>
          <w:color w:val="111111"/>
          <w:sz w:val="22"/>
        </w:rPr>
        <w:t xml:space="preserve">Reference-aware metrics: required facts, coverage, citations, patch semantics, task-specific constraints, and </w:t>
      </w:r>
      <w:hyperlink r:id="rId16">
        <w:r>
          <w:rPr>
            <w:rFonts w:ascii="Calibri" w:hAnsi="Calibri"/>
            <w:color w:val="2E74B5"/>
            <w:u w:val="single"/>
            <w:sz w:val="22"/>
            <w:szCs w:val="22"/>
          </w:rPr>
          <w:t>QAG</w:t>
        </w:r>
      </w:hyperlink>
      <w:r>
        <w:rPr>
          <w:rFonts w:ascii="Calibri" w:hAnsi="Calibri"/>
          <w:b w:val="0"/>
          <w:i w:val="0"/>
          <w:color w:val="111111"/>
          <w:sz w:val="22"/>
        </w:rPr>
        <w:t>-style question/answer checks when an authoritative source corpus exists.</w:t>
      </w:r>
    </w:p>
    <w:p>
      <w:pPr>
        <w:pStyle w:val="ListNumber"/>
        <w:numPr>
          <w:ilvl w:val="0"/>
          <w:numId w:val="12"/>
        </w:numPr>
        <w:spacing w:after="160" w:line="280" w:lineRule="auto"/>
        <w:ind w:left="720" w:hanging="360"/>
      </w:pPr>
      <w:r>
        <w:rPr>
          <w:rFonts w:ascii="Calibri" w:hAnsi="Calibri"/>
          <w:b w:val="0"/>
          <w:i w:val="0"/>
          <w:color w:val="111111"/>
          <w:sz w:val="22"/>
        </w:rPr>
        <w:t xml:space="preserve">Conditional and trajectory evaluators: tool selection, arguments, order constraints, loop/retry behavior, destructive-action policy, and step taxonomy. Use a </w:t>
      </w:r>
      <w:hyperlink r:id="rId24">
        <w:r>
          <w:rPr>
            <w:rFonts w:ascii="Calibri" w:hAnsi="Calibri"/>
            <w:color w:val="2E74B5"/>
            <w:u w:val="single"/>
            <w:sz w:val="22"/>
            <w:szCs w:val="22"/>
          </w:rPr>
          <w:t>DAGMetric</w:t>
        </w:r>
      </w:hyperlink>
      <w:r>
        <w:rPr>
          <w:rFonts w:ascii="Calibri" w:hAnsi="Calibri"/>
          <w:b w:val="0"/>
          <w:i w:val="0"/>
          <w:color w:val="111111"/>
          <w:sz w:val="22"/>
        </w:rPr>
        <w:t>-style graph when requirements have known branches or early-fail conditions; terminal score mapping is then controlled even if individual judge nodes remain probabilistic.</w:t>
      </w:r>
    </w:p>
    <w:p>
      <w:pPr>
        <w:pStyle w:val="ListNumber"/>
        <w:numPr>
          <w:ilvl w:val="0"/>
          <w:numId w:val="12"/>
        </w:numPr>
        <w:spacing w:after="160" w:line="280" w:lineRule="auto"/>
        <w:ind w:left="720" w:hanging="360"/>
      </w:pPr>
      <w:hyperlink r:id="rId25">
        <w:r>
          <w:rPr>
            <w:rFonts w:ascii="Calibri" w:hAnsi="Calibri"/>
            <w:color w:val="2E74B5"/>
            <w:u w:val="single"/>
            <w:sz w:val="22"/>
            <w:szCs w:val="22"/>
          </w:rPr>
          <w:t>G-Eval</w:t>
        </w:r>
      </w:hyperlink>
      <w:r>
        <w:rPr>
          <w:rFonts w:ascii="Calibri" w:hAnsi="Calibri"/>
          <w:b w:val="0"/>
          <w:i w:val="0"/>
          <w:color w:val="111111"/>
          <w:sz w:val="22"/>
        </w:rPr>
        <w:t>-style judges: reserve for residual, inherently subjective qualities such as clarity, design quality, brand fit, or comparative preference. Freeze the rubric/evaluation steps, blind identities, randomize ordering, and use a capable multimodal judge when visual evidence is required.</w:t>
      </w:r>
    </w:p>
    <w:p>
      <w:pPr>
        <w:pStyle w:val="ListNumber"/>
        <w:numPr>
          <w:ilvl w:val="0"/>
          <w:numId w:val="12"/>
        </w:numPr>
        <w:spacing w:after="160" w:line="280" w:lineRule="auto"/>
        <w:ind w:left="720" w:hanging="360"/>
      </w:pPr>
      <w:r>
        <w:rPr>
          <w:rFonts w:ascii="Calibri" w:hAnsi="Calibri"/>
          <w:b w:val="0"/>
          <w:i w:val="0"/>
          <w:color w:val="111111"/>
          <w:sz w:val="22"/>
        </w:rPr>
        <w:t>Human review: calibrate scorer selection and thresholds, then audit a stratified sample of wins, losses, ties, safety failures, and surprising provider deltas.</w:t>
      </w:r>
    </w:p>
    <w:p>
      <w:pPr>
        <w:pStyle w:val="ListNumber"/>
        <w:numPr>
          <w:ilvl w:val="0"/>
          <w:numId w:val="12"/>
        </w:numPr>
        <w:spacing w:after="160" w:line="280" w:lineRule="auto"/>
        <w:ind w:left="720" w:hanging="360"/>
      </w:pPr>
      <w:r>
        <w:rPr>
          <w:rFonts w:ascii="Calibri" w:hAnsi="Calibri"/>
          <w:b w:val="0"/>
          <w:i w:val="0"/>
          <w:color w:val="111111"/>
          <w:sz w:val="22"/>
        </w:rPr>
        <w:t>Lexicographic decision policy: combine the component scores only after they are measured. Mandatory integrity, safety, task-success, reliability, and latency gates cannot be offset by a high subjective score.</w:t>
      </w:r>
    </w:p>
    <w:p>
      <w:pPr>
        <w:pStyle w:val="Heading2"/>
        <w:keepNext/>
      </w:pPr>
      <w:r>
        <w:rPr>
          <w:rFonts w:ascii="Calibri" w:hAnsi="Calibri"/>
          <w:b/>
          <w:i w:val="0"/>
          <w:color w:val="2E74B5"/>
          <w:sz w:val="26"/>
        </w:rPr>
        <w:t>Evaluator selection by task and output property</w:t>
      </w: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after="0" w:line="269" w:lineRule="auto"/>
            </w:pPr>
            <w:r>
              <w:rPr>
                <w:rFonts w:ascii="Calibri" w:hAnsi="Calibri"/>
                <w:b/>
                <w:i w:val="0"/>
                <w:color w:val="0B2545"/>
                <w:sz w:val="19"/>
              </w:rPr>
              <w:t xml:space="preserve">SELECTION RULE  </w:t>
            </w:r>
            <w:r>
              <w:rPr>
                <w:rFonts w:ascii="Calibri" w:hAnsi="Calibri"/>
                <w:b w:val="0"/>
                <w:i w:val="0"/>
                <w:color w:val="111111"/>
                <w:sz w:val="21"/>
              </w:rPr>
              <w:t>Lexicographic gates are the decision policy, not a scorer. Select the strongest available evidence for each property: deterministic evidence for factual state and safety, source-grounded evidence for factual claims, explicit decision graphs for conditional requirements, and calibrated LLM/human judgment for residual subjectivity.</w:t>
            </w:r>
          </w:p>
        </w:tc>
      </w:tr>
    </w:tbl>
    <w:p>
      <w:pPr>
        <w:spacing w:after="60"/>
      </w:pP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2450"/>
        <w:gridCol w:w="4250"/>
        <w:gridCol w:w="2660"/>
      </w:tblGrid>
      <w:tr>
        <w:trPr>
          <w:tblHeader w:val="true"/>
          <w:cantSplit/>
        </w:trPr>
        <w:tc>
          <w:tcPr>
            <w:tcW w:type="dxa" w:w="24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Task or property</w:t>
            </w:r>
          </w:p>
        </w:tc>
        <w:tc>
          <w:tcPr>
            <w:tcW w:type="dxa" w:w="42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Primary scorer composition</w:t>
            </w:r>
          </w:p>
        </w:tc>
        <w:tc>
          <w:tcPr>
            <w:tcW w:type="dxa" w:w="266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How it enters the decision</w:t>
            </w:r>
          </w:p>
        </w:tc>
      </w:tr>
      <w:tr>
        <w:trPr>
          <w:cantSplit/>
        </w:trPr>
        <w:tc>
          <w:tcPr>
            <w:tcW w:type="dxa" w:w="2450"/>
            <w:tcMar>
              <w:top w:w="80" w:type="dxa"/>
              <w:start w:w="120" w:type="dxa"/>
              <w:bottom w:w="80" w:type="dxa"/>
              <w:end w:w="120" w:type="dxa"/>
            </w:tcMar>
            <w:vAlign w:val="center"/>
          </w:tcPr>
          <w:p>
            <w:pPr>
              <w:spacing w:after="0" w:line="257" w:lineRule="auto"/>
            </w:pPr>
            <w:r>
              <w:rPr>
                <w:rFonts w:ascii="Calibri" w:hAnsi="Calibri"/>
                <w:b w:val="0"/>
                <w:i w:val="0"/>
                <w:color w:val="111111"/>
                <w:sz w:val="15"/>
              </w:rPr>
              <w:t>Code, data, browser, and transactional operations</w:t>
            </w:r>
          </w:p>
        </w:tc>
        <w:tc>
          <w:tcPr>
            <w:tcW w:type="dxa" w:w="4250"/>
            <w:tcMar>
              <w:top w:w="80" w:type="dxa"/>
              <w:start w:w="120" w:type="dxa"/>
              <w:bottom w:w="80" w:type="dxa"/>
              <w:end w:w="120" w:type="dxa"/>
            </w:tcMar>
            <w:vAlign w:val="center"/>
          </w:tcPr>
          <w:p>
            <w:pPr>
              <w:spacing w:after="0" w:line="257" w:lineRule="auto"/>
            </w:pPr>
            <w:r>
              <w:rPr>
                <w:rFonts w:ascii="Calibri" w:hAnsi="Calibri"/>
                <w:b w:val="0"/>
                <w:i w:val="0"/>
                <w:color w:val="111111"/>
                <w:sz w:val="15"/>
              </w:rPr>
              <w:t>Executable tests; state/database assertions; schemas; permission and side-effect audit. Add trajectory checks for tools and arguments.</w:t>
            </w:r>
          </w:p>
        </w:tc>
        <w:tc>
          <w:tcPr>
            <w:tcW w:type="dxa" w:w="2660"/>
            <w:tcMar>
              <w:top w:w="80" w:type="dxa"/>
              <w:start w:w="120" w:type="dxa"/>
              <w:bottom w:w="80" w:type="dxa"/>
              <w:end w:w="120" w:type="dxa"/>
            </w:tcMar>
            <w:vAlign w:val="center"/>
          </w:tcPr>
          <w:p>
            <w:pPr>
              <w:spacing w:after="0" w:line="257" w:lineRule="auto"/>
            </w:pPr>
            <w:r>
              <w:rPr>
                <w:rFonts w:ascii="Calibri" w:hAnsi="Calibri"/>
                <w:b w:val="0"/>
                <w:i w:val="0"/>
                <w:color w:val="111111"/>
                <w:sz w:val="15"/>
              </w:rPr>
              <w:t xml:space="preserve">Hard gate. Do not use </w:t>
            </w:r>
            <w:hyperlink r:id="rId25">
              <w:r>
                <w:rPr>
                  <w:rFonts w:ascii="Calibri" w:hAnsi="Calibri"/>
                  <w:color w:val="2E74B5"/>
                  <w:u w:val="single"/>
                  <w:sz w:val="15"/>
                  <w:szCs w:val="15"/>
                </w:rPr>
                <w:t>G-Eval</w:t>
              </w:r>
            </w:hyperlink>
            <w:r>
              <w:rPr>
                <w:rFonts w:ascii="Calibri" w:hAnsi="Calibri"/>
                <w:b w:val="0"/>
                <w:i w:val="0"/>
                <w:color w:val="111111"/>
                <w:sz w:val="15"/>
              </w:rPr>
              <w:t xml:space="preserve"> to substitute for a verifiable result.</w:t>
            </w:r>
          </w:p>
        </w:tc>
      </w:tr>
      <w:tr>
        <w:trPr>
          <w:cantSplit/>
        </w:trPr>
        <w:tc>
          <w:tcPr>
            <w:tcW w:type="dxa" w:w="2450"/>
            <w:tcMar>
              <w:top w:w="80" w:type="dxa"/>
              <w:start w:w="120" w:type="dxa"/>
              <w:bottom w:w="80" w:type="dxa"/>
              <w:end w:w="120" w:type="dxa"/>
            </w:tcMar>
            <w:vAlign w:val="center"/>
          </w:tcPr>
          <w:p>
            <w:pPr>
              <w:spacing w:after="0" w:line="257" w:lineRule="auto"/>
            </w:pPr>
            <w:r>
              <w:rPr>
                <w:rFonts w:ascii="Calibri" w:hAnsi="Calibri"/>
                <w:b w:val="0"/>
                <w:i w:val="0"/>
                <w:color w:val="111111"/>
                <w:sz w:val="15"/>
              </w:rPr>
              <w:t>Grounded research, RAG, summaries, and factual documents</w:t>
            </w:r>
          </w:p>
        </w:tc>
        <w:tc>
          <w:tcPr>
            <w:tcW w:type="dxa" w:w="4250"/>
            <w:tcMar>
              <w:top w:w="80" w:type="dxa"/>
              <w:start w:w="120" w:type="dxa"/>
              <w:bottom w:w="80" w:type="dxa"/>
              <w:end w:w="120" w:type="dxa"/>
            </w:tcMar>
            <w:vAlign w:val="center"/>
          </w:tcPr>
          <w:p>
            <w:pPr>
              <w:spacing w:after="0" w:line="257" w:lineRule="auto"/>
            </w:pPr>
            <w:r>
              <w:rPr>
                <w:rFonts w:ascii="Calibri" w:hAnsi="Calibri"/>
                <w:b w:val="0"/>
                <w:i w:val="0"/>
                <w:color w:val="111111"/>
                <w:sz w:val="15"/>
              </w:rPr>
              <w:t xml:space="preserve">Citation/source validation; claim-level checks; </w:t>
            </w:r>
            <w:hyperlink r:id="rId16">
              <w:r>
                <w:rPr>
                  <w:rFonts w:ascii="Calibri" w:hAnsi="Calibri"/>
                  <w:color w:val="2E74B5"/>
                  <w:u w:val="single"/>
                  <w:sz w:val="15"/>
                  <w:szCs w:val="15"/>
                </w:rPr>
                <w:t>QAG</w:t>
              </w:r>
            </w:hyperlink>
            <w:r>
              <w:rPr>
                <w:rFonts w:ascii="Calibri" w:hAnsi="Calibri"/>
                <w:b w:val="0"/>
                <w:i w:val="0"/>
                <w:color w:val="111111"/>
                <w:sz w:val="15"/>
              </w:rPr>
              <w:t xml:space="preserve"> for coverage/faithfulness; targeted human adjudication for disputed claims.</w:t>
            </w:r>
          </w:p>
        </w:tc>
        <w:tc>
          <w:tcPr>
            <w:tcW w:type="dxa" w:w="2660"/>
            <w:tcMar>
              <w:top w:w="80" w:type="dxa"/>
              <w:start w:w="120" w:type="dxa"/>
              <w:bottom w:w="80" w:type="dxa"/>
              <w:end w:w="120" w:type="dxa"/>
            </w:tcMar>
            <w:vAlign w:val="center"/>
          </w:tcPr>
          <w:p>
            <w:pPr>
              <w:spacing w:after="0" w:line="257" w:lineRule="auto"/>
            </w:pPr>
            <w:r>
              <w:rPr>
                <w:rFonts w:ascii="Calibri" w:hAnsi="Calibri"/>
                <w:b w:val="0"/>
                <w:i w:val="0"/>
                <w:color w:val="111111"/>
                <w:sz w:val="15"/>
              </w:rPr>
              <w:t xml:space="preserve">Quality gate on factuality/coverage; </w:t>
            </w:r>
            <w:hyperlink r:id="rId25">
              <w:r>
                <w:rPr>
                  <w:rFonts w:ascii="Calibri" w:hAnsi="Calibri"/>
                  <w:color w:val="2E74B5"/>
                  <w:u w:val="single"/>
                  <w:sz w:val="15"/>
                  <w:szCs w:val="15"/>
                </w:rPr>
                <w:t>G-Eval</w:t>
              </w:r>
            </w:hyperlink>
            <w:r>
              <w:rPr>
                <w:rFonts w:ascii="Calibri" w:hAnsi="Calibri"/>
                <w:b w:val="0"/>
                <w:i w:val="0"/>
                <w:color w:val="111111"/>
                <w:sz w:val="15"/>
              </w:rPr>
              <w:t xml:space="preserve"> may assess synthesis or usefulness only after grounding passes.</w:t>
            </w:r>
          </w:p>
        </w:tc>
      </w:tr>
      <w:tr>
        <w:trPr>
          <w:cantSplit/>
        </w:trPr>
        <w:tc>
          <w:tcPr>
            <w:tcW w:type="dxa" w:w="2450"/>
            <w:tcMar>
              <w:top w:w="80" w:type="dxa"/>
              <w:start w:w="120" w:type="dxa"/>
              <w:bottom w:w="80" w:type="dxa"/>
              <w:end w:w="120" w:type="dxa"/>
            </w:tcMar>
            <w:vAlign w:val="center"/>
          </w:tcPr>
          <w:p>
            <w:pPr>
              <w:spacing w:after="0" w:line="257" w:lineRule="auto"/>
            </w:pPr>
            <w:r>
              <w:rPr>
                <w:rFonts w:ascii="Calibri" w:hAnsi="Calibri"/>
                <w:b w:val="0"/>
                <w:i w:val="0"/>
                <w:color w:val="111111"/>
                <w:sz w:val="15"/>
              </w:rPr>
              <w:t>Policy, safety, and conditional compliance</w:t>
            </w:r>
          </w:p>
        </w:tc>
        <w:tc>
          <w:tcPr>
            <w:tcW w:type="dxa" w:w="4250"/>
            <w:tcMar>
              <w:top w:w="80" w:type="dxa"/>
              <w:start w:w="120" w:type="dxa"/>
              <w:bottom w:w="80" w:type="dxa"/>
              <w:end w:w="120" w:type="dxa"/>
            </w:tcMar>
            <w:vAlign w:val="center"/>
          </w:tcPr>
          <w:p>
            <w:pPr>
              <w:spacing w:after="0" w:line="257" w:lineRule="auto"/>
            </w:pPr>
            <w:r>
              <w:rPr>
                <w:rFonts w:ascii="Calibri" w:hAnsi="Calibri"/>
                <w:b w:val="0"/>
                <w:i w:val="0"/>
                <w:color w:val="111111"/>
                <w:sz w:val="15"/>
              </w:rPr>
              <w:t xml:space="preserve">Deterministic rules where possible; </w:t>
            </w:r>
            <w:hyperlink r:id="rId24">
              <w:r>
                <w:rPr>
                  <w:rFonts w:ascii="Calibri" w:hAnsi="Calibri"/>
                  <w:color w:val="2E74B5"/>
                  <w:u w:val="single"/>
                  <w:sz w:val="15"/>
                  <w:szCs w:val="15"/>
                </w:rPr>
                <w:t>DAGMetric</w:t>
              </w:r>
            </w:hyperlink>
            <w:r>
              <w:rPr>
                <w:rFonts w:ascii="Calibri" w:hAnsi="Calibri"/>
                <w:b w:val="0"/>
                <w:i w:val="0"/>
                <w:color w:val="111111"/>
                <w:sz w:val="15"/>
              </w:rPr>
              <w:t>-style branches for known exception paths; red-team cases and human review for ambiguity.</w:t>
            </w:r>
          </w:p>
        </w:tc>
        <w:tc>
          <w:tcPr>
            <w:tcW w:type="dxa" w:w="2660"/>
            <w:tcMar>
              <w:top w:w="80" w:type="dxa"/>
              <w:start w:w="120" w:type="dxa"/>
              <w:bottom w:w="80" w:type="dxa"/>
              <w:end w:w="120" w:type="dxa"/>
            </w:tcMar>
            <w:vAlign w:val="center"/>
          </w:tcPr>
          <w:p>
            <w:pPr>
              <w:spacing w:after="0" w:line="257" w:lineRule="auto"/>
            </w:pPr>
            <w:r>
              <w:rPr>
                <w:rFonts w:ascii="Calibri" w:hAnsi="Calibri"/>
                <w:b w:val="0"/>
                <w:i w:val="0"/>
                <w:color w:val="111111"/>
                <w:sz w:val="15"/>
              </w:rPr>
              <w:t>Hard or near-hard gate. A high holistic judge score cannot compensate for a violation.</w:t>
            </w:r>
          </w:p>
        </w:tc>
      </w:tr>
      <w:tr>
        <w:trPr>
          <w:cantSplit/>
        </w:trPr>
        <w:tc>
          <w:tcPr>
            <w:tcW w:type="dxa" w:w="2450"/>
            <w:tcMar>
              <w:top w:w="80" w:type="dxa"/>
              <w:start w:w="120" w:type="dxa"/>
              <w:bottom w:w="80" w:type="dxa"/>
              <w:end w:w="120" w:type="dxa"/>
            </w:tcMar>
            <w:vAlign w:val="center"/>
          </w:tcPr>
          <w:p>
            <w:pPr>
              <w:spacing w:after="0" w:line="257" w:lineRule="auto"/>
            </w:pPr>
            <w:r>
              <w:rPr>
                <w:rFonts w:ascii="Calibri" w:hAnsi="Calibri"/>
                <w:b w:val="0"/>
                <w:i w:val="0"/>
                <w:color w:val="111111"/>
                <w:sz w:val="15"/>
              </w:rPr>
              <w:t>Long-horizon tool workflows</w:t>
            </w:r>
          </w:p>
        </w:tc>
        <w:tc>
          <w:tcPr>
            <w:tcW w:type="dxa" w:w="4250"/>
            <w:tcMar>
              <w:top w:w="80" w:type="dxa"/>
              <w:start w:w="120" w:type="dxa"/>
              <w:bottom w:w="80" w:type="dxa"/>
              <w:end w:w="120" w:type="dxa"/>
            </w:tcMar>
            <w:vAlign w:val="center"/>
          </w:tcPr>
          <w:p>
            <w:pPr>
              <w:spacing w:after="0" w:line="257" w:lineRule="auto"/>
            </w:pPr>
            <w:r>
              <w:rPr>
                <w:rFonts w:ascii="Calibri" w:hAnsi="Calibri"/>
                <w:b w:val="0"/>
                <w:i w:val="0"/>
                <w:color w:val="111111"/>
                <w:sz w:val="15"/>
              </w:rPr>
              <w:t xml:space="preserve">Environment-state assertions; trajectory/plan taxonomy; checkpoint and recovery tests; </w:t>
            </w:r>
            <w:hyperlink r:id="rId24">
              <w:r>
                <w:rPr>
                  <w:rFonts w:ascii="Calibri" w:hAnsi="Calibri"/>
                  <w:color w:val="2E74B5"/>
                  <w:u w:val="single"/>
                  <w:sz w:val="15"/>
                  <w:szCs w:val="15"/>
                </w:rPr>
                <w:t>DAGMetric</w:t>
              </w:r>
            </w:hyperlink>
            <w:r>
              <w:rPr>
                <w:rFonts w:ascii="Calibri" w:hAnsi="Calibri"/>
                <w:b w:val="0"/>
                <w:i w:val="0"/>
                <w:color w:val="111111"/>
                <w:sz w:val="15"/>
              </w:rPr>
              <w:t>-style rules for contingent transitions.</w:t>
            </w:r>
          </w:p>
        </w:tc>
        <w:tc>
          <w:tcPr>
            <w:tcW w:type="dxa" w:w="2660"/>
            <w:tcMar>
              <w:top w:w="80" w:type="dxa"/>
              <w:start w:w="120" w:type="dxa"/>
              <w:bottom w:w="80" w:type="dxa"/>
              <w:end w:w="120" w:type="dxa"/>
            </w:tcMar>
            <w:vAlign w:val="center"/>
          </w:tcPr>
          <w:p>
            <w:pPr>
              <w:spacing w:after="0" w:line="257" w:lineRule="auto"/>
            </w:pPr>
            <w:r>
              <w:rPr>
                <w:rFonts w:ascii="Calibri" w:hAnsi="Calibri"/>
                <w:b w:val="0"/>
                <w:i w:val="0"/>
                <w:color w:val="111111"/>
                <w:sz w:val="15"/>
              </w:rPr>
              <w:t>Success/reliability gate plus step and plan-efficiency diagnostics.</w:t>
            </w:r>
          </w:p>
        </w:tc>
      </w:tr>
      <w:tr>
        <w:trPr>
          <w:cantSplit/>
        </w:trPr>
        <w:tc>
          <w:tcPr>
            <w:tcW w:type="dxa" w:w="2450"/>
            <w:tcMar>
              <w:top w:w="80" w:type="dxa"/>
              <w:start w:w="120" w:type="dxa"/>
              <w:bottom w:w="80" w:type="dxa"/>
              <w:end w:w="120" w:type="dxa"/>
            </w:tcMar>
            <w:vAlign w:val="center"/>
          </w:tcPr>
          <w:p>
            <w:pPr>
              <w:spacing w:after="0" w:line="257" w:lineRule="auto"/>
            </w:pPr>
            <w:r>
              <w:rPr>
                <w:rFonts w:ascii="Calibri" w:hAnsi="Calibri"/>
                <w:b w:val="0"/>
                <w:i w:val="0"/>
                <w:color w:val="111111"/>
                <w:sz w:val="15"/>
              </w:rPr>
              <w:t>Subjective text, visual design, UX, or creative artifacts</w:t>
            </w:r>
          </w:p>
        </w:tc>
        <w:tc>
          <w:tcPr>
            <w:tcW w:type="dxa" w:w="4250"/>
            <w:tcMar>
              <w:top w:w="80" w:type="dxa"/>
              <w:start w:w="120" w:type="dxa"/>
              <w:bottom w:w="80" w:type="dxa"/>
              <w:end w:w="120" w:type="dxa"/>
            </w:tcMar>
            <w:vAlign w:val="center"/>
          </w:tcPr>
          <w:p>
            <w:pPr>
              <w:spacing w:after="0" w:line="257" w:lineRule="auto"/>
            </w:pPr>
            <w:hyperlink r:id="rId25">
              <w:r>
                <w:rPr>
                  <w:rFonts w:ascii="Calibri" w:hAnsi="Calibri"/>
                  <w:color w:val="2E74B5"/>
                  <w:u w:val="single"/>
                  <w:sz w:val="15"/>
                  <w:szCs w:val="15"/>
                </w:rPr>
                <w:t>G-Eval</w:t>
              </w:r>
            </w:hyperlink>
            <w:r>
              <w:rPr>
                <w:rFonts w:ascii="Calibri" w:hAnsi="Calibri"/>
                <w:b w:val="0"/>
                <w:i w:val="0"/>
                <w:color w:val="111111"/>
                <w:sz w:val="15"/>
              </w:rPr>
              <w:t xml:space="preserve"> with a frozen rubric, preferably blinded pairwise comparison; multiple judge models or human raters for calibration.</w:t>
            </w:r>
          </w:p>
        </w:tc>
        <w:tc>
          <w:tcPr>
            <w:tcW w:type="dxa" w:w="2660"/>
            <w:tcMar>
              <w:top w:w="80" w:type="dxa"/>
              <w:start w:w="120" w:type="dxa"/>
              <w:bottom w:w="80" w:type="dxa"/>
              <w:end w:w="120" w:type="dxa"/>
            </w:tcMar>
            <w:vAlign w:val="center"/>
          </w:tcPr>
          <w:p>
            <w:pPr>
              <w:spacing w:after="0" w:line="257" w:lineRule="auto"/>
            </w:pPr>
            <w:r>
              <w:rPr>
                <w:rFonts w:ascii="Calibri" w:hAnsi="Calibri"/>
                <w:b w:val="0"/>
                <w:i w:val="0"/>
                <w:color w:val="111111"/>
                <w:sz w:val="15"/>
              </w:rPr>
              <w:t>Soft quality objective after hard requirements pass; retain uncertainty and slice-level agreement.</w:t>
            </w:r>
          </w:p>
        </w:tc>
      </w:tr>
      <w:tr>
        <w:trPr>
          <w:cantSplit/>
        </w:trPr>
        <w:tc>
          <w:tcPr>
            <w:tcW w:type="dxa" w:w="2450"/>
            <w:tcMar>
              <w:top w:w="80" w:type="dxa"/>
              <w:start w:w="120" w:type="dxa"/>
              <w:bottom w:w="80" w:type="dxa"/>
              <w:end w:w="120" w:type="dxa"/>
            </w:tcMar>
            <w:vAlign w:val="center"/>
          </w:tcPr>
          <w:p>
            <w:pPr>
              <w:spacing w:after="0" w:line="257" w:lineRule="auto"/>
            </w:pPr>
            <w:r>
              <w:rPr>
                <w:rFonts w:ascii="Calibri" w:hAnsi="Calibri"/>
                <w:b w:val="0"/>
                <w:i w:val="0"/>
                <w:color w:val="111111"/>
                <w:sz w:val="15"/>
              </w:rPr>
              <w:t>Video integrity, prompt facts, identity, and temporal coherence</w:t>
            </w:r>
          </w:p>
        </w:tc>
        <w:tc>
          <w:tcPr>
            <w:tcW w:type="dxa" w:w="4250"/>
            <w:tcMar>
              <w:top w:w="80" w:type="dxa"/>
              <w:start w:w="120" w:type="dxa"/>
              <w:bottom w:w="80" w:type="dxa"/>
              <w:end w:w="120" w:type="dxa"/>
            </w:tcMar>
            <w:vAlign w:val="center"/>
          </w:tcPr>
          <w:p>
            <w:pPr>
              <w:spacing w:after="0" w:line="257" w:lineRule="auto"/>
            </w:pPr>
            <w:r>
              <w:rPr>
                <w:rFonts w:ascii="Calibri" w:hAnsi="Calibri"/>
                <w:b w:val="0"/>
                <w:i w:val="0"/>
                <w:color w:val="111111"/>
                <w:sz w:val="15"/>
              </w:rPr>
              <w:t>Artifact checks; temporal/vision metrics; atomic VQA assertions; tracking and time-coded evidence; human audit of hard cases.</w:t>
            </w:r>
          </w:p>
        </w:tc>
        <w:tc>
          <w:tcPr>
            <w:tcW w:type="dxa" w:w="2660"/>
            <w:tcMar>
              <w:top w:w="80" w:type="dxa"/>
              <w:start w:w="120" w:type="dxa"/>
              <w:bottom w:w="80" w:type="dxa"/>
              <w:end w:w="120" w:type="dxa"/>
            </w:tcMar>
            <w:vAlign w:val="center"/>
          </w:tcPr>
          <w:p>
            <w:pPr>
              <w:spacing w:after="0" w:line="257" w:lineRule="auto"/>
            </w:pPr>
            <w:r>
              <w:rPr>
                <w:rFonts w:ascii="Calibri" w:hAnsi="Calibri"/>
                <w:b w:val="0"/>
                <w:i w:val="0"/>
                <w:color w:val="111111"/>
                <w:sz w:val="15"/>
              </w:rPr>
              <w:t>Hard or minimum-quality gates. Aesthetic preference never excuses a malformed, unsafe, or off-prompt video.</w:t>
            </w:r>
          </w:p>
        </w:tc>
      </w:tr>
      <w:tr>
        <w:trPr>
          <w:cantSplit/>
        </w:trPr>
        <w:tc>
          <w:tcPr>
            <w:tcW w:type="dxa" w:w="2450"/>
            <w:tcMar>
              <w:top w:w="80" w:type="dxa"/>
              <w:start w:w="120" w:type="dxa"/>
              <w:bottom w:w="80" w:type="dxa"/>
              <w:end w:w="120" w:type="dxa"/>
            </w:tcMar>
            <w:vAlign w:val="center"/>
          </w:tcPr>
          <w:p>
            <w:pPr>
              <w:spacing w:after="0" w:line="257" w:lineRule="auto"/>
            </w:pPr>
            <w:r>
              <w:rPr>
                <w:rFonts w:ascii="Calibri" w:hAnsi="Calibri"/>
                <w:b w:val="0"/>
                <w:i w:val="0"/>
                <w:color w:val="111111"/>
                <w:sz w:val="15"/>
              </w:rPr>
              <w:t>Video aesthetic, brand, and creative quality</w:t>
            </w:r>
          </w:p>
        </w:tc>
        <w:tc>
          <w:tcPr>
            <w:tcW w:type="dxa" w:w="4250"/>
            <w:tcMar>
              <w:top w:w="80" w:type="dxa"/>
              <w:start w:w="120" w:type="dxa"/>
              <w:bottom w:w="80" w:type="dxa"/>
              <w:end w:w="120" w:type="dxa"/>
            </w:tcMar>
            <w:vAlign w:val="center"/>
          </w:tcPr>
          <w:p>
            <w:pPr>
              <w:spacing w:after="0" w:line="257" w:lineRule="auto"/>
            </w:pPr>
            <w:r>
              <w:rPr>
                <w:rFonts w:ascii="Calibri" w:hAnsi="Calibri"/>
                <w:b w:val="0"/>
                <w:i w:val="0"/>
                <w:color w:val="111111"/>
                <w:sz w:val="15"/>
              </w:rPr>
              <w:t xml:space="preserve">Multimodal </w:t>
            </w:r>
            <w:hyperlink r:id="rId25">
              <w:r>
                <w:rPr>
                  <w:rFonts w:ascii="Calibri" w:hAnsi="Calibri"/>
                  <w:color w:val="2E74B5"/>
                  <w:u w:val="single"/>
                  <w:sz w:val="15"/>
                  <w:szCs w:val="15"/>
                </w:rPr>
                <w:t>G-Eval</w:t>
              </w:r>
            </w:hyperlink>
            <w:r>
              <w:rPr>
                <w:rFonts w:ascii="Calibri" w:hAnsi="Calibri"/>
                <w:b w:val="0"/>
                <w:i w:val="0"/>
                <w:color w:val="111111"/>
                <w:sz w:val="15"/>
              </w:rPr>
              <w:t>-style pairwise rubric using frames/clips and time-coded evidence; human preference labels for calibration; automated aesthetic models only for triage.</w:t>
            </w:r>
          </w:p>
        </w:tc>
        <w:tc>
          <w:tcPr>
            <w:tcW w:type="dxa" w:w="2660"/>
            <w:tcMar>
              <w:top w:w="80" w:type="dxa"/>
              <w:start w:w="120" w:type="dxa"/>
              <w:bottom w:w="80" w:type="dxa"/>
              <w:end w:w="120" w:type="dxa"/>
            </w:tcMar>
            <w:vAlign w:val="center"/>
          </w:tcPr>
          <w:p>
            <w:pPr>
              <w:spacing w:after="0" w:line="257" w:lineRule="auto"/>
            </w:pPr>
            <w:r>
              <w:rPr>
                <w:rFonts w:ascii="Calibri" w:hAnsi="Calibri"/>
                <w:b w:val="0"/>
                <w:i w:val="0"/>
                <w:color w:val="111111"/>
                <w:sz w:val="15"/>
              </w:rPr>
              <w:t>Pareto objective among clips that already pass integrity, prompt, character, temporal, and latency gates.</w:t>
            </w:r>
          </w:p>
        </w:tc>
      </w:tr>
    </w:tbl>
    <w:p>
      <w:pPr>
        <w:spacing w:after="40"/>
      </w:pPr>
    </w:p>
    <w:p>
      <w:pPr>
        <w:pStyle w:val="Heading2"/>
        <w:keepNext/>
      </w:pPr>
      <w:r>
        <w:rPr>
          <w:rFonts w:ascii="Calibri" w:hAnsi="Calibri"/>
          <w:b/>
          <w:i w:val="0"/>
          <w:color w:val="2E74B5"/>
          <w:sz w:val="26"/>
        </w:rPr>
        <w:t>Evaluator validation</w:t>
      </w:r>
    </w:p>
    <w:p>
      <w:pPr>
        <w:keepNext w:val="0"/>
        <w:spacing w:before="0" w:after="120" w:line="264" w:lineRule="auto"/>
      </w:pPr>
      <w:r>
        <w:rPr>
          <w:rFonts w:ascii="Calibri" w:hAnsi="Calibri"/>
          <w:b w:val="0"/>
          <w:i w:val="0"/>
          <w:color w:val="111111"/>
          <w:sz w:val="22"/>
        </w:rPr>
        <w:t>Before using any judge as an optimizer target, measure agreement with human labels, false-pass and false-fail rates, pairwise position bias, verbosity bias, self-preference, and stability across judge models. Freeze evaluator versions during an experiment. When an evaluator changes, re-score stored traces where possible and create a new benchmark version rather than overwriting history.</w:t>
      </w:r>
    </w:p>
    <w:p>
      <w:pPr>
        <w:pStyle w:val="Heading2"/>
        <w:keepNext/>
      </w:pPr>
      <w:r>
        <w:rPr>
          <w:rFonts w:ascii="Calibri" w:hAnsi="Calibri"/>
          <w:b/>
          <w:i w:val="0"/>
          <w:color w:val="2E74B5"/>
          <w:sz w:val="26"/>
        </w:rPr>
        <w:t>AI-assisted evaluation and workflow design studio</w:t>
      </w:r>
    </w:p>
    <w:p>
      <w:pPr>
        <w:keepNext w:val="0"/>
        <w:spacing w:before="0" w:after="120" w:line="264" w:lineRule="auto"/>
      </w:pPr>
      <w:r>
        <w:rPr>
          <w:rFonts w:ascii="Calibri" w:hAnsi="Calibri"/>
          <w:b w:val="0"/>
          <w:i w:val="0"/>
          <w:color w:val="111111"/>
          <w:sz w:val="22"/>
        </w:rPr>
        <w:t>The first-pass authoring experience should be conversational: a user describes the task type, business or user goal, context, examples, known failures, risks, data constraints, and desired operating mode. The assistant converts that material into reviewable versioned drafts rather than asking the user to hand-author YAML, scoring code, judge prompts, and dataset manifests.</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2030"/>
        <w:gridCol w:w="4110"/>
        <w:gridCol w:w="3220"/>
      </w:tblGrid>
      <w:tr>
        <w:trPr>
          <w:tblHeader w:val="true"/>
          <w:cantSplit/>
        </w:trPr>
        <w:tc>
          <w:tcPr>
            <w:tcW w:type="dxa" w:w="203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Copilot module</w:t>
            </w:r>
          </w:p>
        </w:tc>
        <w:tc>
          <w:tcPr>
            <w:tcW w:type="dxa" w:w="411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AI-assisted work</w:t>
            </w:r>
          </w:p>
        </w:tc>
        <w:tc>
          <w:tcPr>
            <w:tcW w:type="dxa" w:w="322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Promotion guardrail</w:t>
            </w:r>
          </w:p>
        </w:tc>
      </w:tr>
      <w:tr>
        <w:trPr>
          <w:cantSplit/>
        </w:trPr>
        <w:tc>
          <w:tcPr>
            <w:tcW w:type="dxa" w:w="2030"/>
            <w:tcMar>
              <w:top w:w="80" w:type="dxa"/>
              <w:start w:w="120" w:type="dxa"/>
              <w:bottom w:w="80" w:type="dxa"/>
              <w:end w:w="120" w:type="dxa"/>
            </w:tcMar>
            <w:vAlign w:val="center"/>
          </w:tcPr>
          <w:p>
            <w:pPr>
              <w:spacing w:after="0" w:line="257" w:lineRule="auto"/>
            </w:pPr>
            <w:r>
              <w:rPr>
                <w:rFonts w:ascii="Calibri" w:hAnsi="Calibri"/>
                <w:b w:val="0"/>
                <w:i w:val="0"/>
                <w:color w:val="111111"/>
                <w:sz w:val="15"/>
              </w:rPr>
              <w:t>Task and behavior designer</w:t>
            </w:r>
          </w:p>
        </w:tc>
        <w:tc>
          <w:tcPr>
            <w:tcW w:type="dxa" w:w="4110"/>
            <w:tcMar>
              <w:top w:w="80" w:type="dxa"/>
              <w:start w:w="120" w:type="dxa"/>
              <w:bottom w:w="80" w:type="dxa"/>
              <w:end w:w="120" w:type="dxa"/>
            </w:tcMar>
            <w:vAlign w:val="center"/>
          </w:tcPr>
          <w:p>
            <w:pPr>
              <w:spacing w:after="0" w:line="257" w:lineRule="auto"/>
            </w:pPr>
            <w:r>
              <w:rPr>
                <w:rFonts w:ascii="Calibri" w:hAnsi="Calibri"/>
                <w:b w:val="0"/>
                <w:i w:val="0"/>
                <w:color w:val="111111"/>
                <w:sz w:val="15"/>
              </w:rPr>
              <w:t>Elicits missing context; drafts target outcomes, acceptable variation, invariants, prohibited behavior, escalation rules, and task slices.</w:t>
            </w:r>
          </w:p>
        </w:tc>
        <w:tc>
          <w:tcPr>
            <w:tcW w:type="dxa" w:w="3220"/>
            <w:tcMar>
              <w:top w:w="80" w:type="dxa"/>
              <w:start w:w="120" w:type="dxa"/>
              <w:bottom w:w="80" w:type="dxa"/>
              <w:end w:w="120" w:type="dxa"/>
            </w:tcMar>
            <w:vAlign w:val="center"/>
          </w:tcPr>
          <w:p>
            <w:pPr>
              <w:spacing w:after="0" w:line="257" w:lineRule="auto"/>
            </w:pPr>
            <w:r>
              <w:rPr>
                <w:rFonts w:ascii="Calibri" w:hAnsi="Calibri"/>
                <w:b w:val="0"/>
                <w:i w:val="0"/>
                <w:color w:val="111111"/>
                <w:sz w:val="15"/>
              </w:rPr>
              <w:t>SME approves semantic correctness and business relevance; unresolved assumptions remain explicit.</w:t>
            </w:r>
          </w:p>
        </w:tc>
      </w:tr>
      <w:tr>
        <w:trPr>
          <w:cantSplit/>
        </w:trPr>
        <w:tc>
          <w:tcPr>
            <w:tcW w:type="dxa" w:w="2030"/>
            <w:tcMar>
              <w:top w:w="80" w:type="dxa"/>
              <w:start w:w="120" w:type="dxa"/>
              <w:bottom w:w="80" w:type="dxa"/>
              <w:end w:w="120" w:type="dxa"/>
            </w:tcMar>
            <w:vAlign w:val="center"/>
          </w:tcPr>
          <w:p>
            <w:pPr>
              <w:spacing w:after="0" w:line="257" w:lineRule="auto"/>
            </w:pPr>
            <w:r>
              <w:rPr>
                <w:rFonts w:ascii="Calibri" w:hAnsi="Calibri"/>
                <w:b w:val="0"/>
                <w:i w:val="0"/>
                <w:color w:val="111111"/>
                <w:sz w:val="15"/>
              </w:rPr>
              <w:t>Failure-mode designer</w:t>
            </w:r>
          </w:p>
        </w:tc>
        <w:tc>
          <w:tcPr>
            <w:tcW w:type="dxa" w:w="4110"/>
            <w:tcMar>
              <w:top w:w="80" w:type="dxa"/>
              <w:start w:w="120" w:type="dxa"/>
              <w:bottom w:w="80" w:type="dxa"/>
              <w:end w:w="120" w:type="dxa"/>
            </w:tcMar>
            <w:vAlign w:val="center"/>
          </w:tcPr>
          <w:p>
            <w:pPr>
              <w:spacing w:after="0" w:line="257" w:lineRule="auto"/>
            </w:pPr>
            <w:r>
              <w:rPr>
                <w:rFonts w:ascii="Calibri" w:hAnsi="Calibri"/>
                <w:b w:val="0"/>
                <w:i w:val="0"/>
                <w:color w:val="111111"/>
                <w:sz w:val="15"/>
              </w:rPr>
              <w:t>Proposes failures from workflow stages, risk class, prior traces, support tickets, and perturbation libraries; maps each to a detector and consequence.</w:t>
            </w:r>
          </w:p>
        </w:tc>
        <w:tc>
          <w:tcPr>
            <w:tcW w:type="dxa" w:w="3220"/>
            <w:tcMar>
              <w:top w:w="80" w:type="dxa"/>
              <w:start w:w="120" w:type="dxa"/>
              <w:bottom w:w="80" w:type="dxa"/>
              <w:end w:w="120" w:type="dxa"/>
            </w:tcMar>
            <w:vAlign w:val="center"/>
          </w:tcPr>
          <w:p>
            <w:pPr>
              <w:spacing w:after="0" w:line="257" w:lineRule="auto"/>
            </w:pPr>
            <w:r>
              <w:rPr>
                <w:rFonts w:ascii="Calibri" w:hAnsi="Calibri"/>
                <w:b w:val="0"/>
                <w:i w:val="0"/>
                <w:color w:val="111111"/>
                <w:sz w:val="15"/>
              </w:rPr>
              <w:t>Safety/domain owner confirms severity and coverage; generated lists cannot silently redefine policy.</w:t>
            </w:r>
          </w:p>
        </w:tc>
      </w:tr>
      <w:tr>
        <w:trPr>
          <w:cantSplit/>
        </w:trPr>
        <w:tc>
          <w:tcPr>
            <w:tcW w:type="dxa" w:w="2030"/>
            <w:tcMar>
              <w:top w:w="80" w:type="dxa"/>
              <w:start w:w="120" w:type="dxa"/>
              <w:bottom w:w="80" w:type="dxa"/>
              <w:end w:w="120" w:type="dxa"/>
            </w:tcMar>
            <w:vAlign w:val="center"/>
          </w:tcPr>
          <w:p>
            <w:pPr>
              <w:spacing w:after="0" w:line="257" w:lineRule="auto"/>
            </w:pPr>
            <w:r>
              <w:rPr>
                <w:rFonts w:ascii="Calibri" w:hAnsi="Calibri"/>
                <w:b w:val="0"/>
                <w:i w:val="0"/>
                <w:color w:val="111111"/>
                <w:sz w:val="15"/>
              </w:rPr>
              <w:t>Dataset studio</w:t>
            </w:r>
          </w:p>
        </w:tc>
        <w:tc>
          <w:tcPr>
            <w:tcW w:type="dxa" w:w="4110"/>
            <w:tcMar>
              <w:top w:w="80" w:type="dxa"/>
              <w:start w:w="120" w:type="dxa"/>
              <w:bottom w:w="80" w:type="dxa"/>
              <w:end w:w="120" w:type="dxa"/>
            </w:tcMar>
            <w:vAlign w:val="center"/>
          </w:tcPr>
          <w:p>
            <w:pPr>
              <w:spacing w:after="0" w:line="257" w:lineRule="auto"/>
            </w:pPr>
            <w:r>
              <w:rPr>
                <w:rFonts w:ascii="Calibri" w:hAnsi="Calibri"/>
                <w:b w:val="0"/>
                <w:i w:val="0"/>
                <w:color w:val="111111"/>
                <w:sz w:val="15"/>
              </w:rPr>
              <w:t>Turns approved seed cases into boundary, paraphrase, noise, conflict, latency, tool-failure, and adversarial variants; proposes coverage balancing and deduplication.</w:t>
            </w:r>
          </w:p>
        </w:tc>
        <w:tc>
          <w:tcPr>
            <w:tcW w:type="dxa" w:w="3220"/>
            <w:tcMar>
              <w:top w:w="80" w:type="dxa"/>
              <w:start w:w="120" w:type="dxa"/>
              <w:bottom w:w="80" w:type="dxa"/>
              <w:end w:w="120" w:type="dxa"/>
            </w:tcMar>
            <w:vAlign w:val="center"/>
          </w:tcPr>
          <w:p>
            <w:pPr>
              <w:spacing w:after="0" w:line="257" w:lineRule="auto"/>
            </w:pPr>
            <w:r>
              <w:rPr>
                <w:rFonts w:ascii="Calibri" w:hAnsi="Calibri"/>
                <w:b w:val="0"/>
                <w:i w:val="0"/>
                <w:color w:val="111111"/>
                <w:sz w:val="15"/>
              </w:rPr>
              <w:t>Record synthetic provenance; scan for leakage/duplicates; an SME validates solvability; the sealed holdout is inaccessible to generation and tuning.</w:t>
            </w:r>
          </w:p>
        </w:tc>
      </w:tr>
      <w:tr>
        <w:trPr>
          <w:cantSplit/>
        </w:trPr>
        <w:tc>
          <w:tcPr>
            <w:tcW w:type="dxa" w:w="2030"/>
            <w:tcMar>
              <w:top w:w="80" w:type="dxa"/>
              <w:start w:w="120" w:type="dxa"/>
              <w:bottom w:w="80" w:type="dxa"/>
              <w:end w:w="120" w:type="dxa"/>
            </w:tcMar>
            <w:vAlign w:val="center"/>
          </w:tcPr>
          <w:p>
            <w:pPr>
              <w:spacing w:after="0" w:line="257" w:lineRule="auto"/>
            </w:pPr>
            <w:r>
              <w:rPr>
                <w:rFonts w:ascii="Calibri" w:hAnsi="Calibri"/>
                <w:b w:val="0"/>
                <w:i w:val="0"/>
                <w:color w:val="111111"/>
                <w:sz w:val="15"/>
              </w:rPr>
              <w:t>Judge-prompt workbench</w:t>
            </w:r>
          </w:p>
        </w:tc>
        <w:tc>
          <w:tcPr>
            <w:tcW w:type="dxa" w:w="4110"/>
            <w:tcMar>
              <w:top w:w="80" w:type="dxa"/>
              <w:start w:w="120" w:type="dxa"/>
              <w:bottom w:w="80" w:type="dxa"/>
              <w:end w:w="120" w:type="dxa"/>
            </w:tcMar>
            <w:vAlign w:val="center"/>
          </w:tcPr>
          <w:p>
            <w:pPr>
              <w:spacing w:after="0" w:line="257" w:lineRule="auto"/>
            </w:pPr>
            <w:r>
              <w:rPr>
                <w:rFonts w:ascii="Calibri" w:hAnsi="Calibri"/>
                <w:b w:val="0"/>
                <w:i w:val="0"/>
                <w:color w:val="111111"/>
                <w:sz w:val="15"/>
              </w:rPr>
              <w:t>Drafts atomic questions, evidence requirements, abstention behavior, counterexamples, pairwise forms, and structured outputs; diagnoses disagreement from calibration errors.</w:t>
            </w:r>
          </w:p>
        </w:tc>
        <w:tc>
          <w:tcPr>
            <w:tcW w:type="dxa" w:w="3220"/>
            <w:tcMar>
              <w:top w:w="80" w:type="dxa"/>
              <w:start w:w="120" w:type="dxa"/>
              <w:bottom w:w="80" w:type="dxa"/>
              <w:end w:w="120" w:type="dxa"/>
            </w:tcMar>
            <w:vAlign w:val="center"/>
          </w:tcPr>
          <w:p>
            <w:pPr>
              <w:spacing w:after="0" w:line="257" w:lineRule="auto"/>
            </w:pPr>
            <w:r>
              <w:rPr>
                <w:rFonts w:ascii="Calibri" w:hAnsi="Calibri"/>
                <w:b w:val="0"/>
                <w:i w:val="0"/>
                <w:color w:val="111111"/>
                <w:sz w:val="15"/>
              </w:rPr>
              <w:t>Optimize only against human-labeled calibration data; freeze promoted versions; evaluate false passes/fails and bias; rescore stored outputs after changes.</w:t>
            </w:r>
          </w:p>
        </w:tc>
      </w:tr>
      <w:tr>
        <w:trPr>
          <w:cantSplit/>
        </w:trPr>
        <w:tc>
          <w:tcPr>
            <w:tcW w:type="dxa" w:w="2030"/>
            <w:tcMar>
              <w:top w:w="80" w:type="dxa"/>
              <w:start w:w="120" w:type="dxa"/>
              <w:bottom w:w="80" w:type="dxa"/>
              <w:end w:w="120" w:type="dxa"/>
            </w:tcMar>
            <w:vAlign w:val="center"/>
          </w:tcPr>
          <w:p>
            <w:pPr>
              <w:spacing w:after="0" w:line="257" w:lineRule="auto"/>
            </w:pPr>
            <w:r>
              <w:rPr>
                <w:rFonts w:ascii="Calibri" w:hAnsi="Calibri"/>
                <w:b w:val="0"/>
                <w:i w:val="0"/>
                <w:color w:val="111111"/>
                <w:sz w:val="15"/>
              </w:rPr>
              <w:t>Scoring-method workbench</w:t>
            </w:r>
          </w:p>
        </w:tc>
        <w:tc>
          <w:tcPr>
            <w:tcW w:type="dxa" w:w="4110"/>
            <w:tcMar>
              <w:top w:w="80" w:type="dxa"/>
              <w:start w:w="120" w:type="dxa"/>
              <w:bottom w:w="80" w:type="dxa"/>
              <w:end w:w="120" w:type="dxa"/>
            </w:tcMar>
            <w:vAlign w:val="center"/>
          </w:tcPr>
          <w:p>
            <w:pPr>
              <w:spacing w:after="0" w:line="257" w:lineRule="auto"/>
            </w:pPr>
            <w:r>
              <w:rPr>
                <w:rFonts w:ascii="Calibri" w:hAnsi="Calibri"/>
                <w:b w:val="0"/>
                <w:i w:val="0"/>
                <w:color w:val="111111"/>
                <w:sz w:val="15"/>
              </w:rPr>
              <w:t>Suggests deterministic checks, reference tests, dependency graphs, thresholds, uncertainty analysis, and non-compensable gates from the failure catalog.</w:t>
            </w:r>
          </w:p>
        </w:tc>
        <w:tc>
          <w:tcPr>
            <w:tcW w:type="dxa" w:w="3220"/>
            <w:tcMar>
              <w:top w:w="80" w:type="dxa"/>
              <w:start w:w="120" w:type="dxa"/>
              <w:bottom w:w="80" w:type="dxa"/>
              <w:end w:w="120" w:type="dxa"/>
            </w:tcMar>
            <w:vAlign w:val="center"/>
          </w:tcPr>
          <w:p>
            <w:pPr>
              <w:spacing w:after="0" w:line="257" w:lineRule="auto"/>
            </w:pPr>
            <w:r>
              <w:rPr>
                <w:rFonts w:ascii="Calibri" w:hAnsi="Calibri"/>
                <w:b w:val="0"/>
                <w:i w:val="0"/>
                <w:color w:val="111111"/>
                <w:sz w:val="15"/>
              </w:rPr>
              <w:t>Preserve raw measures; prohibit an invented aggregate score from overriding critical gates; require approval for threshold/decision-policy changes.</w:t>
            </w:r>
          </w:p>
        </w:tc>
      </w:tr>
      <w:tr>
        <w:trPr>
          <w:cantSplit/>
        </w:trPr>
        <w:tc>
          <w:tcPr>
            <w:tcW w:type="dxa" w:w="2030"/>
            <w:tcMar>
              <w:top w:w="80" w:type="dxa"/>
              <w:start w:w="120" w:type="dxa"/>
              <w:bottom w:w="80" w:type="dxa"/>
              <w:end w:w="120" w:type="dxa"/>
            </w:tcMar>
            <w:vAlign w:val="center"/>
          </w:tcPr>
          <w:p>
            <w:pPr>
              <w:spacing w:after="0" w:line="257" w:lineRule="auto"/>
            </w:pPr>
            <w:r>
              <w:rPr>
                <w:rFonts w:ascii="Calibri" w:hAnsi="Calibri"/>
                <w:b w:val="0"/>
                <w:i w:val="0"/>
                <w:color w:val="111111"/>
                <w:sz w:val="15"/>
              </w:rPr>
              <w:t>Workflow-prompt studio</w:t>
            </w:r>
          </w:p>
        </w:tc>
        <w:tc>
          <w:tcPr>
            <w:tcW w:type="dxa" w:w="4110"/>
            <w:tcMar>
              <w:top w:w="80" w:type="dxa"/>
              <w:start w:w="120" w:type="dxa"/>
              <w:bottom w:w="80" w:type="dxa"/>
              <w:end w:w="120" w:type="dxa"/>
            </w:tcMar>
            <w:vAlign w:val="center"/>
          </w:tcPr>
          <w:p>
            <w:pPr>
              <w:spacing w:after="0" w:line="257" w:lineRule="auto"/>
            </w:pPr>
            <w:r>
              <w:rPr>
                <w:rFonts w:ascii="Calibri" w:hAnsi="Calibri"/>
                <w:b w:val="0"/>
                <w:i w:val="0"/>
                <w:color w:val="111111"/>
                <w:sz w:val="15"/>
              </w:rPr>
              <w:t>Drafts and iterates task type, goal, context, tool instructions, output contracts, escalation, memory and handoff prompts from trace evidence.</w:t>
            </w:r>
          </w:p>
        </w:tc>
        <w:tc>
          <w:tcPr>
            <w:tcW w:type="dxa" w:w="3220"/>
            <w:tcMar>
              <w:top w:w="80" w:type="dxa"/>
              <w:start w:w="120" w:type="dxa"/>
              <w:bottom w:w="80" w:type="dxa"/>
              <w:end w:w="120" w:type="dxa"/>
            </w:tcMar>
            <w:vAlign w:val="center"/>
          </w:tcPr>
          <w:p>
            <w:pPr>
              <w:spacing w:after="0" w:line="257" w:lineRule="auto"/>
            </w:pPr>
            <w:r>
              <w:rPr>
                <w:rFonts w:ascii="Calibri" w:hAnsi="Calibri"/>
                <w:b w:val="0"/>
                <w:i w:val="0"/>
                <w:color w:val="111111"/>
                <w:sz w:val="15"/>
              </w:rPr>
              <w:t>Tune on development data, select on validation, confirm once on holdout; compare changes with paired ablations and fixed model/provider controls.</w:t>
            </w:r>
          </w:p>
        </w:tc>
      </w:tr>
    </w:tbl>
    <w:p>
      <w:pPr>
        <w:spacing w:after="40"/>
      </w:pPr>
    </w:p>
    <w:p>
      <w:pPr>
        <w:keepNext w:val="0"/>
        <w:spacing w:before="0" w:after="120" w:line="264" w:lineRule="auto"/>
      </w:pPr>
      <w:r>
        <w:rPr>
          <w:rFonts w:ascii="Calibri" w:hAnsi="Calibri"/>
          <w:b w:val="0"/>
          <w:i w:val="0"/>
          <w:color w:val="111111"/>
          <w:sz w:val="22"/>
        </w:rPr>
        <w:t>The assistant should explain every proposed change as a hypothesis tied to observed evidence: which failure it addresses, which slice should improve, what regression could occur, and how the experiment will decide. It may open a draft change set, generate tests, and launch an approved experiment; it may not label its own proposal successful, expose holdout answers, or promote a judge, dataset, scoring rule, or workflow prompt without the declared approval gate.</w:t>
      </w:r>
    </w:p>
    <w:p>
      <w:pPr>
        <w:pStyle w:val="ListNumber"/>
        <w:numPr>
          <w:ilvl w:val="0"/>
          <w:numId w:val="13"/>
        </w:numPr>
        <w:spacing w:after="160" w:line="280" w:lineRule="auto"/>
        <w:ind w:left="720" w:hanging="360"/>
      </w:pPr>
      <w:r>
        <w:rPr>
          <w:rFonts w:ascii="Calibri" w:hAnsi="Calibri"/>
          <w:b w:val="0"/>
          <w:i w:val="0"/>
          <w:color w:val="111111"/>
          <w:sz w:val="22"/>
        </w:rPr>
        <w:t>Draft: generate an EvalDesignSpec, WorkflowSpec, seed cases, judge prompt, and scoring graph with explicit unknowns and provenance.</w:t>
      </w:r>
    </w:p>
    <w:p>
      <w:pPr>
        <w:pStyle w:val="ListNumber"/>
        <w:numPr>
          <w:ilvl w:val="0"/>
          <w:numId w:val="13"/>
        </w:numPr>
        <w:spacing w:after="160" w:line="280" w:lineRule="auto"/>
        <w:ind w:left="720" w:hanging="360"/>
      </w:pPr>
      <w:r>
        <w:rPr>
          <w:rFonts w:ascii="Calibri" w:hAnsi="Calibri"/>
          <w:b w:val="0"/>
          <w:i w:val="0"/>
          <w:color w:val="111111"/>
          <w:sz w:val="22"/>
        </w:rPr>
        <w:t>Critique: run schema checks, coverage analysis, ambiguity/solvability review, duplicate/leakage scans, scorer-unit tests, and adversarial review.</w:t>
      </w:r>
    </w:p>
    <w:p>
      <w:pPr>
        <w:pStyle w:val="ListNumber"/>
        <w:numPr>
          <w:ilvl w:val="0"/>
          <w:numId w:val="13"/>
        </w:numPr>
        <w:spacing w:after="160" w:line="280" w:lineRule="auto"/>
        <w:ind w:left="720" w:hanging="360"/>
      </w:pPr>
      <w:r>
        <w:rPr>
          <w:rFonts w:ascii="Calibri" w:hAnsi="Calibri"/>
          <w:b w:val="0"/>
          <w:i w:val="0"/>
          <w:color w:val="111111"/>
          <w:sz w:val="22"/>
        </w:rPr>
        <w:t>Calibrate: compare judge/scorer outputs with human labels; tune only on the calibration partition and report false-pass, false-fail, abstention, and subgroup error.</w:t>
      </w:r>
    </w:p>
    <w:p>
      <w:pPr>
        <w:pStyle w:val="ListNumber"/>
        <w:numPr>
          <w:ilvl w:val="0"/>
          <w:numId w:val="13"/>
        </w:numPr>
        <w:spacing w:after="160" w:line="280" w:lineRule="auto"/>
        <w:ind w:left="720" w:hanging="360"/>
      </w:pPr>
      <w:r>
        <w:rPr>
          <w:rFonts w:ascii="Calibri" w:hAnsi="Calibri"/>
          <w:b w:val="0"/>
          <w:i w:val="0"/>
          <w:color w:val="111111"/>
          <w:sz w:val="22"/>
        </w:rPr>
        <w:t>Experiment: evaluate the change against the frozen baseline on paired validation cases; store generations and traces independently from scores so evaluator changes can be rescored without regenerating.</w:t>
      </w:r>
    </w:p>
    <w:p>
      <w:pPr>
        <w:pStyle w:val="ListNumber"/>
        <w:numPr>
          <w:ilvl w:val="0"/>
          <w:numId w:val="13"/>
        </w:numPr>
        <w:spacing w:after="160" w:line="280" w:lineRule="auto"/>
        <w:ind w:left="720" w:hanging="360"/>
      </w:pPr>
      <w:r>
        <w:rPr>
          <w:rFonts w:ascii="Calibri" w:hAnsi="Calibri"/>
          <w:b w:val="0"/>
          <w:i w:val="0"/>
          <w:color w:val="111111"/>
          <w:sz w:val="22"/>
        </w:rPr>
        <w:t>Approve and release: require an authorized owner to accept the diff, then sign and version the promoted artifact. Confirm on the sealed holdout and monitor production drift before the next iteration.</w:t>
      </w:r>
    </w:p>
    <w:p>
      <w:pPr>
        <w:pStyle w:val="Heading2"/>
        <w:keepNext/>
      </w:pPr>
      <w:r>
        <w:rPr>
          <w:rFonts w:ascii="Calibri" w:hAnsi="Calibri"/>
          <w:b/>
          <w:i w:val="0"/>
          <w:color w:val="2E74B5"/>
          <w:sz w:val="26"/>
        </w:rPr>
        <w:t>Long-horizon process, experience, and harness evaluation</w:t>
      </w:r>
    </w:p>
    <w:p>
      <w:pPr>
        <w:keepNext w:val="0"/>
        <w:spacing w:before="0" w:after="120" w:line="264" w:lineRule="auto"/>
      </w:pPr>
      <w:r>
        <w:rPr>
          <w:rFonts w:ascii="Calibri" w:hAnsi="Calibri"/>
          <w:b w:val="0"/>
          <w:i w:val="0"/>
          <w:color w:val="111111"/>
          <w:sz w:val="22"/>
        </w:rPr>
        <w:t xml:space="preserve">For workflows with verifiable intermediate states, final outcome remains decisive but should be supplemented by task-activated diagnostics. This combines the realistic task-validation discipline in </w:t>
      </w:r>
      <w:hyperlink r:id="rId26">
        <w:r>
          <w:rPr>
            <w:rFonts w:ascii="Calibri" w:hAnsi="Calibri"/>
            <w:color w:val="2E74B5"/>
            <w:u w:val="single"/>
            <w:sz w:val="22"/>
            <w:szCs w:val="22"/>
          </w:rPr>
          <w:t>Workflow-GYM</w:t>
        </w:r>
      </w:hyperlink>
      <w:r>
        <w:rPr>
          <w:rFonts w:ascii="Calibri" w:hAnsi="Calibri"/>
          <w:b w:val="0"/>
          <w:i w:val="0"/>
          <w:color w:val="111111"/>
          <w:sz w:val="22"/>
        </w:rPr>
        <w:t xml:space="preserve">, the process-loop measures in </w:t>
      </w:r>
      <w:hyperlink r:id="rId27">
        <w:r>
          <w:rPr>
            <w:rFonts w:ascii="Calibri" w:hAnsi="Calibri"/>
            <w:color w:val="2E74B5"/>
            <w:u w:val="single"/>
            <w:sz w:val="22"/>
            <w:szCs w:val="22"/>
          </w:rPr>
          <w:t>Beyond Final Scores</w:t>
        </w:r>
      </w:hyperlink>
      <w:r>
        <w:rPr>
          <w:rFonts w:ascii="Calibri" w:hAnsi="Calibri"/>
          <w:b w:val="0"/>
          <w:i w:val="0"/>
          <w:color w:val="111111"/>
          <w:sz w:val="22"/>
        </w:rPr>
        <w:t xml:space="preserve">, and the model-plus-scaffold view in </w:t>
      </w:r>
      <w:hyperlink r:id="rId28">
        <w:r>
          <w:rPr>
            <w:rFonts w:ascii="Calibri" w:hAnsi="Calibri"/>
            <w:color w:val="2E74B5"/>
            <w:u w:val="single"/>
            <w:sz w:val="22"/>
            <w:szCs w:val="22"/>
          </w:rPr>
          <w:t>Agent Evaluation: A Detailed Guide</w:t>
        </w:r>
      </w:hyperlink>
      <w:r>
        <w:rPr>
          <w:rFonts w:ascii="Calibri" w:hAnsi="Calibri"/>
          <w:b w:val="0"/>
          <w:i w:val="0"/>
          <w:color w:val="111111"/>
          <w:sz w:val="22"/>
        </w:rPr>
        <w:t>. These are diagnostic modules—not a universal scalar score or a reason to reward busy work.</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980"/>
        <w:gridCol w:w="4950"/>
        <w:gridCol w:w="2430"/>
      </w:tblGrid>
      <w:tr>
        <w:trPr>
          <w:tblHeader w:val="true"/>
          <w:cantSplit/>
        </w:trPr>
        <w:tc>
          <w:tcPr>
            <w:tcW w:type="dxa" w:w="198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Module</w:t>
            </w:r>
          </w:p>
        </w:tc>
        <w:tc>
          <w:tcPr>
            <w:tcW w:type="dxa" w:w="49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Protocol and signals</w:t>
            </w:r>
          </w:p>
        </w:tc>
        <w:tc>
          <w:tcPr>
            <w:tcW w:type="dxa" w:w="243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Decision use</w:t>
            </w:r>
          </w:p>
        </w:tc>
      </w:tr>
      <w:tr>
        <w:trPr>
          <w:cantSplit/>
        </w:trPr>
        <w:tc>
          <w:tcPr>
            <w:tcW w:type="dxa" w:w="1980"/>
            <w:tcMar>
              <w:top w:w="80" w:type="dxa"/>
              <w:start w:w="120" w:type="dxa"/>
              <w:bottom w:w="80" w:type="dxa"/>
              <w:end w:w="120" w:type="dxa"/>
            </w:tcMar>
            <w:vAlign w:val="center"/>
          </w:tcPr>
          <w:p>
            <w:pPr>
              <w:spacing w:after="0" w:line="257" w:lineRule="auto"/>
            </w:pPr>
            <w:r>
              <w:rPr>
                <w:rFonts w:ascii="Calibri" w:hAnsi="Calibri"/>
                <w:b w:val="0"/>
                <w:i w:val="0"/>
                <w:color w:val="111111"/>
                <w:sz w:val="15"/>
              </w:rPr>
              <w:t>Process loop: framing, execution, feedback control</w:t>
            </w:r>
          </w:p>
        </w:tc>
        <w:tc>
          <w:tcPr>
            <w:tcW w:type="dxa" w:w="4950"/>
            <w:tcMar>
              <w:top w:w="80" w:type="dxa"/>
              <w:start w:w="120" w:type="dxa"/>
              <w:bottom w:w="80" w:type="dxa"/>
              <w:end w:w="120" w:type="dxa"/>
            </w:tcMar>
            <w:vAlign w:val="center"/>
          </w:tcPr>
          <w:p>
            <w:pPr>
              <w:spacing w:after="0" w:line="257" w:lineRule="auto"/>
            </w:pPr>
            <w:r>
              <w:rPr>
                <w:rFonts w:ascii="Calibri" w:hAnsi="Calibri"/>
                <w:b w:val="0"/>
                <w:i w:val="0"/>
                <w:color w:val="111111"/>
                <w:sz w:val="15"/>
              </w:rPr>
              <w:t>Define verified milestones and a stage-dependency graph. Measure time/iterations to the first viable or best-confirmed approach; valid milestone execution and stage omissions; then retention of the best verified state, regression depth/rate, and confirmed recovery after failures.</w:t>
            </w:r>
          </w:p>
        </w:tc>
        <w:tc>
          <w:tcPr>
            <w:tcW w:type="dxa" w:w="2430"/>
            <w:tcMar>
              <w:top w:w="80" w:type="dxa"/>
              <w:start w:w="120" w:type="dxa"/>
              <w:bottom w:w="80" w:type="dxa"/>
              <w:end w:w="120" w:type="dxa"/>
            </w:tcMar>
            <w:vAlign w:val="center"/>
          </w:tcPr>
          <w:p>
            <w:pPr>
              <w:spacing w:after="0" w:line="257" w:lineRule="auto"/>
            </w:pPr>
            <w:r>
              <w:rPr>
                <w:rFonts w:ascii="Calibri" w:hAnsi="Calibri"/>
                <w:b w:val="0"/>
                <w:i w:val="0"/>
                <w:color w:val="111111"/>
                <w:sz w:val="15"/>
              </w:rPr>
              <w:t>Diagnose objective drift, error propagation, and fragile recovery. Enable only where intermediate state can be verified; retain final success, safety, and deadline gates.</w:t>
            </w:r>
          </w:p>
        </w:tc>
      </w:tr>
      <w:tr>
        <w:trPr>
          <w:cantSplit/>
        </w:trPr>
        <w:tc>
          <w:tcPr>
            <w:tcW w:type="dxa" w:w="1980"/>
            <w:tcMar>
              <w:top w:w="80" w:type="dxa"/>
              <w:start w:w="120" w:type="dxa"/>
              <w:bottom w:w="80" w:type="dxa"/>
              <w:end w:w="120" w:type="dxa"/>
            </w:tcMar>
            <w:vAlign w:val="center"/>
          </w:tcPr>
          <w:p>
            <w:pPr>
              <w:spacing w:after="0" w:line="257" w:lineRule="auto"/>
            </w:pPr>
            <w:r>
              <w:rPr>
                <w:rFonts w:ascii="Calibri" w:hAnsi="Calibri"/>
                <w:b w:val="0"/>
                <w:i w:val="0"/>
                <w:color w:val="111111"/>
                <w:sz w:val="15"/>
              </w:rPr>
              <w:t>Experience-reuse counterfactuals</w:t>
            </w:r>
          </w:p>
        </w:tc>
        <w:tc>
          <w:tcPr>
            <w:tcW w:type="dxa" w:w="4950"/>
            <w:tcMar>
              <w:top w:w="80" w:type="dxa"/>
              <w:start w:w="120" w:type="dxa"/>
              <w:bottom w:w="80" w:type="dxa"/>
              <w:end w:w="120" w:type="dxa"/>
            </w:tcMar>
            <w:vAlign w:val="center"/>
          </w:tcPr>
          <w:p>
            <w:pPr>
              <w:spacing w:after="0" w:line="257" w:lineRule="auto"/>
            </w:pPr>
            <w:r>
              <w:rPr>
                <w:rFonts w:ascii="Calibri" w:hAnsi="Calibri"/>
                <w:b w:val="0"/>
                <w:i w:val="0"/>
                <w:color w:val="111111"/>
                <w:sz w:val="15"/>
              </w:rPr>
              <w:t>Within-task: branch a fixed state and compare accumulated context/notes/memory with a clean-context arm while preserving artifacts, runner, and environment. Across-task: compare a bounded, relevant lesson package with no prior experience; prevent raw-answer or artifact leakage. Record uplift and negative transfer.</w:t>
            </w:r>
          </w:p>
        </w:tc>
        <w:tc>
          <w:tcPr>
            <w:tcW w:type="dxa" w:w="2430"/>
            <w:tcMar>
              <w:top w:w="80" w:type="dxa"/>
              <w:start w:w="120" w:type="dxa"/>
              <w:bottom w:w="80" w:type="dxa"/>
              <w:end w:w="120" w:type="dxa"/>
            </w:tcMar>
            <w:vAlign w:val="center"/>
          </w:tcPr>
          <w:p>
            <w:pPr>
              <w:spacing w:after="0" w:line="257" w:lineRule="auto"/>
            </w:pPr>
            <w:r>
              <w:rPr>
                <w:rFonts w:ascii="Calibri" w:hAnsi="Calibri"/>
                <w:b w:val="0"/>
                <w:i w:val="0"/>
                <w:color w:val="111111"/>
                <w:sz w:val="15"/>
              </w:rPr>
              <w:t>Promote memory or lessons only when they improve paired outcomes without unacceptable cost, latency, safety, or contamination risk.</w:t>
            </w:r>
          </w:p>
        </w:tc>
      </w:tr>
      <w:tr>
        <w:trPr>
          <w:cantSplit/>
        </w:trPr>
        <w:tc>
          <w:tcPr>
            <w:tcW w:type="dxa" w:w="1980"/>
            <w:tcMar>
              <w:top w:w="80" w:type="dxa"/>
              <w:start w:w="120" w:type="dxa"/>
              <w:bottom w:w="80" w:type="dxa"/>
              <w:end w:w="120" w:type="dxa"/>
            </w:tcMar>
            <w:vAlign w:val="center"/>
          </w:tcPr>
          <w:p>
            <w:pPr>
              <w:spacing w:after="0" w:line="257" w:lineRule="auto"/>
            </w:pPr>
            <w:r>
              <w:rPr>
                <w:rFonts w:ascii="Calibri" w:hAnsi="Calibri"/>
                <w:b w:val="0"/>
                <w:i w:val="0"/>
                <w:color w:val="111111"/>
                <w:sz w:val="15"/>
              </w:rPr>
              <w:t>Harness and context sensitivity</w:t>
            </w:r>
          </w:p>
        </w:tc>
        <w:tc>
          <w:tcPr>
            <w:tcW w:type="dxa" w:w="4950"/>
            <w:tcMar>
              <w:top w:w="80" w:type="dxa"/>
              <w:start w:w="120" w:type="dxa"/>
              <w:bottom w:w="80" w:type="dxa"/>
              <w:end w:w="120" w:type="dxa"/>
            </w:tcMar>
            <w:vAlign w:val="center"/>
          </w:tcPr>
          <w:p>
            <w:pPr>
              <w:spacing w:after="0" w:line="257" w:lineRule="auto"/>
            </w:pPr>
            <w:r>
              <w:rPr>
                <w:rFonts w:ascii="Calibri" w:hAnsi="Calibri"/>
                <w:b w:val="0"/>
                <w:i w:val="0"/>
                <w:color w:val="111111"/>
                <w:sz w:val="15"/>
              </w:rPr>
              <w:t>Treat tool schemas/descriptions, context retrieval and compaction, stable-prefix policy, checkpoint policy, and agent scaffold as versioned factors. Hold the model and task fixed; run targeted ablations and paired comparisons. Separate canonical-harness results from native-agent results.</w:t>
            </w:r>
          </w:p>
        </w:tc>
        <w:tc>
          <w:tcPr>
            <w:tcW w:type="dxa" w:w="2430"/>
            <w:tcMar>
              <w:top w:w="80" w:type="dxa"/>
              <w:start w:w="120" w:type="dxa"/>
              <w:bottom w:w="80" w:type="dxa"/>
              <w:end w:w="120" w:type="dxa"/>
            </w:tcMar>
            <w:vAlign w:val="center"/>
          </w:tcPr>
          <w:p>
            <w:pPr>
              <w:spacing w:after="0" w:line="257" w:lineRule="auto"/>
            </w:pPr>
            <w:r>
              <w:rPr>
                <w:rFonts w:ascii="Calibri" w:hAnsi="Calibri"/>
                <w:b w:val="0"/>
                <w:i w:val="0"/>
                <w:color w:val="111111"/>
                <w:sz w:val="15"/>
              </w:rPr>
              <w:t>Report the deployable unit as model + workflow/scaffold + provider, and attribute gains to the relevant layer rather than declaring a universal “best model.”</w:t>
            </w:r>
          </w:p>
        </w:tc>
      </w:tr>
      <w:tr>
        <w:trPr>
          <w:cantSplit/>
        </w:trPr>
        <w:tc>
          <w:tcPr>
            <w:tcW w:type="dxa" w:w="1980"/>
            <w:tcMar>
              <w:top w:w="80" w:type="dxa"/>
              <w:start w:w="120" w:type="dxa"/>
              <w:bottom w:w="80" w:type="dxa"/>
              <w:end w:w="120" w:type="dxa"/>
            </w:tcMar>
            <w:vAlign w:val="center"/>
          </w:tcPr>
          <w:p>
            <w:pPr>
              <w:spacing w:after="0" w:line="257" w:lineRule="auto"/>
            </w:pPr>
            <w:r>
              <w:rPr>
                <w:rFonts w:ascii="Calibri" w:hAnsi="Calibri"/>
                <w:b w:val="0"/>
                <w:i w:val="0"/>
                <w:color w:val="111111"/>
                <w:sz w:val="15"/>
              </w:rPr>
              <w:t>Task realism and closure</w:t>
            </w:r>
          </w:p>
        </w:tc>
        <w:tc>
          <w:tcPr>
            <w:tcW w:type="dxa" w:w="4950"/>
            <w:tcMar>
              <w:top w:w="80" w:type="dxa"/>
              <w:start w:w="120" w:type="dxa"/>
              <w:bottom w:w="80" w:type="dxa"/>
              <w:end w:w="120" w:type="dxa"/>
            </w:tcMar>
            <w:vAlign w:val="center"/>
          </w:tcPr>
          <w:p>
            <w:pPr>
              <w:spacing w:after="0" w:line="257" w:lineRule="auto"/>
            </w:pPr>
            <w:r>
              <w:rPr>
                <w:rFonts w:ascii="Calibri" w:hAnsi="Calibri"/>
                <w:b w:val="0"/>
                <w:i w:val="0"/>
                <w:color w:val="111111"/>
                <w:sz w:val="15"/>
              </w:rPr>
              <w:t>Require SME execution in the frozen environment, independent instruction review, and pilot-agent trajectory review before admission. Preserve expected outcomes, permitted actions, environment image, dependency graph, and task-change log.</w:t>
            </w:r>
          </w:p>
        </w:tc>
        <w:tc>
          <w:tcPr>
            <w:tcW w:type="dxa" w:w="2430"/>
            <w:tcMar>
              <w:top w:w="80" w:type="dxa"/>
              <w:start w:w="120" w:type="dxa"/>
              <w:bottom w:w="80" w:type="dxa"/>
              <w:end w:w="120" w:type="dxa"/>
            </w:tcMar>
            <w:vAlign w:val="center"/>
          </w:tcPr>
          <w:p>
            <w:pPr>
              <w:spacing w:after="0" w:line="257" w:lineRule="auto"/>
            </w:pPr>
            <w:r>
              <w:rPr>
                <w:rFonts w:ascii="Calibri" w:hAnsi="Calibri"/>
                <w:b w:val="0"/>
                <w:i w:val="0"/>
                <w:color w:val="111111"/>
                <w:sz w:val="15"/>
              </w:rPr>
              <w:t>Reject or quarantine ambiguous, unsolvable, leaky, or environment-broken cases; prevents the optimizer from learning benchmark artifacts.</w:t>
            </w:r>
          </w:p>
        </w:tc>
      </w:tr>
    </w:tbl>
    <w:p>
      <w:pPr>
        <w:spacing w:after="40"/>
      </w:pPr>
    </w:p>
    <w:p>
      <w:pPr>
        <w:pStyle w:val="Heading1"/>
        <w:keepNext/>
      </w:pPr>
      <w:r>
        <w:rPr>
          <w:rFonts w:ascii="Calibri" w:hAnsi="Calibri"/>
          <w:b/>
          <w:i w:val="0"/>
          <w:color w:val="2E74B5"/>
          <w:sz w:val="32"/>
        </w:rPr>
        <w:t>5. Architecture: from local reports to a portable control plane</w:t>
      </w:r>
    </w:p>
    <w:tbl>
      <w:tblPr>
        <w:tblW w:type="dxa" w:w="9360"/>
        <w:jc w:val="left"/>
        <w:tblLayout w:type="fixed"/>
        <w:tblLook w:firstColumn="1" w:firstRow="1" w:lastColumn="0" w:lastRow="0" w:noHBand="0" w:noVBand="1" w:val="04A0"/>
        <w:tblInd w:w="120" w:type="dxa"/>
        <w:tblBorders>
          <w:top w:val="single" w:sz="0" w:space="0" w:color="EEF3F8"/>
          <w:left w:val="single" w:sz="0" w:space="0" w:color="EEF3F8"/>
          <w:bottom w:val="single" w:sz="0" w:space="0" w:color="EEF3F8"/>
          <w:right w:val="single" w:sz="0" w:space="0" w:color="EEF3F8"/>
          <w:insideH w:val="single" w:sz="0" w:space="0" w:color="EEF3F8"/>
          <w:insideV w:val="single" w:sz="0" w:space="0" w:color="EEF3F8"/>
        </w:tblBorders>
      </w:tblPr>
      <w:tblGrid>
        <w:gridCol w:w="9360"/>
      </w:tblGrid>
      <w:tr>
        <w:trPr>
          <w:cantSplit/>
        </w:trPr>
        <w:tc>
          <w:tcPr>
            <w:tcW w:type="dxa" w:w="9360"/>
            <w:tcMar>
              <w:top w:w="80" w:type="dxa"/>
              <w:start w:w="120" w:type="dxa"/>
              <w:bottom w:w="80" w:type="dxa"/>
              <w:end w:w="120" w:type="dxa"/>
            </w:tcMar>
            <w:vAlign w:val="center"/>
            <w:shd w:fill="EEF3F8"/>
          </w:tcPr>
          <w:p>
            <w:pPr>
              <w:spacing w:after="0" w:line="269" w:lineRule="auto"/>
            </w:pPr>
            <w:r>
              <w:rPr>
                <w:rFonts w:ascii="Calibri" w:hAnsi="Calibri"/>
                <w:b/>
                <w:i w:val="0"/>
                <w:color w:val="1F4D78"/>
                <w:sz w:val="19"/>
              </w:rPr>
              <w:t xml:space="preserve">CHANGE FROM TODAY  </w:t>
            </w:r>
            <w:r>
              <w:rPr>
                <w:rFonts w:ascii="Calibri" w:hAnsi="Calibri"/>
                <w:b w:val="0"/>
                <w:i w:val="0"/>
                <w:color w:val="111111"/>
                <w:sz w:val="21"/>
              </w:rPr>
              <w:t>Today: Agentic Builder evaluation runs locally and produces workflow-specific reports.  Change: Insert a compatibility adapter that dual-writes canonical evidence, then add approved specification, experiment, optimization, and client-execution layers around it.  Proof: Current Agentic Builder outputs reconcile exactly during shadow operation, while the same canonical contracts support a second runner and an external-client pilot.</w:t>
            </w:r>
          </w:p>
        </w:tc>
      </w:tr>
    </w:tbl>
    <w:p>
      <w:pPr>
        <w:spacing w:after="60"/>
      </w:pPr>
    </w:p>
    <w:p>
      <w:pPr>
        <w:keepNext w:val="0"/>
        <w:spacing w:before="0" w:after="120" w:line="264" w:lineRule="auto"/>
      </w:pPr>
      <w:r>
        <w:rPr>
          <w:rFonts w:ascii="Calibri" w:hAnsi="Calibri"/>
          <w:b w:val="0"/>
          <w:i w:val="0"/>
          <w:color w:val="111111"/>
          <w:sz w:val="22"/>
        </w:rPr>
        <w:t xml:space="preserve">The architecture evolves around—not away from—the current evaluator. A compatibility adapter first translates existing Agentic Builder checks, coverage, fidelity, and outcome records into canonical events. The generalized control plane then separates task/evaluation design from agent runtimes and inference deployments. An AI-assisted design studio helps users draft evaluation and workflow specifications, but only approved, versioned artifacts enter the scenario registry. </w:t>
      </w:r>
      <w:hyperlink r:id="rId15">
        <w:r>
          <w:rPr>
            <w:rFonts w:ascii="Calibri" w:hAnsi="Calibri"/>
            <w:color w:val="2E74B5"/>
            <w:u w:val="single"/>
            <w:sz w:val="22"/>
            <w:szCs w:val="22"/>
          </w:rPr>
          <w:t>OpenTelemetry</w:t>
        </w:r>
      </w:hyperlink>
      <w:r>
        <w:rPr>
          <w:rFonts w:ascii="Calibri" w:hAnsi="Calibri"/>
          <w:b w:val="0"/>
          <w:i w:val="0"/>
          <w:color w:val="111111"/>
          <w:sz w:val="22"/>
        </w:rPr>
        <w:t xml:space="preserve"> semantic conventions provide a portable base for spans, metrics, logs, and events; </w:t>
      </w:r>
      <w:hyperlink r:id="rId29">
        <w:r>
          <w:rPr>
            <w:rFonts w:ascii="Calibri" w:hAnsi="Calibri"/>
            <w:color w:val="2E74B5"/>
            <w:u w:val="single"/>
            <w:sz w:val="22"/>
            <w:szCs w:val="22"/>
          </w:rPr>
          <w:t>OpenInference</w:t>
        </w:r>
      </w:hyperlink>
      <w:r>
        <w:rPr>
          <w:rFonts w:ascii="Calibri" w:hAnsi="Calibri"/>
          <w:b w:val="0"/>
          <w:i w:val="0"/>
          <w:color w:val="111111"/>
          <w:sz w:val="22"/>
        </w:rPr>
        <w:t xml:space="preserve"> adds AI-specific trace structure. </w:t>
      </w:r>
      <w:hyperlink r:id="rId30">
        <w:r>
          <w:rPr>
            <w:rFonts w:ascii="Calibri" w:hAnsi="Calibri"/>
            <w:color w:val="2E74B5"/>
            <w:u w:val="single"/>
            <w:sz w:val="22"/>
            <w:szCs w:val="22"/>
          </w:rPr>
          <w:t>Phoenix</w:t>
        </w:r>
      </w:hyperlink>
      <w:r>
        <w:rPr>
          <w:rFonts w:ascii="Calibri" w:hAnsi="Calibri"/>
          <w:b w:val="0"/>
          <w:i w:val="0"/>
          <w:color w:val="111111"/>
          <w:sz w:val="22"/>
        </w:rPr>
        <w:t xml:space="preserve"> accepts OTLP/</w:t>
      </w:r>
      <w:hyperlink r:id="rId29">
        <w:r>
          <w:rPr>
            <w:rFonts w:ascii="Calibri" w:hAnsi="Calibri"/>
            <w:color w:val="2E74B5"/>
            <w:u w:val="single"/>
            <w:sz w:val="22"/>
            <w:szCs w:val="22"/>
          </w:rPr>
          <w:t>OpenInference</w:t>
        </w:r>
      </w:hyperlink>
      <w:r>
        <w:rPr>
          <w:rFonts w:ascii="Calibri" w:hAnsi="Calibri"/>
          <w:b w:val="0"/>
          <w:i w:val="0"/>
          <w:color w:val="111111"/>
          <w:sz w:val="22"/>
        </w:rPr>
        <w:t xml:space="preserve"> traces and supports datasets, experiments, and evaluators, while </w:t>
      </w:r>
      <w:hyperlink r:id="rId31">
        <w:r>
          <w:rPr>
            <w:rFonts w:ascii="Calibri" w:hAnsi="Calibri"/>
            <w:color w:val="2E74B5"/>
            <w:u w:val="single"/>
            <w:sz w:val="22"/>
            <w:szCs w:val="22"/>
          </w:rPr>
          <w:t>Langfuse</w:t>
        </w:r>
      </w:hyperlink>
      <w:r>
        <w:rPr>
          <w:rFonts w:ascii="Calibri" w:hAnsi="Calibri"/>
          <w:b w:val="0"/>
          <w:i w:val="0"/>
          <w:color w:val="111111"/>
          <w:sz w:val="22"/>
        </w:rPr>
        <w:t xml:space="preserve"> offers an open, self-hostable alternative spanning tracing, prompts, datasets, and evaluation.</w:t>
      </w:r>
    </w:p>
    <w:p>
      <w:pPr>
        <w:spacing w:before="60" w:after="40"/>
        <w:jc w:val="center"/>
      </w:pPr>
      <w:r>
        <w:drawing>
          <wp:inline xmlns:a="http://schemas.openxmlformats.org/drawingml/2006/main" xmlns:pic="http://schemas.openxmlformats.org/drawingml/2006/picture">
            <wp:extent cx="5925312" cy="3407054"/>
            <wp:docPr id="1" name="Picture 1"/>
            <wp:cNvGraphicFramePr>
              <a:graphicFrameLocks noChangeAspect="1"/>
            </wp:cNvGraphicFramePr>
            <a:graphic>
              <a:graphicData uri="http://schemas.openxmlformats.org/drawingml/2006/picture">
                <pic:pic>
                  <pic:nvPicPr>
                    <pic:cNvPr id="0" name="reference_architecture_diagram.png"/>
                    <pic:cNvPicPr/>
                  </pic:nvPicPr>
                  <pic:blipFill>
                    <a:blip r:embed="rId32"/>
                    <a:stretch>
                      <a:fillRect/>
                    </a:stretch>
                  </pic:blipFill>
                  <pic:spPr>
                    <a:xfrm>
                      <a:off x="0" y="0"/>
                      <a:ext cx="5925312" cy="3407054"/>
                    </a:xfrm>
                    <a:prstGeom prst="rect"/>
                  </pic:spPr>
                </pic:pic>
              </a:graphicData>
            </a:graphic>
          </wp:inline>
        </w:drawing>
      </w:r>
    </w:p>
    <w:p>
      <w:pPr>
        <w:keepNext w:val="0"/>
        <w:spacing w:before="0" w:after="160" w:line="264" w:lineRule="auto"/>
        <w:jc w:val="center"/>
      </w:pPr>
      <w:r>
        <w:rPr>
          <w:rFonts w:ascii="Calibri" w:hAnsi="Calibri"/>
          <w:b w:val="0"/>
          <w:i/>
          <w:color w:val="5B6573"/>
          <w:sz w:val="17"/>
        </w:rPr>
        <w:t>Figure 1. Today’s Agentic Builder evaluator enters through a parity-tested compatibility adapter. Approved canonical bundles can then run locally or in a client-hosted execution/data plane; raw workflow data, credentials, artifacts, and detailed traces remain client-side, and only an allowlisted result envelope returns.</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450"/>
        <w:gridCol w:w="4230"/>
        <w:gridCol w:w="3680"/>
      </w:tblGrid>
      <w:tr>
        <w:trPr>
          <w:tblHeader w:val="true"/>
          <w:cantSplit/>
        </w:trPr>
        <w:tc>
          <w:tcPr>
            <w:tcW w:type="dxa" w:w="14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Layer</w:t>
            </w:r>
          </w:p>
        </w:tc>
        <w:tc>
          <w:tcPr>
            <w:tcW w:type="dxa" w:w="423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Responsibilities</w:t>
            </w:r>
          </w:p>
        </w:tc>
        <w:tc>
          <w:tcPr>
            <w:tcW w:type="dxa" w:w="368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Model/provider neutrality mechanism</w:t>
            </w:r>
          </w:p>
        </w:tc>
      </w:tr>
      <w:tr>
        <w:trPr>
          <w:cantSplit/>
        </w:trPr>
        <w:tc>
          <w:tcPr>
            <w:tcW w:type="dxa" w:w="1450"/>
            <w:tcMar>
              <w:top w:w="80" w:type="dxa"/>
              <w:start w:w="120" w:type="dxa"/>
              <w:bottom w:w="80" w:type="dxa"/>
              <w:end w:w="120" w:type="dxa"/>
            </w:tcMar>
            <w:vAlign w:val="center"/>
          </w:tcPr>
          <w:p>
            <w:pPr>
              <w:spacing w:after="0" w:line="257" w:lineRule="auto"/>
            </w:pPr>
            <w:r>
              <w:rPr>
                <w:rFonts w:ascii="Calibri" w:hAnsi="Calibri"/>
                <w:b w:val="0"/>
                <w:i w:val="0"/>
                <w:color w:val="111111"/>
                <w:sz w:val="17"/>
              </w:rPr>
              <w:t>0. Current Agentic Builder baseline</w:t>
            </w:r>
          </w:p>
        </w:tc>
        <w:tc>
          <w:tcPr>
            <w:tcW w:type="dxa" w:w="4230"/>
            <w:tcMar>
              <w:top w:w="80" w:type="dxa"/>
              <w:start w:w="120" w:type="dxa"/>
              <w:bottom w:w="80" w:type="dxa"/>
              <w:end w:w="120" w:type="dxa"/>
            </w:tcMar>
            <w:vAlign w:val="center"/>
          </w:tcPr>
          <w:p>
            <w:pPr>
              <w:spacing w:after="0" w:line="257" w:lineRule="auto"/>
            </w:pPr>
            <w:r>
              <w:rPr>
                <w:rFonts w:ascii="Calibri" w:hAnsi="Calibri"/>
                <w:b w:val="0"/>
                <w:i w:val="0"/>
                <w:color w:val="111111"/>
                <w:sz w:val="17"/>
              </w:rPr>
              <w:t>Existing file checks, severity classes, execution coverage, fidelity results, local reports, and operational outcome records.</w:t>
            </w:r>
          </w:p>
        </w:tc>
        <w:tc>
          <w:tcPr>
            <w:tcW w:type="dxa" w:w="3680"/>
            <w:tcMar>
              <w:top w:w="80" w:type="dxa"/>
              <w:start w:w="120" w:type="dxa"/>
              <w:bottom w:w="80" w:type="dxa"/>
              <w:end w:w="120" w:type="dxa"/>
            </w:tcMar>
            <w:vAlign w:val="center"/>
          </w:tcPr>
          <w:p>
            <w:pPr>
              <w:spacing w:after="0" w:line="257" w:lineRule="auto"/>
            </w:pPr>
            <w:r>
              <w:rPr>
                <w:rFonts w:ascii="Calibri" w:hAnsi="Calibri"/>
                <w:b w:val="0"/>
                <w:i w:val="0"/>
                <w:color w:val="111111"/>
                <w:sz w:val="17"/>
              </w:rPr>
              <w:t>Remains the source of truth until parity is signed off.</w:t>
            </w:r>
          </w:p>
        </w:tc>
      </w:tr>
      <w:tr>
        <w:trPr>
          <w:cantSplit/>
        </w:trPr>
        <w:tc>
          <w:tcPr>
            <w:tcW w:type="dxa" w:w="1450"/>
            <w:tcMar>
              <w:top w:w="80" w:type="dxa"/>
              <w:start w:w="120" w:type="dxa"/>
              <w:bottom w:w="80" w:type="dxa"/>
              <w:end w:w="120" w:type="dxa"/>
            </w:tcMar>
            <w:vAlign w:val="center"/>
          </w:tcPr>
          <w:p>
            <w:pPr>
              <w:spacing w:after="0" w:line="257" w:lineRule="auto"/>
            </w:pPr>
            <w:r>
              <w:rPr>
                <w:rFonts w:ascii="Calibri" w:hAnsi="Calibri"/>
                <w:b w:val="0"/>
                <w:i w:val="0"/>
                <w:color w:val="111111"/>
                <w:sz w:val="17"/>
              </w:rPr>
              <w:t>1. Compatibility adapter</w:t>
            </w:r>
          </w:p>
        </w:tc>
        <w:tc>
          <w:tcPr>
            <w:tcW w:type="dxa" w:w="4230"/>
            <w:tcMar>
              <w:top w:w="80" w:type="dxa"/>
              <w:start w:w="120" w:type="dxa"/>
              <w:bottom w:w="80" w:type="dxa"/>
              <w:end w:w="120" w:type="dxa"/>
            </w:tcMar>
            <w:vAlign w:val="center"/>
          </w:tcPr>
          <w:p>
            <w:pPr>
              <w:spacing w:after="0" w:line="257" w:lineRule="auto"/>
            </w:pPr>
            <w:r>
              <w:rPr>
                <w:rFonts w:ascii="Calibri" w:hAnsi="Calibri"/>
                <w:b w:val="0"/>
                <w:i w:val="0"/>
                <w:color w:val="111111"/>
                <w:sz w:val="17"/>
              </w:rPr>
              <w:t>Maps current checks and reports into canonical score states, evidence references, manifests, and events; supports dual-write.</w:t>
            </w:r>
          </w:p>
        </w:tc>
        <w:tc>
          <w:tcPr>
            <w:tcW w:type="dxa" w:w="3680"/>
            <w:tcMar>
              <w:top w:w="80" w:type="dxa"/>
              <w:start w:w="120" w:type="dxa"/>
              <w:bottom w:w="80" w:type="dxa"/>
              <w:end w:w="120" w:type="dxa"/>
            </w:tcMar>
            <w:vAlign w:val="center"/>
          </w:tcPr>
          <w:p>
            <w:pPr>
              <w:spacing w:after="0" w:line="257" w:lineRule="auto"/>
            </w:pPr>
            <w:r>
              <w:rPr>
                <w:rFonts w:ascii="Calibri" w:hAnsi="Calibri"/>
                <w:b w:val="0"/>
                <w:i w:val="0"/>
                <w:color w:val="111111"/>
                <w:sz w:val="17"/>
              </w:rPr>
              <w:t>Translation contract and golden-fixture reconciliation isolate legacy details.</w:t>
            </w:r>
          </w:p>
        </w:tc>
      </w:tr>
      <w:tr>
        <w:trPr>
          <w:cantSplit/>
        </w:trPr>
        <w:tc>
          <w:tcPr>
            <w:tcW w:type="dxa" w:w="1450"/>
            <w:tcMar>
              <w:top w:w="80" w:type="dxa"/>
              <w:start w:w="120" w:type="dxa"/>
              <w:bottom w:w="80" w:type="dxa"/>
              <w:end w:w="120" w:type="dxa"/>
            </w:tcMar>
            <w:vAlign w:val="center"/>
          </w:tcPr>
          <w:p>
            <w:pPr>
              <w:spacing w:after="0" w:line="257" w:lineRule="auto"/>
            </w:pPr>
            <w:r>
              <w:rPr>
                <w:rFonts w:ascii="Calibri" w:hAnsi="Calibri"/>
                <w:b w:val="0"/>
                <w:i w:val="0"/>
                <w:color w:val="111111"/>
                <w:sz w:val="17"/>
              </w:rPr>
              <w:t>2. AI design studio + registry</w:t>
            </w:r>
          </w:p>
        </w:tc>
        <w:tc>
          <w:tcPr>
            <w:tcW w:type="dxa" w:w="4230"/>
            <w:tcMar>
              <w:top w:w="80" w:type="dxa"/>
              <w:start w:w="120" w:type="dxa"/>
              <w:bottom w:w="80" w:type="dxa"/>
              <w:end w:w="120" w:type="dxa"/>
            </w:tcMar>
            <w:vAlign w:val="center"/>
          </w:tcPr>
          <w:p>
            <w:pPr>
              <w:spacing w:after="0" w:line="257" w:lineRule="auto"/>
            </w:pPr>
            <w:r>
              <w:rPr>
                <w:rFonts w:ascii="Calibri" w:hAnsi="Calibri"/>
                <w:b w:val="0"/>
                <w:i w:val="0"/>
                <w:color w:val="111111"/>
                <w:sz w:val="17"/>
              </w:rPr>
              <w:t>Guided drafts and approved versions for tasks, behaviors, failures, data, scorers, judge/workflow prompts, fixtures, and risk/latency classes.</w:t>
            </w:r>
          </w:p>
        </w:tc>
        <w:tc>
          <w:tcPr>
            <w:tcW w:type="dxa" w:w="3680"/>
            <w:tcMar>
              <w:top w:w="80" w:type="dxa"/>
              <w:start w:w="120" w:type="dxa"/>
              <w:bottom w:w="80" w:type="dxa"/>
              <w:end w:w="120" w:type="dxa"/>
            </w:tcMar>
            <w:vAlign w:val="center"/>
          </w:tcPr>
          <w:p>
            <w:pPr>
              <w:spacing w:after="0" w:line="257" w:lineRule="auto"/>
            </w:pPr>
            <w:r>
              <w:rPr>
                <w:rFonts w:ascii="Calibri" w:hAnsi="Calibri"/>
                <w:b w:val="0"/>
                <w:i w:val="0"/>
                <w:color w:val="111111"/>
                <w:sz w:val="17"/>
              </w:rPr>
              <w:t>Produces canonical artifacts only; approval and holdout boundaries are provider-independent.</w:t>
            </w:r>
          </w:p>
        </w:tc>
      </w:tr>
      <w:tr>
        <w:trPr>
          <w:cantSplit/>
        </w:trPr>
        <w:tc>
          <w:tcPr>
            <w:tcW w:type="dxa" w:w="1450"/>
            <w:tcMar>
              <w:top w:w="80" w:type="dxa"/>
              <w:start w:w="120" w:type="dxa"/>
              <w:bottom w:w="80" w:type="dxa"/>
              <w:end w:w="120" w:type="dxa"/>
            </w:tcMar>
            <w:vAlign w:val="center"/>
          </w:tcPr>
          <w:p>
            <w:pPr>
              <w:spacing w:after="0" w:line="257" w:lineRule="auto"/>
            </w:pPr>
            <w:r>
              <w:rPr>
                <w:rFonts w:ascii="Calibri" w:hAnsi="Calibri"/>
                <w:b w:val="0"/>
                <w:i w:val="0"/>
                <w:color w:val="111111"/>
                <w:sz w:val="17"/>
              </w:rPr>
              <w:t>3. Experiment controller</w:t>
            </w:r>
          </w:p>
        </w:tc>
        <w:tc>
          <w:tcPr>
            <w:tcW w:type="dxa" w:w="4230"/>
            <w:tcMar>
              <w:top w:w="80" w:type="dxa"/>
              <w:start w:w="120" w:type="dxa"/>
              <w:bottom w:w="80" w:type="dxa"/>
              <w:end w:w="120" w:type="dxa"/>
            </w:tcMar>
            <w:vAlign w:val="center"/>
          </w:tcPr>
          <w:p>
            <w:pPr>
              <w:spacing w:after="0" w:line="257" w:lineRule="auto"/>
            </w:pPr>
            <w:r>
              <w:rPr>
                <w:rFonts w:ascii="Calibri" w:hAnsi="Calibri"/>
                <w:b w:val="0"/>
                <w:i w:val="0"/>
                <w:color w:val="111111"/>
                <w:sz w:val="17"/>
              </w:rPr>
              <w:t>Expands search spaces, blocks/randomizes trials, schedules repetitions, early-stops weak candidates.</w:t>
            </w:r>
          </w:p>
        </w:tc>
        <w:tc>
          <w:tcPr>
            <w:tcW w:type="dxa" w:w="3680"/>
            <w:tcMar>
              <w:top w:w="80" w:type="dxa"/>
              <w:start w:w="120" w:type="dxa"/>
              <w:bottom w:w="80" w:type="dxa"/>
              <w:end w:w="120" w:type="dxa"/>
            </w:tcMar>
            <w:vAlign w:val="center"/>
          </w:tcPr>
          <w:p>
            <w:pPr>
              <w:spacing w:after="0" w:line="257" w:lineRule="auto"/>
            </w:pPr>
            <w:r>
              <w:rPr>
                <w:rFonts w:ascii="Calibri" w:hAnsi="Calibri"/>
                <w:b w:val="0"/>
                <w:i w:val="0"/>
                <w:color w:val="111111"/>
                <w:sz w:val="17"/>
              </w:rPr>
              <w:t>Works on logical WorkflowSpec and DeploymentMap records.</w:t>
            </w:r>
          </w:p>
        </w:tc>
      </w:tr>
      <w:tr>
        <w:trPr>
          <w:cantSplit/>
        </w:trPr>
        <w:tc>
          <w:tcPr>
            <w:tcW w:type="dxa" w:w="1450"/>
            <w:tcMar>
              <w:top w:w="80" w:type="dxa"/>
              <w:start w:w="120" w:type="dxa"/>
              <w:bottom w:w="80" w:type="dxa"/>
              <w:end w:w="120" w:type="dxa"/>
            </w:tcMar>
            <w:vAlign w:val="center"/>
          </w:tcPr>
          <w:p>
            <w:pPr>
              <w:spacing w:after="0" w:line="257" w:lineRule="auto"/>
            </w:pPr>
            <w:r>
              <w:rPr>
                <w:rFonts w:ascii="Calibri" w:hAnsi="Calibri"/>
                <w:b w:val="0"/>
                <w:i w:val="0"/>
                <w:color w:val="111111"/>
                <w:sz w:val="17"/>
              </w:rPr>
              <w:t>4. Runner / sandbox</w:t>
            </w:r>
          </w:p>
        </w:tc>
        <w:tc>
          <w:tcPr>
            <w:tcW w:type="dxa" w:w="4230"/>
            <w:tcMar>
              <w:top w:w="80" w:type="dxa"/>
              <w:start w:w="120" w:type="dxa"/>
              <w:bottom w:w="80" w:type="dxa"/>
              <w:end w:w="120" w:type="dxa"/>
            </w:tcMar>
            <w:vAlign w:val="center"/>
          </w:tcPr>
          <w:p>
            <w:pPr>
              <w:spacing w:after="0" w:line="257" w:lineRule="auto"/>
            </w:pPr>
            <w:r>
              <w:rPr>
                <w:rFonts w:ascii="Calibri" w:hAnsi="Calibri"/>
                <w:b w:val="0"/>
                <w:i w:val="0"/>
                <w:color w:val="111111"/>
                <w:sz w:val="17"/>
              </w:rPr>
              <w:t>Executes current or new agents, manages state, timeouts, scoped tools, fault injection, and replay.</w:t>
            </w:r>
          </w:p>
        </w:tc>
        <w:tc>
          <w:tcPr>
            <w:tcW w:type="dxa" w:w="3680"/>
            <w:tcMar>
              <w:top w:w="80" w:type="dxa"/>
              <w:start w:w="120" w:type="dxa"/>
              <w:bottom w:w="80" w:type="dxa"/>
              <w:end w:w="120" w:type="dxa"/>
            </w:tcMar>
            <w:vAlign w:val="center"/>
          </w:tcPr>
          <w:p>
            <w:pPr>
              <w:spacing w:after="0" w:line="257" w:lineRule="auto"/>
            </w:pPr>
            <w:r>
              <w:rPr>
                <w:rFonts w:ascii="Calibri" w:hAnsi="Calibri"/>
                <w:b w:val="0"/>
                <w:i w:val="0"/>
                <w:color w:val="111111"/>
                <w:sz w:val="17"/>
              </w:rPr>
              <w:t>Agentic Builder bridge plus command-line and HTTP adapters; containerized environments.</w:t>
            </w:r>
          </w:p>
        </w:tc>
      </w:tr>
      <w:tr>
        <w:trPr>
          <w:cantSplit/>
        </w:trPr>
        <w:tc>
          <w:tcPr>
            <w:tcW w:type="dxa" w:w="1450"/>
            <w:tcMar>
              <w:top w:w="80" w:type="dxa"/>
              <w:start w:w="120" w:type="dxa"/>
              <w:bottom w:w="80" w:type="dxa"/>
              <w:end w:w="120" w:type="dxa"/>
            </w:tcMar>
            <w:vAlign w:val="center"/>
          </w:tcPr>
          <w:p>
            <w:pPr>
              <w:spacing w:after="0" w:line="257" w:lineRule="auto"/>
            </w:pPr>
            <w:r>
              <w:rPr>
                <w:rFonts w:ascii="Calibri" w:hAnsi="Calibri"/>
                <w:b w:val="0"/>
                <w:i w:val="0"/>
                <w:color w:val="111111"/>
                <w:sz w:val="17"/>
              </w:rPr>
              <w:t>5. Capability adapter</w:t>
            </w:r>
          </w:p>
        </w:tc>
        <w:tc>
          <w:tcPr>
            <w:tcW w:type="dxa" w:w="4230"/>
            <w:tcMar>
              <w:top w:w="80" w:type="dxa"/>
              <w:start w:w="120" w:type="dxa"/>
              <w:bottom w:w="80" w:type="dxa"/>
              <w:end w:w="120" w:type="dxa"/>
            </w:tcMar>
            <w:vAlign w:val="center"/>
          </w:tcPr>
          <w:p>
            <w:pPr>
              <w:spacing w:after="0" w:line="257" w:lineRule="auto"/>
            </w:pPr>
            <w:r>
              <w:rPr>
                <w:rFonts w:ascii="Calibri" w:hAnsi="Calibri"/>
                <w:b w:val="0"/>
                <w:i w:val="0"/>
                <w:color w:val="111111"/>
                <w:sz w:val="17"/>
              </w:rPr>
              <w:t>Compiles canonical messages, tools, schemas, media, and controls into native provider requests.</w:t>
            </w:r>
          </w:p>
        </w:tc>
        <w:tc>
          <w:tcPr>
            <w:tcW w:type="dxa" w:w="3680"/>
            <w:tcMar>
              <w:top w:w="80" w:type="dxa"/>
              <w:start w:w="120" w:type="dxa"/>
              <w:bottom w:w="80" w:type="dxa"/>
              <w:end w:w="120" w:type="dxa"/>
            </w:tcMar>
            <w:vAlign w:val="center"/>
          </w:tcPr>
          <w:p>
            <w:pPr>
              <w:spacing w:after="0" w:line="257" w:lineRule="auto"/>
            </w:pPr>
            <w:r>
              <w:rPr>
                <w:rFonts w:ascii="Calibri" w:hAnsi="Calibri"/>
                <w:b w:val="0"/>
                <w:i w:val="0"/>
                <w:color w:val="111111"/>
                <w:sz w:val="17"/>
              </w:rPr>
              <w:t>Capability manifest + explicit unsupported/degraded flags.</w:t>
            </w:r>
          </w:p>
        </w:tc>
      </w:tr>
      <w:tr>
        <w:trPr>
          <w:cantSplit/>
        </w:trPr>
        <w:tc>
          <w:tcPr>
            <w:tcW w:type="dxa" w:w="1450"/>
            <w:tcMar>
              <w:top w:w="80" w:type="dxa"/>
              <w:start w:w="120" w:type="dxa"/>
              <w:bottom w:w="80" w:type="dxa"/>
              <w:end w:w="120" w:type="dxa"/>
            </w:tcMar>
            <w:vAlign w:val="center"/>
          </w:tcPr>
          <w:p>
            <w:pPr>
              <w:spacing w:after="0" w:line="257" w:lineRule="auto"/>
            </w:pPr>
            <w:r>
              <w:rPr>
                <w:rFonts w:ascii="Calibri" w:hAnsi="Calibri"/>
                <w:b w:val="0"/>
                <w:i w:val="0"/>
                <w:color w:val="111111"/>
                <w:sz w:val="17"/>
              </w:rPr>
              <w:t>6. Trace + scoring</w:t>
            </w:r>
          </w:p>
        </w:tc>
        <w:tc>
          <w:tcPr>
            <w:tcW w:type="dxa" w:w="4230"/>
            <w:tcMar>
              <w:top w:w="80" w:type="dxa"/>
              <w:start w:w="120" w:type="dxa"/>
              <w:bottom w:w="80" w:type="dxa"/>
              <w:end w:w="120" w:type="dxa"/>
            </w:tcMar>
            <w:vAlign w:val="center"/>
          </w:tcPr>
          <w:p>
            <w:pPr>
              <w:spacing w:after="0" w:line="257" w:lineRule="auto"/>
            </w:pPr>
            <w:r>
              <w:rPr>
                <w:rFonts w:ascii="Calibri" w:hAnsi="Calibri"/>
                <w:b w:val="0"/>
                <w:i w:val="0"/>
                <w:color w:val="111111"/>
                <w:sz w:val="17"/>
              </w:rPr>
              <w:t>Captures plan/model/tool/state/cache/cost/retry events and runs deterministic, trajectory, judge, and human scores.</w:t>
            </w:r>
          </w:p>
        </w:tc>
        <w:tc>
          <w:tcPr>
            <w:tcW w:type="dxa" w:w="3680"/>
            <w:tcMar>
              <w:top w:w="80" w:type="dxa"/>
              <w:start w:w="120" w:type="dxa"/>
              <w:bottom w:w="80" w:type="dxa"/>
              <w:end w:w="120" w:type="dxa"/>
            </w:tcMar>
            <w:vAlign w:val="center"/>
          </w:tcPr>
          <w:p>
            <w:pPr>
              <w:spacing w:after="0" w:line="257" w:lineRule="auto"/>
            </w:pPr>
            <w:r>
              <w:rPr>
                <w:rFonts w:ascii="Calibri" w:hAnsi="Calibri"/>
                <w:b w:val="0"/>
                <w:i w:val="0"/>
                <w:color w:val="111111"/>
                <w:sz w:val="17"/>
              </w:rPr>
              <w:t>OTel/OTLP envelope; scorers consume canonical EpisodeResult/Trace.</w:t>
            </w:r>
          </w:p>
        </w:tc>
      </w:tr>
      <w:tr>
        <w:trPr>
          <w:cantSplit/>
        </w:trPr>
        <w:tc>
          <w:tcPr>
            <w:tcW w:type="dxa" w:w="1450"/>
            <w:tcMar>
              <w:top w:w="80" w:type="dxa"/>
              <w:start w:w="120" w:type="dxa"/>
              <w:bottom w:w="80" w:type="dxa"/>
              <w:end w:w="120" w:type="dxa"/>
            </w:tcMar>
            <w:vAlign w:val="center"/>
          </w:tcPr>
          <w:p>
            <w:pPr>
              <w:spacing w:after="0" w:line="257" w:lineRule="auto"/>
            </w:pPr>
            <w:r>
              <w:rPr>
                <w:rFonts w:ascii="Calibri" w:hAnsi="Calibri"/>
                <w:b w:val="0"/>
                <w:i w:val="0"/>
                <w:color w:val="111111"/>
                <w:sz w:val="17"/>
              </w:rPr>
              <w:t>7. Results / optimizer</w:t>
            </w:r>
          </w:p>
        </w:tc>
        <w:tc>
          <w:tcPr>
            <w:tcW w:type="dxa" w:w="4230"/>
            <w:tcMar>
              <w:top w:w="80" w:type="dxa"/>
              <w:start w:w="120" w:type="dxa"/>
              <w:bottom w:w="80" w:type="dxa"/>
              <w:end w:w="120" w:type="dxa"/>
            </w:tcMar>
            <w:vAlign w:val="center"/>
          </w:tcPr>
          <w:p>
            <w:pPr>
              <w:spacing w:after="0" w:line="257" w:lineRule="auto"/>
            </w:pPr>
            <w:r>
              <w:rPr>
                <w:rFonts w:ascii="Calibri" w:hAnsi="Calibri"/>
                <w:b w:val="0"/>
                <w:i w:val="0"/>
                <w:color w:val="111111"/>
                <w:sz w:val="17"/>
              </w:rPr>
              <w:t>Stores immutable manifests and raw results; computes uncertainty, Pareto fronts, and policies.</w:t>
            </w:r>
          </w:p>
        </w:tc>
        <w:tc>
          <w:tcPr>
            <w:tcW w:type="dxa" w:w="3680"/>
            <w:tcMar>
              <w:top w:w="80" w:type="dxa"/>
              <w:start w:w="120" w:type="dxa"/>
              <w:bottom w:w="80" w:type="dxa"/>
              <w:end w:w="120" w:type="dxa"/>
            </w:tcMar>
            <w:vAlign w:val="center"/>
          </w:tcPr>
          <w:p>
            <w:pPr>
              <w:spacing w:after="0" w:line="257" w:lineRule="auto"/>
            </w:pPr>
            <w:r>
              <w:rPr>
                <w:rFonts w:ascii="Calibri" w:hAnsi="Calibri"/>
                <w:b w:val="0"/>
                <w:i w:val="0"/>
                <w:color w:val="111111"/>
                <w:sz w:val="17"/>
              </w:rPr>
              <w:t>Raw facts retained; dashboards are replaceable views.</w:t>
            </w:r>
          </w:p>
        </w:tc>
      </w:tr>
    </w:tbl>
    <w:p>
      <w:pPr>
        <w:spacing w:after="40"/>
      </w:pPr>
    </w:p>
    <w:p>
      <w:pPr>
        <w:pStyle w:val="Heading2"/>
        <w:keepNext/>
      </w:pPr>
      <w:r>
        <w:rPr>
          <w:rFonts w:ascii="Calibri" w:hAnsi="Calibri"/>
          <w:b/>
          <w:i w:val="0"/>
          <w:color w:val="2E74B5"/>
          <w:sz w:val="26"/>
        </w:rPr>
        <w:t>Recommended canonical identifiers</w:t>
      </w:r>
    </w:p>
    <w:tbl>
      <w:tblPr>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9360"/>
      </w:tblGrid>
      <w:tr>
        <w:trPr>
          <w:cantSplit/>
        </w:trPr>
        <w:tc>
          <w:tcPr>
            <w:tcW w:type="dxa" w:w="9360"/>
            <w:tcMar>
              <w:top w:w="80" w:type="dxa"/>
              <w:start w:w="120" w:type="dxa"/>
              <w:bottom w:w="80" w:type="dxa"/>
              <w:end w:w="120" w:type="dxa"/>
            </w:tcMar>
            <w:vAlign w:val="center"/>
            <w:shd w:fill="F7F8FA"/>
          </w:tcPr>
          <w:p>
            <w:pPr>
              <w:spacing w:after="0" w:line="240" w:lineRule="auto"/>
            </w:pPr>
            <w:r>
              <w:rPr>
                <w:rFonts w:ascii="Menlo" w:hAnsi="Menlo"/>
                <w:b w:val="0"/>
                <w:i w:val="0"/>
                <w:color w:val="263238"/>
                <w:sz w:val="16"/>
              </w:rPr>
              <w:t>model_ref:</w:t>
              <w:br/>
            </w:r>
            <w:r>
              <w:rPr>
                <w:rFonts w:ascii="Menlo" w:hAnsi="Menlo"/>
                <w:b w:val="0"/>
                <w:i w:val="0"/>
                <w:color w:val="263238"/>
                <w:sz w:val="16"/>
              </w:rPr>
              <w:t xml:space="preserve">  family: &lt;logical model family&gt;</w:t>
              <w:br/>
            </w:r>
            <w:r>
              <w:rPr>
                <w:rFonts w:ascii="Menlo" w:hAnsi="Menlo"/>
                <w:b w:val="0"/>
                <w:i w:val="0"/>
                <w:color w:val="263238"/>
                <w:sz w:val="16"/>
              </w:rPr>
              <w:t xml:space="preserve">  version: &lt;snapshot or checkpoint revision&gt;</w:t>
              <w:br/>
            </w:r>
            <w:r>
              <w:rPr>
                <w:rFonts w:ascii="Menlo" w:hAnsi="Menlo"/>
                <w:b w:val="0"/>
                <w:i w:val="0"/>
                <w:color w:val="263238"/>
                <w:sz w:val="16"/>
              </w:rPr>
              <w:t xml:space="preserve">  tokenizer_revision: &lt;revision or unknown&gt;</w:t>
              <w:br/>
            </w:r>
            <w:r>
              <w:rPr>
                <w:rFonts w:ascii="Menlo" w:hAnsi="Menlo"/>
                <w:b w:val="0"/>
                <w:i w:val="0"/>
                <w:color w:val="263238"/>
                <w:sz w:val="16"/>
              </w:rPr>
              <w:t xml:space="preserve">  capabilities: [tools, json_schema, vision, reasoning_controls]</w:t>
              <w:br/>
            </w:r>
            <w:r>
              <w:rPr>
                <w:rFonts w:ascii="Menlo" w:hAnsi="Menlo"/>
                <w:b w:val="0"/>
                <w:i w:val="0"/>
                <w:color w:val="263238"/>
                <w:sz w:val="16"/>
              </w:rPr>
              <w:br/>
            </w:r>
            <w:r>
              <w:rPr>
                <w:rFonts w:ascii="Menlo" w:hAnsi="Menlo"/>
                <w:b w:val="0"/>
                <w:i w:val="0"/>
                <w:color w:val="263238"/>
                <w:sz w:val="16"/>
              </w:rPr>
              <w:t>deployment_ref:</w:t>
              <w:br/>
            </w:r>
            <w:r>
              <w:rPr>
                <w:rFonts w:ascii="Menlo" w:hAnsi="Menlo"/>
                <w:b w:val="0"/>
                <w:i w:val="0"/>
                <w:color w:val="263238"/>
                <w:sz w:val="16"/>
              </w:rPr>
              <w:t xml:space="preserve">  provider: &lt;provider or self-hosted&gt;</w:t>
              <w:br/>
            </w:r>
            <w:r>
              <w:rPr>
                <w:rFonts w:ascii="Menlo" w:hAnsi="Menlo"/>
                <w:b w:val="0"/>
                <w:i w:val="0"/>
                <w:color w:val="263238"/>
                <w:sz w:val="16"/>
              </w:rPr>
              <w:t xml:space="preserve">  region: &lt;region&gt;</w:t>
              <w:br/>
            </w:r>
            <w:r>
              <w:rPr>
                <w:rFonts w:ascii="Menlo" w:hAnsi="Menlo"/>
                <w:b w:val="0"/>
                <w:i w:val="0"/>
                <w:color w:val="263238"/>
                <w:sz w:val="16"/>
              </w:rPr>
              <w:t xml:space="preserve">  service_tier: &lt;tier&gt;</w:t>
              <w:br/>
            </w:r>
            <w:r>
              <w:rPr>
                <w:rFonts w:ascii="Menlo" w:hAnsi="Menlo"/>
                <w:b w:val="0"/>
                <w:i w:val="0"/>
                <w:color w:val="263238"/>
                <w:sz w:val="16"/>
              </w:rPr>
              <w:t xml:space="preserve">  model_ref: &lt;reference&gt;</w:t>
              <w:br/>
            </w:r>
            <w:r>
              <w:rPr>
                <w:rFonts w:ascii="Menlo" w:hAnsi="Menlo"/>
                <w:b w:val="0"/>
                <w:i w:val="0"/>
                <w:color w:val="263238"/>
                <w:sz w:val="16"/>
              </w:rPr>
              <w:t xml:space="preserve">  serving: {engine, quantization, hardware, concurrency_profile}</w:t>
              <w:br/>
            </w:r>
            <w:r>
              <w:rPr>
                <w:rFonts w:ascii="Menlo" w:hAnsi="Menlo"/>
                <w:b w:val="0"/>
                <w:i w:val="0"/>
                <w:color w:val="263238"/>
                <w:sz w:val="16"/>
              </w:rPr>
              <w:br/>
            </w:r>
            <w:r>
              <w:rPr>
                <w:rFonts w:ascii="Menlo" w:hAnsi="Menlo"/>
                <w:b w:val="0"/>
                <w:i w:val="0"/>
                <w:color w:val="263238"/>
                <w:sz w:val="16"/>
              </w:rPr>
              <w:t>workflow_binding:</w:t>
              <w:br/>
            </w:r>
            <w:r>
              <w:rPr>
                <w:rFonts w:ascii="Menlo" w:hAnsi="Menlo"/>
                <w:b w:val="0"/>
                <w:i w:val="0"/>
                <w:color w:val="263238"/>
                <w:sz w:val="16"/>
              </w:rPr>
              <w:t xml:space="preserve">  planner: {model_ref, deployment_ref}</w:t>
              <w:br/>
            </w:r>
            <w:r>
              <w:rPr>
                <w:rFonts w:ascii="Menlo" w:hAnsi="Menlo"/>
                <w:b w:val="0"/>
                <w:i w:val="0"/>
                <w:color w:val="263238"/>
                <w:sz w:val="16"/>
              </w:rPr>
              <w:t xml:space="preserve">  executor: {model_ref, deployment_ref}</w:t>
              <w:br/>
            </w:r>
            <w:r>
              <w:rPr>
                <w:rFonts w:ascii="Menlo" w:hAnsi="Menlo"/>
                <w:b w:val="0"/>
                <w:i w:val="0"/>
                <w:color w:val="263238"/>
                <w:sz w:val="16"/>
              </w:rPr>
              <w:t xml:space="preserve">  verifier: {model_ref, deployment_ref, invoke_when: uncertainty &gt; tau}</w:t>
              <w:br/>
            </w:r>
            <w:r>
              <w:rPr>
                <w:rFonts w:ascii="Menlo" w:hAnsi="Menlo"/>
                <w:b w:val="0"/>
                <w:i w:val="0"/>
                <w:color w:val="263238"/>
                <w:sz w:val="16"/>
              </w:rPr>
              <w:br/>
            </w:r>
            <w:r>
              <w:rPr>
                <w:rFonts w:ascii="Menlo" w:hAnsi="Menlo"/>
                <w:b w:val="0"/>
                <w:i w:val="0"/>
                <w:color w:val="263238"/>
                <w:sz w:val="16"/>
              </w:rPr>
              <w:t>episode_key:</w:t>
              <w:br/>
            </w:r>
            <w:r>
              <w:rPr>
                <w:rFonts w:ascii="Menlo" w:hAnsi="Menlo"/>
                <w:b w:val="0"/>
                <w:i w:val="0"/>
                <w:color w:val="263238"/>
                <w:sz w:val="16"/>
              </w:rPr>
              <w:t xml:space="preserve">  dataset_version + task_id + seed + workflow_revision + deployment_map</w:t>
            </w:r>
          </w:p>
        </w:tc>
      </w:tr>
    </w:tbl>
    <w:p>
      <w:pPr>
        <w:spacing w:after="40"/>
      </w:pPr>
    </w:p>
    <w:p>
      <w:pPr>
        <w:pStyle w:val="Heading2"/>
        <w:keepNext/>
      </w:pPr>
      <w:r>
        <w:rPr>
          <w:rFonts w:ascii="Calibri" w:hAnsi="Calibri"/>
          <w:b/>
          <w:i w:val="0"/>
          <w:color w:val="2E74B5"/>
          <w:sz w:val="26"/>
        </w:rPr>
        <w:t>Adapter contract</w:t>
      </w:r>
    </w:p>
    <w:p>
      <w:pPr>
        <w:pStyle w:val="ListBullet"/>
        <w:spacing w:after="160" w:line="280" w:lineRule="auto"/>
        <w:ind w:left="720" w:hanging="360"/>
      </w:pPr>
      <w:r>
        <w:rPr>
          <w:rFonts w:ascii="Calibri" w:hAnsi="Calibri"/>
          <w:b w:val="0"/>
          <w:i w:val="0"/>
          <w:color w:val="111111"/>
          <w:sz w:val="22"/>
        </w:rPr>
        <w:t>Expose canonical content blocks (text, image, audio, files), tool schemas, structured-output constraints, streaming events, reasoning/effort controls, logprobs where available, and cache directives.</w:t>
      </w:r>
    </w:p>
    <w:p>
      <w:pPr>
        <w:pStyle w:val="ListBullet"/>
        <w:spacing w:after="160" w:line="280" w:lineRule="auto"/>
        <w:ind w:left="720" w:hanging="360"/>
      </w:pPr>
      <w:r>
        <w:rPr>
          <w:rFonts w:ascii="Calibri" w:hAnsi="Calibri"/>
          <w:b w:val="0"/>
          <w:i w:val="0"/>
          <w:color w:val="111111"/>
          <w:sz w:val="22"/>
        </w:rPr>
        <w:t>For asynchronous media generation, expose submit, poll/webhook, cancel, and artifact-fetch operations; preserve queue, generation, moderation, post-processing, and transfer time as separate spans.</w:t>
      </w:r>
    </w:p>
    <w:p>
      <w:pPr>
        <w:pStyle w:val="ListBullet"/>
        <w:spacing w:after="160" w:line="280" w:lineRule="auto"/>
        <w:ind w:left="720" w:hanging="360"/>
      </w:pPr>
      <w:r>
        <w:rPr>
          <w:rFonts w:ascii="Calibri" w:hAnsi="Calibri"/>
          <w:b w:val="0"/>
          <w:i w:val="0"/>
          <w:color w:val="111111"/>
          <w:sz w:val="22"/>
        </w:rPr>
        <w:t>Return normalized usage plus raw provider metadata. Never discard native fields needed for audit, pricing, cache accounting, or quality-equivalence analysis.</w:t>
      </w:r>
    </w:p>
    <w:p>
      <w:pPr>
        <w:pStyle w:val="ListBullet"/>
        <w:spacing w:after="160" w:line="280" w:lineRule="auto"/>
        <w:ind w:left="720" w:hanging="360"/>
      </w:pPr>
      <w:r>
        <w:rPr>
          <w:rFonts w:ascii="Calibri" w:hAnsi="Calibri"/>
          <w:b w:val="0"/>
          <w:i w:val="0"/>
          <w:color w:val="111111"/>
          <w:sz w:val="22"/>
        </w:rPr>
        <w:t>Publish a CapabilityProfile and fail fast on unsupported requirements. “Emulated” and “degraded” modes must be visible experimental factors, not silent fallbacks.</w:t>
      </w:r>
    </w:p>
    <w:p>
      <w:pPr>
        <w:pStyle w:val="ListBullet"/>
        <w:spacing w:after="160" w:line="280" w:lineRule="auto"/>
        <w:ind w:left="720" w:hanging="360"/>
      </w:pPr>
      <w:r>
        <w:rPr>
          <w:rFonts w:ascii="Calibri" w:hAnsi="Calibri"/>
          <w:b w:val="0"/>
          <w:i w:val="0"/>
          <w:color w:val="111111"/>
          <w:sz w:val="22"/>
        </w:rPr>
        <w:t xml:space="preserve">Make native-direct adapters the reference path. Gateways—including </w:t>
      </w:r>
      <w:hyperlink r:id="rId12">
        <w:r>
          <w:rPr>
            <w:rFonts w:ascii="Calibri" w:hAnsi="Calibri"/>
            <w:color w:val="2E74B5"/>
            <w:u w:val="single"/>
            <w:sz w:val="22"/>
            <w:szCs w:val="22"/>
          </w:rPr>
          <w:t>Bifrost</w:t>
        </w:r>
      </w:hyperlink>
      <w:r>
        <w:rPr>
          <w:rFonts w:ascii="Calibri" w:hAnsi="Calibri"/>
          <w:b w:val="0"/>
          <w:i w:val="0"/>
          <w:color w:val="111111"/>
          <w:sz w:val="22"/>
        </w:rPr>
        <w:t xml:space="preserve">, </w:t>
      </w:r>
      <w:hyperlink r:id="rId13">
        <w:r>
          <w:rPr>
            <w:rFonts w:ascii="Calibri" w:hAnsi="Calibri"/>
            <w:color w:val="2E74B5"/>
            <w:u w:val="single"/>
            <w:sz w:val="22"/>
            <w:szCs w:val="22"/>
          </w:rPr>
          <w:t>Portkey</w:t>
        </w:r>
      </w:hyperlink>
      <w:r>
        <w:rPr>
          <w:rFonts w:ascii="Calibri" w:hAnsi="Calibri"/>
          <w:b w:val="0"/>
          <w:i w:val="0"/>
          <w:color w:val="111111"/>
          <w:sz w:val="22"/>
        </w:rPr>
        <w:t xml:space="preserve">, </w:t>
      </w:r>
      <w:hyperlink r:id="rId14">
        <w:r>
          <w:rPr>
            <w:rFonts w:ascii="Calibri" w:hAnsi="Calibri"/>
            <w:color w:val="2E74B5"/>
            <w:u w:val="single"/>
            <w:sz w:val="22"/>
            <w:szCs w:val="22"/>
          </w:rPr>
          <w:t>LiteLLM</w:t>
        </w:r>
      </w:hyperlink>
      <w:r>
        <w:rPr>
          <w:rFonts w:ascii="Calibri" w:hAnsi="Calibri"/>
          <w:b w:val="0"/>
          <w:i w:val="0"/>
          <w:color w:val="111111"/>
          <w:sz w:val="22"/>
        </w:rPr>
        <w:t>, and managed services—must be optional deployment adapters whose translation, retries, routing, cache behavior, and overhead are measured explicitly.</w:t>
      </w:r>
    </w:p>
    <w:p>
      <w:pPr>
        <w:pStyle w:val="Heading2"/>
        <w:keepNext/>
      </w:pPr>
      <w:r>
        <w:rPr>
          <w:rFonts w:ascii="Calibri" w:hAnsi="Calibri"/>
          <w:b/>
          <w:i w:val="0"/>
          <w:color w:val="2E74B5"/>
          <w:sz w:val="26"/>
        </w:rPr>
        <w:t>Separate the two routing planes</w:t>
      </w:r>
    </w:p>
    <w:p>
      <w:pPr>
        <w:keepNext w:val="0"/>
        <w:spacing w:before="0" w:after="120" w:line="264" w:lineRule="auto"/>
      </w:pPr>
      <w:r>
        <w:rPr>
          <w:rFonts w:ascii="Calibri" w:hAnsi="Calibri"/>
          <w:b w:val="0"/>
          <w:i w:val="0"/>
          <w:color w:val="111111"/>
          <w:sz w:val="22"/>
        </w:rPr>
        <w:t>The evaluator owns logical routing: task family → workflow → role or step → ModelRef. A gateway owns physical routing only after that choice: ModelRef → provider, region, tier, or serving deployment. During causal experiments, either plane can be pinned while the other varies. Trace route.logical_decision and route.deployment_decision separately; never allow an adaptive gateway alias to silently change the model chosen by the workflow optimizer.</w:t>
      </w:r>
    </w:p>
    <w:p>
      <w:pPr>
        <w:pStyle w:val="Heading2"/>
        <w:keepNext/>
      </w:pPr>
      <w:r>
        <w:rPr>
          <w:rFonts w:ascii="Calibri" w:hAnsi="Calibri"/>
          <w:b/>
          <w:i w:val="0"/>
          <w:color w:val="2E74B5"/>
          <w:sz w:val="26"/>
        </w:rPr>
        <w:t>Trace event minimums</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900"/>
        <w:gridCol w:w="7460"/>
      </w:tblGrid>
      <w:tr>
        <w:trPr>
          <w:tblHeader w:val="true"/>
          <w:cantSplit/>
        </w:trPr>
        <w:tc>
          <w:tcPr>
            <w:tcW w:type="dxa" w:w="19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Event type</w:t>
            </w:r>
          </w:p>
        </w:tc>
        <w:tc>
          <w:tcPr>
            <w:tcW w:type="dxa" w:w="746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Required fields</w:t>
            </w:r>
          </w:p>
        </w:tc>
      </w:tr>
      <w:tr>
        <w:trPr>
          <w:cantSplit/>
        </w:trPr>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7"/>
              </w:rPr>
              <w:t>episode.start/end</w:t>
            </w:r>
          </w:p>
        </w:tc>
        <w:tc>
          <w:tcPr>
            <w:tcW w:type="dxa" w:w="7460"/>
            <w:tcMar>
              <w:top w:w="80" w:type="dxa"/>
              <w:start w:w="120" w:type="dxa"/>
              <w:bottom w:w="80" w:type="dxa"/>
              <w:end w:w="120" w:type="dxa"/>
            </w:tcMar>
            <w:vAlign w:val="center"/>
          </w:tcPr>
          <w:p>
            <w:pPr>
              <w:spacing w:after="0" w:line="257" w:lineRule="auto"/>
            </w:pPr>
            <w:r>
              <w:rPr>
                <w:rFonts w:ascii="Calibri" w:hAnsi="Calibri"/>
                <w:b w:val="0"/>
                <w:i w:val="0"/>
                <w:color w:val="111111"/>
                <w:sz w:val="17"/>
              </w:rPr>
              <w:t>IDs, task/workflow versions, timestamps, outcome, termination reason, environment hash</w:t>
            </w:r>
          </w:p>
        </w:tc>
      </w:tr>
      <w:tr>
        <w:trPr>
          <w:cantSplit/>
        </w:trPr>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7"/>
              </w:rPr>
              <w:t>plan.create/update</w:t>
            </w:r>
          </w:p>
        </w:tc>
        <w:tc>
          <w:tcPr>
            <w:tcW w:type="dxa" w:w="7460"/>
            <w:tcMar>
              <w:top w:w="80" w:type="dxa"/>
              <w:start w:w="120" w:type="dxa"/>
              <w:bottom w:w="80" w:type="dxa"/>
              <w:end w:w="120" w:type="dxa"/>
            </w:tcMar>
            <w:vAlign w:val="center"/>
          </w:tcPr>
          <w:p>
            <w:pPr>
              <w:spacing w:after="0" w:line="257" w:lineRule="auto"/>
            </w:pPr>
            <w:r>
              <w:rPr>
                <w:rFonts w:ascii="Calibri" w:hAnsi="Calibri"/>
                <w:b w:val="0"/>
                <w:i w:val="0"/>
                <w:color w:val="111111"/>
                <w:sz w:val="17"/>
              </w:rPr>
              <w:t>Plan nodes, dependencies, rationale visibility policy, revision, active node, completion status</w:t>
            </w:r>
          </w:p>
        </w:tc>
      </w:tr>
      <w:tr>
        <w:trPr>
          <w:cantSplit/>
        </w:trPr>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7"/>
              </w:rPr>
              <w:t>model.request/response</w:t>
            </w:r>
          </w:p>
        </w:tc>
        <w:tc>
          <w:tcPr>
            <w:tcW w:type="dxa" w:w="7460"/>
            <w:tcMar>
              <w:top w:w="80" w:type="dxa"/>
              <w:start w:w="120" w:type="dxa"/>
              <w:bottom w:w="80" w:type="dxa"/>
              <w:end w:w="120" w:type="dxa"/>
            </w:tcMar>
            <w:vAlign w:val="center"/>
          </w:tcPr>
          <w:p>
            <w:pPr>
              <w:spacing w:after="0" w:line="257" w:lineRule="auto"/>
            </w:pPr>
            <w:r>
              <w:rPr>
                <w:rFonts w:ascii="Calibri" w:hAnsi="Calibri"/>
                <w:b w:val="0"/>
                <w:i w:val="0"/>
                <w:color w:val="111111"/>
                <w:sz w:val="17"/>
              </w:rPr>
              <w:t>model_ref, deployment_ref, settings, prompt hashes, token usage, TTFT, duration, finish/error</w:t>
            </w:r>
          </w:p>
        </w:tc>
      </w:tr>
      <w:tr>
        <w:trPr>
          <w:cantSplit/>
        </w:trPr>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7"/>
              </w:rPr>
              <w:t>route.decision/handoff</w:t>
            </w:r>
          </w:p>
        </w:tc>
        <w:tc>
          <w:tcPr>
            <w:tcW w:type="dxa" w:w="7460"/>
            <w:tcMar>
              <w:top w:w="80" w:type="dxa"/>
              <w:start w:w="120" w:type="dxa"/>
              <w:bottom w:w="80" w:type="dxa"/>
              <w:end w:w="120" w:type="dxa"/>
            </w:tcMar>
            <w:vAlign w:val="center"/>
          </w:tcPr>
          <w:p>
            <w:pPr>
              <w:spacing w:after="0" w:line="257" w:lineRule="auto"/>
            </w:pPr>
            <w:r>
              <w:rPr>
                <w:rFonts w:ascii="Calibri" w:hAnsi="Calibri"/>
                <w:b w:val="0"/>
                <w:i w:val="0"/>
                <w:color w:val="111111"/>
                <w:sz w:val="17"/>
              </w:rPr>
              <w:t>Policy/rule, candidates, selected binding, reason, serialized-state hash, context size, validation result, added cost/time/cache loss</w:t>
            </w:r>
          </w:p>
        </w:tc>
      </w:tr>
      <w:tr>
        <w:trPr>
          <w:cantSplit/>
        </w:trPr>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7"/>
              </w:rPr>
              <w:t>tool.call/result</w:t>
            </w:r>
          </w:p>
        </w:tc>
        <w:tc>
          <w:tcPr>
            <w:tcW w:type="dxa" w:w="7460"/>
            <w:tcMar>
              <w:top w:w="80" w:type="dxa"/>
              <w:start w:w="120" w:type="dxa"/>
              <w:bottom w:w="80" w:type="dxa"/>
              <w:end w:w="120" w:type="dxa"/>
            </w:tcMar>
            <w:vAlign w:val="center"/>
          </w:tcPr>
          <w:p>
            <w:pPr>
              <w:spacing w:after="0" w:line="257" w:lineRule="auto"/>
            </w:pPr>
            <w:r>
              <w:rPr>
                <w:rFonts w:ascii="Calibri" w:hAnsi="Calibri"/>
                <w:b w:val="0"/>
                <w:i w:val="0"/>
                <w:color w:val="111111"/>
                <w:sz w:val="17"/>
              </w:rPr>
              <w:t>Tool/version, arguments hash or redacted payload, latency, retries, result hash, side-effect class</w:t>
            </w:r>
          </w:p>
        </w:tc>
      </w:tr>
      <w:tr>
        <w:trPr>
          <w:cantSplit/>
        </w:trPr>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7"/>
              </w:rPr>
              <w:t>cache.read/write</w:t>
            </w:r>
          </w:p>
        </w:tc>
        <w:tc>
          <w:tcPr>
            <w:tcW w:type="dxa" w:w="7460"/>
            <w:tcMar>
              <w:top w:w="80" w:type="dxa"/>
              <w:start w:w="120" w:type="dxa"/>
              <w:bottom w:w="80" w:type="dxa"/>
              <w:end w:w="120" w:type="dxa"/>
            </w:tcMar>
            <w:vAlign w:val="center"/>
          </w:tcPr>
          <w:p>
            <w:pPr>
              <w:spacing w:after="0" w:line="257" w:lineRule="auto"/>
            </w:pPr>
            <w:r>
              <w:rPr>
                <w:rFonts w:ascii="Calibri" w:hAnsi="Calibri"/>
                <w:b w:val="0"/>
                <w:i w:val="0"/>
                <w:color w:val="111111"/>
                <w:sz w:val="17"/>
              </w:rPr>
              <w:t>Layer, eligible tokens, hit tokens, key namespace, TTL, read/write/storage cost, miss/break reason</w:t>
            </w:r>
          </w:p>
        </w:tc>
      </w:tr>
      <w:tr>
        <w:trPr>
          <w:cantSplit/>
        </w:trPr>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7"/>
              </w:rPr>
              <w:t>state.checkpoint</w:t>
            </w:r>
          </w:p>
        </w:tc>
        <w:tc>
          <w:tcPr>
            <w:tcW w:type="dxa" w:w="7460"/>
            <w:tcMar>
              <w:top w:w="80" w:type="dxa"/>
              <w:start w:w="120" w:type="dxa"/>
              <w:bottom w:w="80" w:type="dxa"/>
              <w:end w:w="120" w:type="dxa"/>
            </w:tcMar>
            <w:vAlign w:val="center"/>
          </w:tcPr>
          <w:p>
            <w:pPr>
              <w:spacing w:after="0" w:line="257" w:lineRule="auto"/>
            </w:pPr>
            <w:r>
              <w:rPr>
                <w:rFonts w:ascii="Calibri" w:hAnsi="Calibri"/>
                <w:b w:val="0"/>
                <w:i w:val="0"/>
                <w:color w:val="111111"/>
                <w:sz w:val="17"/>
              </w:rPr>
              <w:t>Checkpoint ID/sequence, workflow and state-schema revision, environment hash, durable artifact refs, pending side effects, idempotency/compensation keys, resume entrypoint, integrity hash, encryption/retention class</w:t>
            </w:r>
          </w:p>
        </w:tc>
      </w:tr>
      <w:tr>
        <w:trPr>
          <w:cantSplit/>
        </w:trPr>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7"/>
              </w:rPr>
              <w:t>score</w:t>
            </w:r>
          </w:p>
        </w:tc>
        <w:tc>
          <w:tcPr>
            <w:tcW w:type="dxa" w:w="7460"/>
            <w:tcMar>
              <w:top w:w="80" w:type="dxa"/>
              <w:start w:w="120" w:type="dxa"/>
              <w:bottom w:w="80" w:type="dxa"/>
              <w:end w:w="120" w:type="dxa"/>
            </w:tcMar>
            <w:vAlign w:val="center"/>
          </w:tcPr>
          <w:p>
            <w:pPr>
              <w:spacing w:after="0" w:line="257" w:lineRule="auto"/>
            </w:pPr>
            <w:r>
              <w:rPr>
                <w:rFonts w:ascii="Calibri" w:hAnsi="Calibri"/>
                <w:b w:val="0"/>
                <w:i w:val="0"/>
                <w:color w:val="111111"/>
                <w:sz w:val="17"/>
              </w:rPr>
              <w:t>Evaluator/version, execution status (finding/no finding/skipped/never invoked/not observable), inputs, raw measure, confidence, rationale/evidence, cost, latency</w:t>
            </w:r>
          </w:p>
        </w:tc>
      </w:tr>
    </w:tbl>
    <w:p>
      <w:pPr>
        <w:spacing w:after="40"/>
      </w:pPr>
    </w:p>
    <w:p>
      <w:pPr>
        <w:pStyle w:val="Heading2"/>
        <w:keepNext/>
      </w:pPr>
      <w:r>
        <w:rPr>
          <w:rFonts w:ascii="Calibri" w:hAnsi="Calibri"/>
          <w:b/>
          <w:i w:val="0"/>
          <w:color w:val="2E74B5"/>
          <w:sz w:val="26"/>
        </w:rPr>
        <w:t>Long-horizon checkpointing and recovery</w:t>
      </w: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after="0" w:line="269" w:lineRule="auto"/>
            </w:pPr>
            <w:r>
              <w:rPr>
                <w:rFonts w:ascii="Calibri" w:hAnsi="Calibri"/>
                <w:b/>
                <w:i w:val="0"/>
                <w:color w:val="0B2545"/>
                <w:sz w:val="19"/>
              </w:rPr>
              <w:t xml:space="preserve">REQUIREMENT  </w:t>
            </w:r>
            <w:r>
              <w:rPr>
                <w:rFonts w:ascii="Calibri" w:hAnsi="Calibri"/>
                <w:b w:val="0"/>
                <w:i w:val="0"/>
                <w:color w:val="111111"/>
                <w:sz w:val="21"/>
              </w:rPr>
              <w:t>A checkpoint is a durable, verifiable recovery boundary—not a transcript dump. It must capture the minimum state needed to resume safely, plus enough provenance to prove which environment, workflow, permissions, and external effects existed at that boundary.</w:t>
            </w:r>
          </w:p>
        </w:tc>
      </w:tr>
    </w:tbl>
    <w:p>
      <w:pPr>
        <w:spacing w:after="60"/>
      </w:pPr>
    </w:p>
    <w:p>
      <w:pPr>
        <w:pStyle w:val="ListBullet"/>
        <w:spacing w:after="160" w:line="280" w:lineRule="auto"/>
        <w:ind w:left="720" w:hanging="360"/>
      </w:pPr>
      <w:r>
        <w:rPr>
          <w:rFonts w:ascii="Calibri" w:hAnsi="Calibri"/>
          <w:b w:val="0"/>
          <w:i w:val="0"/>
          <w:color w:val="111111"/>
          <w:sz w:val="22"/>
        </w:rPr>
        <w:t>Checkpoint at deterministic recovery points: before and after externally visible side effects, after validated state mutations, at model/provider handoffs, before long waits or asynchronous jobs, on time/budget lease thresholds, and at planned milestones. Permit task-specific checkpoints for expensive irreversible work; do not checkpoint every token or intermediate thought.</w:t>
      </w:r>
    </w:p>
    <w:p>
      <w:pPr>
        <w:pStyle w:val="ListBullet"/>
        <w:spacing w:after="160" w:line="280" w:lineRule="auto"/>
        <w:ind w:left="720" w:hanging="360"/>
      </w:pPr>
      <w:r>
        <w:rPr>
          <w:rFonts w:ascii="Calibri" w:hAnsi="Calibri"/>
          <w:b w:val="0"/>
          <w:i w:val="0"/>
          <w:color w:val="111111"/>
          <w:sz w:val="22"/>
        </w:rPr>
        <w:t>Persist an immutable checkpoint manifest containing the TaskSpec and WorkflowSpec revisions, episode/attempt IDs, canonical StepResult, environment snapshot or reference, durable file/database/artifact references, active plan node, open questions, pending operations, idempotency and compensation keys, state-schema version, integrity hash, and encryption/retention class. Store large payloads by content-addressed reference rather than duplicating them in traces.</w:t>
      </w:r>
    </w:p>
    <w:p>
      <w:pPr>
        <w:pStyle w:val="ListBullet"/>
        <w:spacing w:after="160" w:line="280" w:lineRule="auto"/>
        <w:ind w:left="720" w:hanging="360"/>
      </w:pPr>
      <w:r>
        <w:rPr>
          <w:rFonts w:ascii="Calibri" w:hAnsi="Calibri"/>
          <w:b w:val="0"/>
          <w:i w:val="0"/>
          <w:color w:val="111111"/>
          <w:sz w:val="22"/>
        </w:rPr>
        <w:t>Resume through a fenced lease: validate the manifest signature, schema compatibility, environment hash, credentials/permissions, and artifact availability; then acquire one resumable worker lease. For a timed-out or ambiguous write, query the external system with the idempotency key before retrying. If the state cannot be proved, stop for compensation, repair, or human review—never replay an uncertain destructive action.</w:t>
      </w:r>
    </w:p>
    <w:p>
      <w:pPr>
        <w:pStyle w:val="ListBullet"/>
        <w:spacing w:after="160" w:line="280" w:lineRule="auto"/>
        <w:ind w:left="720" w:hanging="360"/>
      </w:pPr>
      <w:r>
        <w:rPr>
          <w:rFonts w:ascii="Calibri" w:hAnsi="Calibri"/>
          <w:b w:val="0"/>
          <w:i w:val="0"/>
          <w:color w:val="111111"/>
          <w:sz w:val="22"/>
        </w:rPr>
        <w:t>Make checkpoint migrations explicit and reversible. New runner or workflow versions may read an older checkpoint only through a tested migration; otherwise preserve it as replay-only evidence and start a declared new attempt.</w:t>
      </w:r>
    </w:p>
    <w:p>
      <w:pPr>
        <w:pStyle w:val="ListBullet"/>
        <w:spacing w:after="160" w:line="280" w:lineRule="auto"/>
        <w:ind w:left="720" w:hanging="360"/>
      </w:pPr>
      <w:r>
        <w:rPr>
          <w:rFonts w:ascii="Calibri" w:hAnsi="Calibri"/>
          <w:b w:val="0"/>
          <w:i w:val="0"/>
          <w:color w:val="111111"/>
          <w:sz w:val="22"/>
        </w:rPr>
        <w:t>Measure checkpoint overhead and recovery quality: storage/write time and cost, added latency, resume success, mean time to recovery, recovered cost/time, duplicate-side-effect prevention, and pass/non-inferiority versus an uninterrupted control. Report whether a result was fresh, resumed, repaired, or abandoned.</w:t>
      </w:r>
    </w:p>
    <w:p>
      <w:pPr>
        <w:pStyle w:val="Heading1"/>
        <w:keepNext/>
      </w:pPr>
      <w:r>
        <w:rPr>
          <w:rFonts w:ascii="Calibri" w:hAnsi="Calibri"/>
          <w:b/>
          <w:i w:val="0"/>
          <w:color w:val="2E74B5"/>
          <w:sz w:val="32"/>
        </w:rPr>
        <w:t>6. Delivery sequence: from today’s evaluator to the target platform</w:t>
      </w:r>
    </w:p>
    <w:tbl>
      <w:tblPr>
        <w:tblW w:type="dxa" w:w="9360"/>
        <w:jc w:val="left"/>
        <w:tblLayout w:type="fixed"/>
        <w:tblLook w:firstColumn="1" w:firstRow="1" w:lastColumn="0" w:lastRow="0" w:noHBand="0" w:noVBand="1" w:val="04A0"/>
        <w:tblInd w:w="120" w:type="dxa"/>
        <w:tblBorders>
          <w:top w:val="single" w:sz="0" w:space="0" w:color="EEF3F8"/>
          <w:left w:val="single" w:sz="0" w:space="0" w:color="EEF3F8"/>
          <w:bottom w:val="single" w:sz="0" w:space="0" w:color="EEF3F8"/>
          <w:right w:val="single" w:sz="0" w:space="0" w:color="EEF3F8"/>
          <w:insideH w:val="single" w:sz="0" w:space="0" w:color="EEF3F8"/>
          <w:insideV w:val="single" w:sz="0" w:space="0" w:color="EEF3F8"/>
        </w:tblBorders>
      </w:tblPr>
      <w:tblGrid>
        <w:gridCol w:w="9360"/>
      </w:tblGrid>
      <w:tr>
        <w:trPr>
          <w:cantSplit/>
        </w:trPr>
        <w:tc>
          <w:tcPr>
            <w:tcW w:type="dxa" w:w="9360"/>
            <w:tcMar>
              <w:top w:w="80" w:type="dxa"/>
              <w:start w:w="120" w:type="dxa"/>
              <w:bottom w:w="80" w:type="dxa"/>
              <w:end w:w="120" w:type="dxa"/>
            </w:tcMar>
            <w:vAlign w:val="center"/>
            <w:shd w:fill="EEF3F8"/>
          </w:tcPr>
          <w:p>
            <w:pPr>
              <w:spacing w:after="0" w:line="269" w:lineRule="auto"/>
            </w:pPr>
            <w:r>
              <w:rPr>
                <w:rFonts w:ascii="Calibri" w:hAnsi="Calibri"/>
                <w:b/>
                <w:i w:val="0"/>
                <w:color w:val="1F4D78"/>
                <w:sz w:val="19"/>
              </w:rPr>
              <w:t xml:space="preserve">CHANGE FROM TODAY  </w:t>
            </w:r>
            <w:r>
              <w:rPr>
                <w:rFonts w:ascii="Calibri" w:hAnsi="Calibri"/>
                <w:b w:val="0"/>
                <w:i w:val="0"/>
                <w:color w:val="111111"/>
                <w:sz w:val="21"/>
              </w:rPr>
              <w:t>Today: Current evaluation is already useful but its evidence is not yet a portable experimental substrate.  Change: Start with parity and observability, then add assisted specification, controlled model/workflow search, workflow tuning, provider optimization, and continuous validation.  Proof: Each phase exits with a testable artifact and can be adopted without disabling the existing Agentic Builder evaluation path.</w:t>
            </w:r>
          </w:p>
        </w:tc>
      </w:tr>
    </w:tbl>
    <w:p>
      <w:pPr>
        <w:spacing w:after="60"/>
      </w:pP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700"/>
        <w:gridCol w:w="4800"/>
        <w:gridCol w:w="2860"/>
      </w:tblGrid>
      <w:tr>
        <w:trPr>
          <w:tblHeader w:val="true"/>
          <w:cantSplit/>
        </w:trPr>
        <w:tc>
          <w:tcPr>
            <w:tcW w:type="dxa" w:w="17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Phase</w:t>
            </w:r>
          </w:p>
        </w:tc>
        <w:tc>
          <w:tcPr>
            <w:tcW w:type="dxa" w:w="48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Primary causal question</w:t>
            </w:r>
          </w:p>
        </w:tc>
        <w:tc>
          <w:tcPr>
            <w:tcW w:type="dxa" w:w="286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Exit artifact</w:t>
            </w:r>
          </w:p>
        </w:tc>
      </w:tr>
      <w:tr>
        <w:trPr>
          <w:cantSplit/>
        </w:trPr>
        <w:tc>
          <w:tcPr>
            <w:tcW w:type="dxa" w:w="1700"/>
            <w:tcMar>
              <w:top w:w="80" w:type="dxa"/>
              <w:start w:w="120" w:type="dxa"/>
              <w:bottom w:w="80" w:type="dxa"/>
              <w:end w:w="120" w:type="dxa"/>
            </w:tcMar>
            <w:vAlign w:val="center"/>
          </w:tcPr>
          <w:p>
            <w:pPr>
              <w:spacing w:after="0" w:line="257" w:lineRule="auto"/>
            </w:pPr>
            <w:r>
              <w:rPr>
                <w:rFonts w:ascii="Calibri" w:hAnsi="Calibri"/>
                <w:b w:val="0"/>
                <w:i w:val="0"/>
                <w:color w:val="111111"/>
                <w:sz w:val="17"/>
              </w:rPr>
              <w:t>0 — Preserve and canonicalize</w:t>
            </w:r>
          </w:p>
        </w:tc>
        <w:tc>
          <w:tcPr>
            <w:tcW w:type="dxa" w:w="4800"/>
            <w:tcMar>
              <w:top w:w="80" w:type="dxa"/>
              <w:start w:w="120" w:type="dxa"/>
              <w:bottom w:w="80" w:type="dxa"/>
              <w:end w:w="120" w:type="dxa"/>
            </w:tcMar>
            <w:vAlign w:val="center"/>
          </w:tcPr>
          <w:p>
            <w:pPr>
              <w:spacing w:after="0" w:line="257" w:lineRule="auto"/>
            </w:pPr>
            <w:r>
              <w:rPr>
                <w:rFonts w:ascii="Calibri" w:hAnsi="Calibri"/>
                <w:b w:val="0"/>
                <w:i w:val="0"/>
                <w:color w:val="111111"/>
                <w:sz w:val="17"/>
              </w:rPr>
              <w:t>Can current Agentic Builder conclusions be reproduced exactly while evidence is normalized and missing observability is exposed?</w:t>
            </w:r>
          </w:p>
        </w:tc>
        <w:tc>
          <w:tcPr>
            <w:tcW w:type="dxa" w:w="2860"/>
            <w:tcMar>
              <w:top w:w="80" w:type="dxa"/>
              <w:start w:w="120" w:type="dxa"/>
              <w:bottom w:w="80" w:type="dxa"/>
              <w:end w:w="120" w:type="dxa"/>
            </w:tcMar>
            <w:vAlign w:val="center"/>
          </w:tcPr>
          <w:p>
            <w:pPr>
              <w:spacing w:after="0" w:line="257" w:lineRule="auto"/>
            </w:pPr>
            <w:r>
              <w:rPr>
                <w:rFonts w:ascii="Calibri" w:hAnsi="Calibri"/>
                <w:b w:val="0"/>
                <w:i w:val="0"/>
                <w:color w:val="111111"/>
                <w:sz w:val="17"/>
              </w:rPr>
              <w:t>Golden parity suite + compatibility adapter + canonical trace/scorer contracts</w:t>
            </w:r>
          </w:p>
        </w:tc>
      </w:tr>
      <w:tr>
        <w:trPr>
          <w:cantSplit/>
        </w:trPr>
        <w:tc>
          <w:tcPr>
            <w:tcW w:type="dxa" w:w="1700"/>
            <w:tcMar>
              <w:top w:w="80" w:type="dxa"/>
              <w:start w:w="120" w:type="dxa"/>
              <w:bottom w:w="80" w:type="dxa"/>
              <w:end w:w="120" w:type="dxa"/>
            </w:tcMar>
            <w:vAlign w:val="center"/>
          </w:tcPr>
          <w:p>
            <w:pPr>
              <w:spacing w:after="0" w:line="257" w:lineRule="auto"/>
            </w:pPr>
            <w:r>
              <w:rPr>
                <w:rFonts w:ascii="Calibri" w:hAnsi="Calibri"/>
                <w:b w:val="0"/>
                <w:i w:val="0"/>
                <w:color w:val="111111"/>
                <w:sz w:val="17"/>
              </w:rPr>
              <w:t>0.5 — Assisted eval design</w:t>
            </w:r>
          </w:p>
        </w:tc>
        <w:tc>
          <w:tcPr>
            <w:tcW w:type="dxa" w:w="4800"/>
            <w:tcMar>
              <w:top w:w="80" w:type="dxa"/>
              <w:start w:w="120" w:type="dxa"/>
              <w:bottom w:w="80" w:type="dxa"/>
              <w:end w:w="120" w:type="dxa"/>
            </w:tcMar>
            <w:vAlign w:val="center"/>
          </w:tcPr>
          <w:p>
            <w:pPr>
              <w:spacing w:after="0" w:line="257" w:lineRule="auto"/>
            </w:pPr>
            <w:r>
              <w:rPr>
                <w:rFonts w:ascii="Calibri" w:hAnsi="Calibri"/>
                <w:b w:val="0"/>
                <w:i w:val="0"/>
                <w:color w:val="111111"/>
                <w:sz w:val="17"/>
              </w:rPr>
              <w:t>Can users define target behavior, cases, failures, judges, and scoring that survive calibration and review?</w:t>
            </w:r>
          </w:p>
        </w:tc>
        <w:tc>
          <w:tcPr>
            <w:tcW w:type="dxa" w:w="2860"/>
            <w:tcMar>
              <w:top w:w="80" w:type="dxa"/>
              <w:start w:w="120" w:type="dxa"/>
              <w:bottom w:w="80" w:type="dxa"/>
              <w:end w:w="120" w:type="dxa"/>
            </w:tcMar>
            <w:vAlign w:val="center"/>
          </w:tcPr>
          <w:p>
            <w:pPr>
              <w:spacing w:after="0" w:line="257" w:lineRule="auto"/>
            </w:pPr>
            <w:r>
              <w:rPr>
                <w:rFonts w:ascii="Calibri" w:hAnsi="Calibri"/>
                <w:b w:val="0"/>
                <w:i w:val="0"/>
                <w:color w:val="111111"/>
                <w:sz w:val="17"/>
              </w:rPr>
              <w:t>Approved EvalDesignSpecs, datasets, scorer graph, and sealed holdout</w:t>
            </w:r>
          </w:p>
        </w:tc>
      </w:tr>
      <w:tr>
        <w:trPr>
          <w:cantSplit/>
        </w:trPr>
        <w:tc>
          <w:tcPr>
            <w:tcW w:type="dxa" w:w="1700"/>
            <w:tcMar>
              <w:top w:w="80" w:type="dxa"/>
              <w:start w:w="120" w:type="dxa"/>
              <w:bottom w:w="80" w:type="dxa"/>
              <w:end w:w="120" w:type="dxa"/>
            </w:tcMar>
            <w:vAlign w:val="center"/>
          </w:tcPr>
          <w:p>
            <w:pPr>
              <w:spacing w:after="0" w:line="257" w:lineRule="auto"/>
            </w:pPr>
            <w:r>
              <w:rPr>
                <w:rFonts w:ascii="Calibri" w:hAnsi="Calibri"/>
                <w:b w:val="0"/>
                <w:i w:val="0"/>
                <w:color w:val="111111"/>
                <w:sz w:val="17"/>
              </w:rPr>
              <w:t>1 — Model/workflow search</w:t>
            </w:r>
          </w:p>
        </w:tc>
        <w:tc>
          <w:tcPr>
            <w:tcW w:type="dxa" w:w="4800"/>
            <w:tcMar>
              <w:top w:w="80" w:type="dxa"/>
              <w:start w:w="120" w:type="dxa"/>
              <w:bottom w:w="80" w:type="dxa"/>
              <w:end w:w="120" w:type="dxa"/>
            </w:tcMar>
            <w:vAlign w:val="center"/>
          </w:tcPr>
          <w:p>
            <w:pPr>
              <w:spacing w:after="0" w:line="257" w:lineRule="auto"/>
            </w:pPr>
            <w:r>
              <w:rPr>
                <w:rFonts w:ascii="Calibri" w:hAnsi="Calibri"/>
                <w:b w:val="0"/>
                <w:i w:val="0"/>
                <w:color w:val="111111"/>
                <w:sz w:val="17"/>
              </w:rPr>
              <w:t>Which model-role topology produces the best passing outcomes under controlled serving?</w:t>
            </w:r>
          </w:p>
        </w:tc>
        <w:tc>
          <w:tcPr>
            <w:tcW w:type="dxa" w:w="2860"/>
            <w:tcMar>
              <w:top w:w="80" w:type="dxa"/>
              <w:start w:w="120" w:type="dxa"/>
              <w:bottom w:w="80" w:type="dxa"/>
              <w:end w:w="120" w:type="dxa"/>
            </w:tcMar>
            <w:vAlign w:val="center"/>
          </w:tcPr>
          <w:p>
            <w:pPr>
              <w:spacing w:after="0" w:line="257" w:lineRule="auto"/>
            </w:pPr>
            <w:r>
              <w:rPr>
                <w:rFonts w:ascii="Calibri" w:hAnsi="Calibri"/>
                <w:b w:val="0"/>
                <w:i w:val="0"/>
                <w:color w:val="111111"/>
                <w:sz w:val="17"/>
              </w:rPr>
              <w:t>Pareto set of logical workflows by task family</w:t>
            </w:r>
          </w:p>
        </w:tc>
      </w:tr>
      <w:tr>
        <w:trPr>
          <w:cantSplit/>
        </w:trPr>
        <w:tc>
          <w:tcPr>
            <w:tcW w:type="dxa" w:w="1700"/>
            <w:tcMar>
              <w:top w:w="80" w:type="dxa"/>
              <w:start w:w="120" w:type="dxa"/>
              <w:bottom w:w="80" w:type="dxa"/>
              <w:end w:w="120" w:type="dxa"/>
            </w:tcMar>
            <w:vAlign w:val="center"/>
          </w:tcPr>
          <w:p>
            <w:pPr>
              <w:spacing w:after="0" w:line="257" w:lineRule="auto"/>
            </w:pPr>
            <w:r>
              <w:rPr>
                <w:rFonts w:ascii="Calibri" w:hAnsi="Calibri"/>
                <w:b w:val="0"/>
                <w:i w:val="0"/>
                <w:color w:val="111111"/>
                <w:sz w:val="17"/>
              </w:rPr>
              <w:t>1.5 — Workflow tuning</w:t>
            </w:r>
          </w:p>
        </w:tc>
        <w:tc>
          <w:tcPr>
            <w:tcW w:type="dxa" w:w="4800"/>
            <w:tcMar>
              <w:top w:w="80" w:type="dxa"/>
              <w:start w:w="120" w:type="dxa"/>
              <w:bottom w:w="80" w:type="dxa"/>
              <w:end w:w="120" w:type="dxa"/>
            </w:tcMar>
            <w:vAlign w:val="center"/>
          </w:tcPr>
          <w:p>
            <w:pPr>
              <w:spacing w:after="0" w:line="257" w:lineRule="auto"/>
            </w:pPr>
            <w:r>
              <w:rPr>
                <w:rFonts w:ascii="Calibri" w:hAnsi="Calibri"/>
                <w:b w:val="0"/>
                <w:i w:val="0"/>
                <w:color w:val="111111"/>
                <w:sz w:val="17"/>
              </w:rPr>
              <w:t>Can the selected workflows do less redundant work, cache more, and meet SLOs without quality loss?</w:t>
            </w:r>
          </w:p>
        </w:tc>
        <w:tc>
          <w:tcPr>
            <w:tcW w:type="dxa" w:w="2860"/>
            <w:tcMar>
              <w:top w:w="80" w:type="dxa"/>
              <w:start w:w="120" w:type="dxa"/>
              <w:bottom w:w="80" w:type="dxa"/>
              <w:end w:w="120" w:type="dxa"/>
            </w:tcMar>
            <w:vAlign w:val="center"/>
          </w:tcPr>
          <w:p>
            <w:pPr>
              <w:spacing w:after="0" w:line="257" w:lineRule="auto"/>
            </w:pPr>
            <w:r>
              <w:rPr>
                <w:rFonts w:ascii="Calibri" w:hAnsi="Calibri"/>
                <w:b w:val="0"/>
                <w:i w:val="0"/>
                <w:color w:val="111111"/>
                <w:sz w:val="17"/>
              </w:rPr>
              <w:t>Tuned workflow variants and cache/control policies</w:t>
            </w:r>
          </w:p>
        </w:tc>
      </w:tr>
      <w:tr>
        <w:trPr>
          <w:cantSplit/>
        </w:trPr>
        <w:tc>
          <w:tcPr>
            <w:tcW w:type="dxa" w:w="1700"/>
            <w:tcMar>
              <w:top w:w="80" w:type="dxa"/>
              <w:start w:w="120" w:type="dxa"/>
              <w:bottom w:w="80" w:type="dxa"/>
              <w:end w:w="120" w:type="dxa"/>
            </w:tcMar>
            <w:vAlign w:val="center"/>
          </w:tcPr>
          <w:p>
            <w:pPr>
              <w:spacing w:after="0" w:line="257" w:lineRule="auto"/>
            </w:pPr>
            <w:r>
              <w:rPr>
                <w:rFonts w:ascii="Calibri" w:hAnsi="Calibri"/>
                <w:b w:val="0"/>
                <w:i w:val="0"/>
                <w:color w:val="111111"/>
                <w:sz w:val="17"/>
              </w:rPr>
              <w:t>2 — Provider/serving optimization</w:t>
            </w:r>
          </w:p>
        </w:tc>
        <w:tc>
          <w:tcPr>
            <w:tcW w:type="dxa" w:w="4800"/>
            <w:tcMar>
              <w:top w:w="80" w:type="dxa"/>
              <w:start w:w="120" w:type="dxa"/>
              <w:bottom w:w="80" w:type="dxa"/>
              <w:end w:w="120" w:type="dxa"/>
            </w:tcMar>
            <w:vAlign w:val="center"/>
          </w:tcPr>
          <w:p>
            <w:pPr>
              <w:spacing w:after="0" w:line="257" w:lineRule="auto"/>
            </w:pPr>
            <w:r>
              <w:rPr>
                <w:rFonts w:ascii="Calibri" w:hAnsi="Calibri"/>
                <w:b w:val="0"/>
                <w:i w:val="0"/>
                <w:color w:val="111111"/>
                <w:sz w:val="17"/>
              </w:rPr>
              <w:t>Where should each selected model run for the best landed economics and latency?</w:t>
            </w:r>
          </w:p>
        </w:tc>
        <w:tc>
          <w:tcPr>
            <w:tcW w:type="dxa" w:w="2860"/>
            <w:tcMar>
              <w:top w:w="80" w:type="dxa"/>
              <w:start w:w="120" w:type="dxa"/>
              <w:bottom w:w="80" w:type="dxa"/>
              <w:end w:w="120" w:type="dxa"/>
            </w:tcMar>
            <w:vAlign w:val="center"/>
          </w:tcPr>
          <w:p>
            <w:pPr>
              <w:spacing w:after="0" w:line="257" w:lineRule="auto"/>
            </w:pPr>
            <w:r>
              <w:rPr>
                <w:rFonts w:ascii="Calibri" w:hAnsi="Calibri"/>
                <w:b w:val="0"/>
                <w:i w:val="0"/>
                <w:color w:val="111111"/>
                <w:sz w:val="17"/>
              </w:rPr>
              <w:t>Deployment matrix and operating-mode routing policy</w:t>
            </w:r>
          </w:p>
        </w:tc>
      </w:tr>
      <w:tr>
        <w:trPr>
          <w:cantSplit/>
        </w:trPr>
        <w:tc>
          <w:tcPr>
            <w:tcW w:type="dxa" w:w="1700"/>
            <w:tcMar>
              <w:top w:w="80" w:type="dxa"/>
              <w:start w:w="120" w:type="dxa"/>
              <w:bottom w:w="80" w:type="dxa"/>
              <w:end w:w="120" w:type="dxa"/>
            </w:tcMar>
            <w:vAlign w:val="center"/>
          </w:tcPr>
          <w:p>
            <w:pPr>
              <w:spacing w:after="0" w:line="257" w:lineRule="auto"/>
            </w:pPr>
            <w:r>
              <w:rPr>
                <w:rFonts w:ascii="Calibri" w:hAnsi="Calibri"/>
                <w:b w:val="0"/>
                <w:i w:val="0"/>
                <w:color w:val="111111"/>
                <w:sz w:val="17"/>
              </w:rPr>
              <w:t>3 — Continuous validation</w:t>
            </w:r>
          </w:p>
        </w:tc>
        <w:tc>
          <w:tcPr>
            <w:tcW w:type="dxa" w:w="4800"/>
            <w:tcMar>
              <w:top w:w="80" w:type="dxa"/>
              <w:start w:w="120" w:type="dxa"/>
              <w:bottom w:w="80" w:type="dxa"/>
              <w:end w:w="120" w:type="dxa"/>
            </w:tcMar>
            <w:vAlign w:val="center"/>
          </w:tcPr>
          <w:p>
            <w:pPr>
              <w:spacing w:after="0" w:line="257" w:lineRule="auto"/>
            </w:pPr>
            <w:r>
              <w:rPr>
                <w:rFonts w:ascii="Calibri" w:hAnsi="Calibri"/>
                <w:b w:val="0"/>
                <w:i w:val="0"/>
                <w:color w:val="111111"/>
                <w:sz w:val="17"/>
              </w:rPr>
              <w:t>Does the policy remain valid under drift, production traffic, failures, and new releases?</w:t>
            </w:r>
          </w:p>
        </w:tc>
        <w:tc>
          <w:tcPr>
            <w:tcW w:type="dxa" w:w="2860"/>
            <w:tcMar>
              <w:top w:w="80" w:type="dxa"/>
              <w:start w:w="120" w:type="dxa"/>
              <w:bottom w:w="80" w:type="dxa"/>
              <w:end w:w="120" w:type="dxa"/>
            </w:tcMar>
            <w:vAlign w:val="center"/>
          </w:tcPr>
          <w:p>
            <w:pPr>
              <w:spacing w:after="0" w:line="257" w:lineRule="auto"/>
            </w:pPr>
            <w:r>
              <w:rPr>
                <w:rFonts w:ascii="Calibri" w:hAnsi="Calibri"/>
                <w:b w:val="0"/>
                <w:i w:val="0"/>
                <w:color w:val="111111"/>
                <w:sz w:val="17"/>
              </w:rPr>
              <w:t>Regression gates, shadow/canary process, rolling benchmark</w:t>
            </w:r>
          </w:p>
        </w:tc>
      </w:tr>
    </w:tbl>
    <w:p>
      <w:pPr>
        <w:spacing w:after="40"/>
      </w:pPr>
    </w:p>
    <w:p>
      <w:pPr>
        <w:pStyle w:val="Heading2"/>
        <w:keepNext/>
      </w:pPr>
      <w:r>
        <w:rPr>
          <w:rFonts w:ascii="Calibri" w:hAnsi="Calibri"/>
          <w:b/>
          <w:i w:val="0"/>
          <w:color w:val="2E74B5"/>
          <w:sz w:val="26"/>
        </w:rPr>
        <w:t>Phase 0 — Preserve, wrap, and establish measurement parity</w:t>
      </w:r>
    </w:p>
    <w:p>
      <w:pPr>
        <w:keepNext w:val="0"/>
        <w:spacing w:before="0" w:after="120" w:line="264" w:lineRule="auto"/>
      </w:pPr>
      <w:r>
        <w:rPr>
          <w:rFonts w:ascii="Calibri" w:hAnsi="Calibri"/>
          <w:b w:val="0"/>
          <w:i w:val="0"/>
          <w:color w:val="111111"/>
          <w:sz w:val="22"/>
        </w:rPr>
        <w:t>Goal: make the current evaluator the trusted baseline, eliminate measurement error, and add observability without changing its conclusions before spending on combinatorial experiments.</w:t>
      </w:r>
    </w:p>
    <w:p>
      <w:pPr>
        <w:pStyle w:val="ListBullet"/>
        <w:spacing w:after="160" w:line="280" w:lineRule="auto"/>
        <w:ind w:left="720" w:hanging="360"/>
      </w:pPr>
      <w:r>
        <w:rPr>
          <w:rFonts w:ascii="Calibri" w:hAnsi="Calibri"/>
          <w:b w:val="0"/>
          <w:i w:val="0"/>
          <w:color w:val="111111"/>
          <w:sz w:val="22"/>
        </w:rPr>
        <w:t>Inventory and freeze the current EVAL.md behavior: 42 check IDs, severity meanings, invocation paths, file/report schemas, source-fidelity outputs, and current outcome measures. Capture representative pass, finding, never-invoked, unobservable, and error fixtures.</w:t>
      </w:r>
    </w:p>
    <w:p>
      <w:pPr>
        <w:pStyle w:val="ListBullet"/>
        <w:spacing w:after="160" w:line="280" w:lineRule="auto"/>
        <w:ind w:left="720" w:hanging="360"/>
      </w:pPr>
      <w:r>
        <w:rPr>
          <w:rFonts w:ascii="Calibri" w:hAnsi="Calibri"/>
          <w:b w:val="0"/>
          <w:i w:val="0"/>
          <w:color w:val="111111"/>
          <w:sz w:val="22"/>
        </w:rPr>
        <w:t>Build an Agentic Builder compatibility adapter and dual-write current outputs into canonical Score, ArtifactRef, and TraceEvent records. Reconcile counts, severities, evidence, and execution states on every golden fixture before cutover.</w:t>
      </w:r>
    </w:p>
    <w:p>
      <w:pPr>
        <w:pStyle w:val="ListBullet"/>
        <w:spacing w:after="160" w:line="280" w:lineRule="auto"/>
        <w:ind w:left="720" w:hanging="360"/>
      </w:pPr>
      <w:r>
        <w:rPr>
          <w:rFonts w:ascii="Calibri" w:hAnsi="Calibri"/>
          <w:b w:val="0"/>
          <w:i w:val="0"/>
          <w:color w:val="111111"/>
          <w:sz w:val="22"/>
        </w:rPr>
        <w:t>Add safe cross-project aggregation with pseudonymous project IDs, allowlisted fields, idempotent uploads, completeness accounting, and explicit missing-project/upload states; keep raw local reports authoritative.</w:t>
      </w:r>
    </w:p>
    <w:p>
      <w:pPr>
        <w:pStyle w:val="ListBullet"/>
        <w:spacing w:after="160" w:line="280" w:lineRule="auto"/>
        <w:ind w:left="720" w:hanging="360"/>
      </w:pPr>
      <w:r>
        <w:rPr>
          <w:rFonts w:ascii="Calibri" w:hAnsi="Calibri"/>
          <w:b w:val="0"/>
          <w:i w:val="0"/>
          <w:color w:val="111111"/>
          <w:sz w:val="22"/>
        </w:rPr>
        <w:t>Define EvalDesignSpec, TaskSpec, WorkflowSpec, ModelRef, DeploymentRef, CapabilityProfile, RunManifest, TraceEvent, Score, and ArtifactRef schemas.</w:t>
      </w:r>
    </w:p>
    <w:p>
      <w:pPr>
        <w:pStyle w:val="ListBullet"/>
        <w:spacing w:after="160" w:line="280" w:lineRule="auto"/>
        <w:ind w:left="720" w:hanging="360"/>
      </w:pPr>
      <w:r>
        <w:rPr>
          <w:rFonts w:ascii="Calibri" w:hAnsi="Calibri"/>
          <w:b w:val="0"/>
          <w:i w:val="0"/>
          <w:color w:val="111111"/>
          <w:sz w:val="22"/>
        </w:rPr>
        <w:t>Implement one deterministic task in each initial family and prove clean reset, replay, timeout, and isolation behavior.</w:t>
      </w:r>
    </w:p>
    <w:p>
      <w:pPr>
        <w:pStyle w:val="ListBullet"/>
        <w:spacing w:after="160" w:line="280" w:lineRule="auto"/>
        <w:ind w:left="720" w:hanging="360"/>
      </w:pPr>
      <w:r>
        <w:rPr>
          <w:rFonts w:ascii="Calibri" w:hAnsi="Calibri"/>
          <w:b w:val="0"/>
          <w:i w:val="0"/>
          <w:color w:val="111111"/>
          <w:sz w:val="22"/>
        </w:rPr>
        <w:t>Instrument end-to-end and span-level timing: queue, model TTFT, model generation, tool wait, orchestration, judge, and total wall time.</w:t>
      </w:r>
    </w:p>
    <w:p>
      <w:pPr>
        <w:pStyle w:val="ListBullet"/>
        <w:spacing w:after="160" w:line="280" w:lineRule="auto"/>
        <w:ind w:left="720" w:hanging="360"/>
      </w:pPr>
      <w:r>
        <w:rPr>
          <w:rFonts w:ascii="Calibri" w:hAnsi="Calibri"/>
          <w:b w:val="0"/>
          <w:i w:val="0"/>
          <w:color w:val="111111"/>
          <w:sz w:val="22"/>
        </w:rPr>
        <w:t>Reconcile usage and invoices for at least one closed model and one open-weight deployment; verify token and cache accounting.</w:t>
      </w:r>
    </w:p>
    <w:p>
      <w:pPr>
        <w:pStyle w:val="ListBullet"/>
        <w:spacing w:after="160" w:line="280" w:lineRule="auto"/>
        <w:ind w:left="720" w:hanging="360"/>
      </w:pPr>
      <w:r>
        <w:rPr>
          <w:rFonts w:ascii="Calibri" w:hAnsi="Calibri"/>
          <w:b w:val="0"/>
          <w:i w:val="0"/>
          <w:color w:val="111111"/>
          <w:sz w:val="22"/>
        </w:rPr>
        <w:t>Create scorer test fixtures with known pass, fail, partial, policy violation, and ambiguous cases. Measure judge-human agreement before optimization.</w:t>
      </w:r>
    </w:p>
    <w:p>
      <w:pPr>
        <w:pStyle w:val="ListBullet"/>
        <w:spacing w:after="160" w:line="280" w:lineRule="auto"/>
        <w:ind w:left="720" w:hanging="360"/>
      </w:pPr>
      <w:r>
        <w:rPr>
          <w:rFonts w:ascii="Calibri" w:hAnsi="Calibri"/>
          <w:b w:val="0"/>
          <w:i w:val="0"/>
          <w:color w:val="111111"/>
          <w:sz w:val="22"/>
        </w:rPr>
        <w:t>Establish a baseline single-model agent and a “null” or scripted baseline where appropriate to detect broken/too-easy tasks.</w:t>
      </w:r>
    </w:p>
    <w:p>
      <w:pPr>
        <w:pStyle w:val="ListBullet"/>
        <w:spacing w:after="160" w:line="280" w:lineRule="auto"/>
        <w:ind w:left="720" w:hanging="360"/>
      </w:pPr>
      <w:r>
        <w:rPr>
          <w:rFonts w:ascii="Calibri" w:hAnsi="Calibri"/>
          <w:b w:val="0"/>
          <w:i w:val="0"/>
          <w:color w:val="111111"/>
          <w:sz w:val="22"/>
        </w:rPr>
        <w:t>Admit initial task families only after SME execution in the frozen environment, independent instruction closure/solvability review, and pilot-agent trace review. Capture stage dependencies, environmental preconditions, and remediation history.</w:t>
      </w:r>
    </w:p>
    <w:p>
      <w:pPr>
        <w:pStyle w:val="ListBullet"/>
        <w:spacing w:after="160" w:line="280" w:lineRule="auto"/>
        <w:ind w:left="720" w:hanging="360"/>
      </w:pPr>
      <w:r>
        <w:rPr>
          <w:rFonts w:ascii="Calibri" w:hAnsi="Calibri"/>
          <w:b w:val="0"/>
          <w:i w:val="0"/>
          <w:color w:val="111111"/>
          <w:sz w:val="22"/>
        </w:rPr>
        <w:t>Prove one long-horizon checkpoint/restart path: deliberately interrupt an episode before and after an idempotent side effect, validate that the correct state resumes exactly once, and record recovery overhead.</w:t>
      </w:r>
    </w:p>
    <w:tbl>
      <w:tblPr>
        <w:tblW w:type="dxa" w:w="9360"/>
        <w:jc w:val="left"/>
        <w:tblLayout w:type="fixed"/>
        <w:tblLook w:firstColumn="1" w:firstRow="1" w:lastColumn="0" w:lastRow="0" w:noHBand="0" w:noVBand="1" w:val="04A0"/>
        <w:tblInd w:w="120" w:type="dxa"/>
        <w:tblBorders>
          <w:top w:val="single" w:sz="0" w:space="0" w:color="EAF3EC"/>
          <w:left w:val="single" w:sz="0" w:space="0" w:color="EAF3EC"/>
          <w:bottom w:val="single" w:sz="0" w:space="0" w:color="EAF3EC"/>
          <w:right w:val="single" w:sz="0" w:space="0" w:color="EAF3EC"/>
          <w:insideH w:val="single" w:sz="0" w:space="0" w:color="EAF3EC"/>
          <w:insideV w:val="single" w:sz="0" w:space="0" w:color="EAF3EC"/>
        </w:tblBorders>
      </w:tblPr>
      <w:tblGrid>
        <w:gridCol w:w="9360"/>
      </w:tblGrid>
      <w:tr>
        <w:trPr>
          <w:cantSplit/>
        </w:trPr>
        <w:tc>
          <w:tcPr>
            <w:tcW w:type="dxa" w:w="9360"/>
            <w:tcMar>
              <w:top w:w="80" w:type="dxa"/>
              <w:start w:w="120" w:type="dxa"/>
              <w:bottom w:w="80" w:type="dxa"/>
              <w:end w:w="120" w:type="dxa"/>
            </w:tcMar>
            <w:vAlign w:val="center"/>
            <w:shd w:fill="EAF3EC"/>
          </w:tcPr>
          <w:p>
            <w:pPr>
              <w:spacing w:after="0" w:line="269" w:lineRule="auto"/>
            </w:pPr>
            <w:r>
              <w:rPr>
                <w:rFonts w:ascii="Calibri" w:hAnsi="Calibri"/>
                <w:b/>
                <w:i w:val="0"/>
                <w:color w:val="276749"/>
                <w:sz w:val="19"/>
              </w:rPr>
              <w:t xml:space="preserve">EXIT GATE  </w:t>
            </w:r>
            <w:r>
              <w:rPr>
                <w:rFonts w:ascii="Calibri" w:hAnsi="Calibri"/>
                <w:b w:val="0"/>
                <w:i w:val="0"/>
                <w:color w:val="111111"/>
                <w:sz w:val="21"/>
              </w:rPr>
              <w:t>All current golden Agentic Builder fixtures produce semantically identical findings, severities, evidence, and execution states in old and canonical reports; missing coverage becomes more visible, never less. Repeated episodes produce explainable variance, every dollar and millisecond is attributable, and reset/credential isolation pass security tests.</w:t>
            </w:r>
          </w:p>
        </w:tc>
      </w:tr>
    </w:tbl>
    <w:p>
      <w:pPr>
        <w:spacing w:after="60"/>
      </w:pPr>
    </w:p>
    <w:p>
      <w:pPr>
        <w:pStyle w:val="Heading2"/>
        <w:keepNext/>
      </w:pPr>
      <w:r>
        <w:rPr>
          <w:rFonts w:ascii="Calibri" w:hAnsi="Calibri"/>
          <w:b/>
          <w:i w:val="0"/>
          <w:color w:val="2E74B5"/>
          <w:sz w:val="26"/>
        </w:rPr>
        <w:t>Phase 0.5 — AI-assisted evaluation design and calibration</w:t>
      </w:r>
    </w:p>
    <w:p>
      <w:pPr>
        <w:keepNext w:val="0"/>
        <w:spacing w:before="0" w:after="120" w:line="264" w:lineRule="auto"/>
      </w:pPr>
      <w:r>
        <w:rPr>
          <w:rFonts w:ascii="Calibri" w:hAnsi="Calibri"/>
          <w:b w:val="0"/>
          <w:i w:val="0"/>
          <w:color w:val="111111"/>
          <w:sz w:val="22"/>
        </w:rPr>
        <w:t>Goal: make rigorous evaluation authoring accessible without allowing the authoring model to validate or promote its own work. This phase occurs before broad model search; later changes create a new evaluator version and require rescore/reconfirmation rather than silently moving the target.</w:t>
      </w:r>
    </w:p>
    <w:p>
      <w:pPr>
        <w:pStyle w:val="ListBullet"/>
        <w:spacing w:after="160" w:line="280" w:lineRule="auto"/>
        <w:ind w:left="720" w:hanging="360"/>
      </w:pPr>
      <w:r>
        <w:rPr>
          <w:rFonts w:ascii="Calibri" w:hAnsi="Calibri"/>
          <w:b w:val="0"/>
          <w:i w:val="0"/>
          <w:color w:val="111111"/>
          <w:sz w:val="22"/>
        </w:rPr>
        <w:t>Run a guided intake for task type, business/user goal, operating context, source evidence, acceptable variation, prohibited behavior, risks, latency/cost constraints, and known failures; preserve unanswered questions rather than filling them with model assumptions.</w:t>
      </w:r>
    </w:p>
    <w:p>
      <w:pPr>
        <w:pStyle w:val="ListBullet"/>
        <w:spacing w:after="160" w:line="280" w:lineRule="auto"/>
        <w:ind w:left="720" w:hanging="360"/>
      </w:pPr>
      <w:r>
        <w:rPr>
          <w:rFonts w:ascii="Calibri" w:hAnsi="Calibri"/>
          <w:b w:val="0"/>
          <w:i w:val="0"/>
          <w:color w:val="111111"/>
          <w:sz w:val="22"/>
        </w:rPr>
        <w:t>Draft normal, boundary, perturbation, adversarial, and recovery cases from approved seeds and the failure catalog. Track real versus synthetic provenance, duplicates, coverage, solvability, data rights, and whether hidden answers could leak to the target workflow.</w:t>
      </w:r>
    </w:p>
    <w:p>
      <w:pPr>
        <w:pStyle w:val="ListBullet"/>
        <w:spacing w:after="160" w:line="280" w:lineRule="auto"/>
        <w:ind w:left="720" w:hanging="360"/>
      </w:pPr>
      <w:r>
        <w:rPr>
          <w:rFonts w:ascii="Calibri" w:hAnsi="Calibri"/>
          <w:b w:val="0"/>
          <w:i w:val="0"/>
          <w:color w:val="111111"/>
          <w:sz w:val="22"/>
        </w:rPr>
        <w:t>Generate atomic deterministic/reference checks first, then dependency logic, then judge prompts and human instructions for residual ambiguity. Every judge output must cite evidence, support abstention, and use a structured schema.</w:t>
      </w:r>
    </w:p>
    <w:p>
      <w:pPr>
        <w:pStyle w:val="ListBullet"/>
        <w:spacing w:after="160" w:line="280" w:lineRule="auto"/>
        <w:ind w:left="720" w:hanging="360"/>
      </w:pPr>
      <w:r>
        <w:rPr>
          <w:rFonts w:ascii="Calibri" w:hAnsi="Calibri"/>
          <w:b w:val="0"/>
          <w:i w:val="0"/>
          <w:color w:val="111111"/>
          <w:sz w:val="22"/>
        </w:rPr>
        <w:t>Calibrate judges and scorer thresholds on human-labeled examples; measure false-pass, false-fail, position/verbosity bias, stability, subgroup error, and sensitivity to benign paraphrase. Revise on calibration only and seal the holdout before comparison runs.</w:t>
      </w:r>
    </w:p>
    <w:p>
      <w:pPr>
        <w:pStyle w:val="ListBullet"/>
        <w:spacing w:after="160" w:line="280" w:lineRule="auto"/>
        <w:ind w:left="720" w:hanging="360"/>
      </w:pPr>
      <w:r>
        <w:rPr>
          <w:rFonts w:ascii="Calibri" w:hAnsi="Calibri"/>
          <w:b w:val="0"/>
          <w:i w:val="0"/>
          <w:color w:val="111111"/>
          <w:sz w:val="22"/>
        </w:rPr>
        <w:t>Instantiate the PRD, PRD-to-code, live-transcription, and extraction/form examples as contract conformance fixtures. Record missing schema concepts, unspecified client inputs, and task-specific extensions in a completeness matrix.</w:t>
      </w:r>
    </w:p>
    <w:tbl>
      <w:tblPr>
        <w:tblW w:type="dxa" w:w="9360"/>
        <w:jc w:val="left"/>
        <w:tblLayout w:type="fixed"/>
        <w:tblLook w:firstColumn="1" w:firstRow="1" w:lastColumn="0" w:lastRow="0" w:noHBand="0" w:noVBand="1" w:val="04A0"/>
        <w:tblInd w:w="120" w:type="dxa"/>
        <w:tblBorders>
          <w:top w:val="single" w:sz="0" w:space="0" w:color="EAF3EC"/>
          <w:left w:val="single" w:sz="0" w:space="0" w:color="EAF3EC"/>
          <w:bottom w:val="single" w:sz="0" w:space="0" w:color="EAF3EC"/>
          <w:right w:val="single" w:sz="0" w:space="0" w:color="EAF3EC"/>
          <w:insideH w:val="single" w:sz="0" w:space="0" w:color="EAF3EC"/>
          <w:insideV w:val="single" w:sz="0" w:space="0" w:color="EAF3EC"/>
        </w:tblBorders>
      </w:tblPr>
      <w:tblGrid>
        <w:gridCol w:w="9360"/>
      </w:tblGrid>
      <w:tr>
        <w:trPr>
          <w:cantSplit/>
        </w:trPr>
        <w:tc>
          <w:tcPr>
            <w:tcW w:type="dxa" w:w="9360"/>
            <w:tcMar>
              <w:top w:w="80" w:type="dxa"/>
              <w:start w:w="120" w:type="dxa"/>
              <w:bottom w:w="80" w:type="dxa"/>
              <w:end w:w="120" w:type="dxa"/>
            </w:tcMar>
            <w:vAlign w:val="center"/>
            <w:shd w:fill="EAF3EC"/>
          </w:tcPr>
          <w:p>
            <w:pPr>
              <w:spacing w:after="0" w:line="269" w:lineRule="auto"/>
            </w:pPr>
            <w:r>
              <w:rPr>
                <w:rFonts w:ascii="Calibri" w:hAnsi="Calibri"/>
                <w:b/>
                <w:i w:val="0"/>
                <w:color w:val="276749"/>
                <w:sz w:val="19"/>
              </w:rPr>
              <w:t xml:space="preserve">EXIT GATE  </w:t>
            </w:r>
            <w:r>
              <w:rPr>
                <w:rFonts w:ascii="Calibri" w:hAnsi="Calibri"/>
                <w:b w:val="0"/>
                <w:i w:val="0"/>
                <w:color w:val="111111"/>
                <w:sz w:val="21"/>
              </w:rPr>
              <w:t>An authorized task/evaluation owner approves the EvalDesignSpec, failure catalog, scorer graph, judge/human instructions, dataset partitions, and release profile; all scorers have execution-coverage tests; the holdout is access-controlled and unavailable to authoring/tuning agents.</w:t>
            </w:r>
          </w:p>
        </w:tc>
      </w:tr>
    </w:tbl>
    <w:p>
      <w:pPr>
        <w:spacing w:after="60"/>
      </w:pPr>
    </w:p>
    <w:p>
      <w:pPr>
        <w:pStyle w:val="Heading2"/>
        <w:keepNext/>
      </w:pPr>
      <w:r>
        <w:rPr>
          <w:rFonts w:ascii="Calibri" w:hAnsi="Calibri"/>
          <w:b/>
          <w:i w:val="0"/>
          <w:color w:val="2E74B5"/>
          <w:sz w:val="26"/>
        </w:rPr>
        <w:t>Phase 1 — Model and workflow composition search</w:t>
      </w:r>
    </w:p>
    <w:p>
      <w:pPr>
        <w:keepNext w:val="0"/>
        <w:spacing w:before="0" w:after="120" w:line="264" w:lineRule="auto"/>
      </w:pPr>
      <w:r>
        <w:rPr>
          <w:rFonts w:ascii="Calibri" w:hAnsi="Calibri"/>
          <w:b w:val="0"/>
          <w:i w:val="0"/>
          <w:color w:val="111111"/>
          <w:sz w:val="22"/>
        </w:rPr>
        <w:t>Goal: select logical model-role combinations while holding provider/serving conditions as constant as practical.</w:t>
      </w:r>
    </w:p>
    <w:p>
      <w:pPr>
        <w:pStyle w:val="Heading3"/>
        <w:keepNext/>
      </w:pPr>
      <w:r>
        <w:rPr>
          <w:rFonts w:ascii="Calibri" w:hAnsi="Calibri"/>
          <w:b/>
          <w:i w:val="0"/>
          <w:color w:val="1F4D78"/>
          <w:sz w:val="24"/>
        </w:rPr>
        <w:t>Candidate roles</w:t>
      </w:r>
    </w:p>
    <w:p>
      <w:pPr>
        <w:pStyle w:val="ListBullet"/>
        <w:spacing w:after="160" w:line="280" w:lineRule="auto"/>
        <w:ind w:left="720" w:hanging="360"/>
      </w:pPr>
      <w:r>
        <w:rPr>
          <w:rFonts w:ascii="Calibri" w:hAnsi="Calibri"/>
          <w:b w:val="0"/>
          <w:i w:val="0"/>
          <w:color w:val="111111"/>
          <w:sz w:val="22"/>
        </w:rPr>
        <w:t>Router / task classifier: selects workflow, tools, budgets, and escalation policy.</w:t>
      </w:r>
    </w:p>
    <w:p>
      <w:pPr>
        <w:pStyle w:val="ListBullet"/>
        <w:spacing w:after="160" w:line="280" w:lineRule="auto"/>
        <w:ind w:left="720" w:hanging="360"/>
      </w:pPr>
      <w:r>
        <w:rPr>
          <w:rFonts w:ascii="Calibri" w:hAnsi="Calibri"/>
          <w:b w:val="0"/>
          <w:i w:val="0"/>
          <w:color w:val="111111"/>
          <w:sz w:val="22"/>
        </w:rPr>
        <w:t>Planner: decomposes work and identifies dependencies or information gaps.</w:t>
      </w:r>
    </w:p>
    <w:p>
      <w:pPr>
        <w:pStyle w:val="ListBullet"/>
        <w:spacing w:after="160" w:line="280" w:lineRule="auto"/>
        <w:ind w:left="720" w:hanging="360"/>
      </w:pPr>
      <w:r>
        <w:rPr>
          <w:rFonts w:ascii="Calibri" w:hAnsi="Calibri"/>
          <w:b w:val="0"/>
          <w:i w:val="0"/>
          <w:color w:val="111111"/>
          <w:sz w:val="22"/>
        </w:rPr>
        <w:t>Executor / tool selector: performs actions and interprets results.</w:t>
      </w:r>
    </w:p>
    <w:p>
      <w:pPr>
        <w:pStyle w:val="ListBullet"/>
        <w:spacing w:after="160" w:line="280" w:lineRule="auto"/>
        <w:ind w:left="720" w:hanging="360"/>
      </w:pPr>
      <w:r>
        <w:rPr>
          <w:rFonts w:ascii="Calibri" w:hAnsi="Calibri"/>
          <w:b w:val="0"/>
          <w:i w:val="0"/>
          <w:color w:val="111111"/>
          <w:sz w:val="22"/>
        </w:rPr>
        <w:t>Synthesizer: creates the final answer or artifact from verified state.</w:t>
      </w:r>
    </w:p>
    <w:p>
      <w:pPr>
        <w:pStyle w:val="ListBullet"/>
        <w:spacing w:after="160" w:line="280" w:lineRule="auto"/>
        <w:ind w:left="720" w:hanging="360"/>
      </w:pPr>
      <w:r>
        <w:rPr>
          <w:rFonts w:ascii="Calibri" w:hAnsi="Calibri"/>
          <w:b w:val="0"/>
          <w:i w:val="0"/>
          <w:color w:val="111111"/>
          <w:sz w:val="22"/>
        </w:rPr>
        <w:t>Verifier / critic: checks outcome evidence, policy, and uncertainty; can trigger repair.</w:t>
      </w:r>
    </w:p>
    <w:p>
      <w:pPr>
        <w:pStyle w:val="ListBullet"/>
        <w:spacing w:after="160" w:line="280" w:lineRule="auto"/>
        <w:ind w:left="720" w:hanging="360"/>
      </w:pPr>
      <w:r>
        <w:rPr>
          <w:rFonts w:ascii="Calibri" w:hAnsi="Calibri"/>
          <w:b w:val="0"/>
          <w:i w:val="0"/>
          <w:color w:val="111111"/>
          <w:sz w:val="22"/>
        </w:rPr>
        <w:t>Memory/context manager: compacts state and selects history or retrieved context.</w:t>
      </w:r>
    </w:p>
    <w:p>
      <w:pPr>
        <w:pStyle w:val="Heading3"/>
        <w:keepNext/>
      </w:pPr>
      <w:r>
        <w:rPr>
          <w:rFonts w:ascii="Calibri" w:hAnsi="Calibri"/>
          <w:b/>
          <w:i w:val="0"/>
          <w:color w:val="1F4D78"/>
          <w:sz w:val="24"/>
        </w:rPr>
        <w:t>When cross-step model switching is worth it</w:t>
      </w:r>
    </w:p>
    <w:p>
      <w:pPr>
        <w:keepNext w:val="0"/>
        <w:spacing w:before="0" w:after="120" w:line="264" w:lineRule="auto"/>
      </w:pPr>
      <w:r>
        <w:rPr>
          <w:rFonts w:ascii="Calibri" w:hAnsi="Calibri"/>
          <w:b w:val="0"/>
          <w:i w:val="0"/>
          <w:color w:val="111111"/>
          <w:sz w:val="22"/>
        </w:rPr>
        <w:t>Yes—when adjacent roles have materially different capability, cost, latency, context, or assurance requirements and the benefit exceeds the handoff penalty. It should remain an empirical hypothesis: short, tightly coupled, latency-sensitive workflows may perform better with one model because they preserve context and provider cache continuity.</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750"/>
        <w:gridCol w:w="2450"/>
        <w:gridCol w:w="2800"/>
        <w:gridCol w:w="2360"/>
      </w:tblGrid>
      <w:tr>
        <w:trPr>
          <w:tblHeader w:val="true"/>
          <w:cantSplit/>
        </w:trPr>
        <w:tc>
          <w:tcPr>
            <w:tcW w:type="dxa" w:w="17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Pattern</w:t>
            </w:r>
          </w:p>
        </w:tc>
        <w:tc>
          <w:tcPr>
            <w:tcW w:type="dxa" w:w="24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Best fit</w:t>
            </w:r>
          </w:p>
        </w:tc>
        <w:tc>
          <w:tcPr>
            <w:tcW w:type="dxa" w:w="28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Expected advantage</w:t>
            </w:r>
          </w:p>
        </w:tc>
        <w:tc>
          <w:tcPr>
            <w:tcW w:type="dxa" w:w="236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Primary switching cost</w:t>
            </w:r>
          </w:p>
        </w:tc>
      </w:tr>
      <w:tr>
        <w:trPr>
          <w:cantSplit/>
        </w:trPr>
        <w:tc>
          <w:tcPr>
            <w:tcW w:type="dxa" w:w="1750"/>
            <w:tcMar>
              <w:top w:w="80" w:type="dxa"/>
              <w:start w:w="120" w:type="dxa"/>
              <w:bottom w:w="80" w:type="dxa"/>
              <w:end w:w="120" w:type="dxa"/>
            </w:tcMar>
            <w:vAlign w:val="center"/>
          </w:tcPr>
          <w:p>
            <w:pPr>
              <w:spacing w:after="0" w:line="257" w:lineRule="auto"/>
            </w:pPr>
            <w:r>
              <w:rPr>
                <w:rFonts w:ascii="Calibri" w:hAnsi="Calibri"/>
                <w:b w:val="0"/>
                <w:i w:val="0"/>
                <w:color w:val="111111"/>
                <w:sz w:val="16"/>
              </w:rPr>
              <w:t>Strong planner → economical executor</w:t>
            </w:r>
          </w:p>
        </w:tc>
        <w:tc>
          <w:tcPr>
            <w:tcW w:type="dxa" w:w="2450"/>
            <w:tcMar>
              <w:top w:w="80" w:type="dxa"/>
              <w:start w:w="120" w:type="dxa"/>
              <w:bottom w:w="80" w:type="dxa"/>
              <w:end w:w="120" w:type="dxa"/>
            </w:tcMar>
            <w:vAlign w:val="center"/>
          </w:tcPr>
          <w:p>
            <w:pPr>
              <w:spacing w:after="0" w:line="257" w:lineRule="auto"/>
            </w:pPr>
            <w:r>
              <w:rPr>
                <w:rFonts w:ascii="Calibri" w:hAnsi="Calibri"/>
                <w:b w:val="0"/>
                <w:i w:val="0"/>
                <w:color w:val="111111"/>
                <w:sz w:val="16"/>
              </w:rPr>
              <w:t>Long-horizon or dependency-heavy tasks with many routine actions.</w:t>
            </w:r>
          </w:p>
        </w:tc>
        <w:tc>
          <w:tcPr>
            <w:tcW w:type="dxa" w:w="2800"/>
            <w:tcMar>
              <w:top w:w="80" w:type="dxa"/>
              <w:start w:w="120" w:type="dxa"/>
              <w:bottom w:w="80" w:type="dxa"/>
              <w:end w:w="120" w:type="dxa"/>
            </w:tcMar>
            <w:vAlign w:val="center"/>
          </w:tcPr>
          <w:p>
            <w:pPr>
              <w:spacing w:after="0" w:line="257" w:lineRule="auto"/>
            </w:pPr>
            <w:r>
              <w:rPr>
                <w:rFonts w:ascii="Calibri" w:hAnsi="Calibri"/>
                <w:b w:val="0"/>
                <w:i w:val="0"/>
                <w:color w:val="111111"/>
                <w:sz w:val="16"/>
              </w:rPr>
              <w:t>Spend on decomposition once; make repeated execution cheaper.</w:t>
            </w:r>
          </w:p>
        </w:tc>
        <w:tc>
          <w:tcPr>
            <w:tcW w:type="dxa" w:w="2360"/>
            <w:tcMar>
              <w:top w:w="80" w:type="dxa"/>
              <w:start w:w="120" w:type="dxa"/>
              <w:bottom w:w="80" w:type="dxa"/>
              <w:end w:w="120" w:type="dxa"/>
            </w:tcMar>
            <w:vAlign w:val="center"/>
          </w:tcPr>
          <w:p>
            <w:pPr>
              <w:spacing w:after="0" w:line="257" w:lineRule="auto"/>
            </w:pPr>
            <w:r>
              <w:rPr>
                <w:rFonts w:ascii="Calibri" w:hAnsi="Calibri"/>
                <w:b w:val="0"/>
                <w:i w:val="0"/>
                <w:color w:val="111111"/>
                <w:sz w:val="16"/>
              </w:rPr>
              <w:t>State serialization and executor misinterpretation.</w:t>
            </w:r>
          </w:p>
        </w:tc>
      </w:tr>
      <w:tr>
        <w:trPr>
          <w:cantSplit/>
        </w:trPr>
        <w:tc>
          <w:tcPr>
            <w:tcW w:type="dxa" w:w="1750"/>
            <w:tcMar>
              <w:top w:w="80" w:type="dxa"/>
              <w:start w:w="120" w:type="dxa"/>
              <w:bottom w:w="80" w:type="dxa"/>
              <w:end w:w="120" w:type="dxa"/>
            </w:tcMar>
            <w:vAlign w:val="center"/>
          </w:tcPr>
          <w:p>
            <w:pPr>
              <w:spacing w:after="0" w:line="257" w:lineRule="auto"/>
            </w:pPr>
            <w:r>
              <w:rPr>
                <w:rFonts w:ascii="Calibri" w:hAnsi="Calibri"/>
                <w:b w:val="0"/>
                <w:i w:val="0"/>
                <w:color w:val="111111"/>
                <w:sz w:val="16"/>
              </w:rPr>
              <w:t>Economical executor → verifier on demand</w:t>
            </w:r>
          </w:p>
        </w:tc>
        <w:tc>
          <w:tcPr>
            <w:tcW w:type="dxa" w:w="2450"/>
            <w:tcMar>
              <w:top w:w="80" w:type="dxa"/>
              <w:start w:w="120" w:type="dxa"/>
              <w:bottom w:w="80" w:type="dxa"/>
              <w:end w:w="120" w:type="dxa"/>
            </w:tcMar>
            <w:vAlign w:val="center"/>
          </w:tcPr>
          <w:p>
            <w:pPr>
              <w:spacing w:after="0" w:line="257" w:lineRule="auto"/>
            </w:pPr>
            <w:r>
              <w:rPr>
                <w:rFonts w:ascii="Calibri" w:hAnsi="Calibri"/>
                <w:b w:val="0"/>
                <w:i w:val="0"/>
                <w:color w:val="111111"/>
                <w:sz w:val="16"/>
              </w:rPr>
              <w:t>Mostly routine work with rare, high-impact errors.</w:t>
            </w:r>
          </w:p>
        </w:tc>
        <w:tc>
          <w:tcPr>
            <w:tcW w:type="dxa" w:w="2800"/>
            <w:tcMar>
              <w:top w:w="80" w:type="dxa"/>
              <w:start w:w="120" w:type="dxa"/>
              <w:bottom w:w="80" w:type="dxa"/>
              <w:end w:w="120" w:type="dxa"/>
            </w:tcMar>
            <w:vAlign w:val="center"/>
          </w:tcPr>
          <w:p>
            <w:pPr>
              <w:spacing w:after="0" w:line="257" w:lineRule="auto"/>
            </w:pPr>
            <w:r>
              <w:rPr>
                <w:rFonts w:ascii="Calibri" w:hAnsi="Calibri"/>
                <w:b w:val="0"/>
                <w:i w:val="0"/>
                <w:color w:val="111111"/>
                <w:sz w:val="16"/>
              </w:rPr>
              <w:t>Reserve expensive assurance for uncertain or risky cases.</w:t>
            </w:r>
          </w:p>
        </w:tc>
        <w:tc>
          <w:tcPr>
            <w:tcW w:type="dxa" w:w="2360"/>
            <w:tcMar>
              <w:top w:w="80" w:type="dxa"/>
              <w:start w:w="120" w:type="dxa"/>
              <w:bottom w:w="80" w:type="dxa"/>
              <w:end w:w="120" w:type="dxa"/>
            </w:tcMar>
            <w:vAlign w:val="center"/>
          </w:tcPr>
          <w:p>
            <w:pPr>
              <w:spacing w:after="0" w:line="257" w:lineRule="auto"/>
            </w:pPr>
            <w:r>
              <w:rPr>
                <w:rFonts w:ascii="Calibri" w:hAnsi="Calibri"/>
                <w:b w:val="0"/>
                <w:i w:val="0"/>
                <w:color w:val="111111"/>
                <w:sz w:val="16"/>
              </w:rPr>
              <w:t>Verifier latency and duplicated context.</w:t>
            </w:r>
          </w:p>
        </w:tc>
      </w:tr>
      <w:tr>
        <w:trPr>
          <w:cantSplit/>
        </w:trPr>
        <w:tc>
          <w:tcPr>
            <w:tcW w:type="dxa" w:w="1750"/>
            <w:tcMar>
              <w:top w:w="80" w:type="dxa"/>
              <w:start w:w="120" w:type="dxa"/>
              <w:bottom w:w="80" w:type="dxa"/>
              <w:end w:w="120" w:type="dxa"/>
            </w:tcMar>
            <w:vAlign w:val="center"/>
          </w:tcPr>
          <w:p>
            <w:pPr>
              <w:spacing w:after="0" w:line="257" w:lineRule="auto"/>
            </w:pPr>
            <w:r>
              <w:rPr>
                <w:rFonts w:ascii="Calibri" w:hAnsi="Calibri"/>
                <w:b w:val="0"/>
                <w:i w:val="0"/>
                <w:color w:val="111111"/>
                <w:sz w:val="16"/>
              </w:rPr>
              <w:t>Specialist by modality or tool</w:t>
            </w:r>
          </w:p>
        </w:tc>
        <w:tc>
          <w:tcPr>
            <w:tcW w:type="dxa" w:w="2450"/>
            <w:tcMar>
              <w:top w:w="80" w:type="dxa"/>
              <w:start w:w="120" w:type="dxa"/>
              <w:bottom w:w="80" w:type="dxa"/>
              <w:end w:w="120" w:type="dxa"/>
            </w:tcMar>
            <w:vAlign w:val="center"/>
          </w:tcPr>
          <w:p>
            <w:pPr>
              <w:spacing w:after="0" w:line="257" w:lineRule="auto"/>
            </w:pPr>
            <w:r>
              <w:rPr>
                <w:rFonts w:ascii="Calibri" w:hAnsi="Calibri"/>
                <w:b w:val="0"/>
                <w:i w:val="0"/>
                <w:color w:val="111111"/>
                <w:sz w:val="16"/>
              </w:rPr>
              <w:t>Vision, code, long-context, structured-output, or domain-specific steps.</w:t>
            </w:r>
          </w:p>
        </w:tc>
        <w:tc>
          <w:tcPr>
            <w:tcW w:type="dxa" w:w="2800"/>
            <w:tcMar>
              <w:top w:w="80" w:type="dxa"/>
              <w:start w:w="120" w:type="dxa"/>
              <w:bottom w:w="80" w:type="dxa"/>
              <w:end w:w="120" w:type="dxa"/>
            </w:tcMar>
            <w:vAlign w:val="center"/>
          </w:tcPr>
          <w:p>
            <w:pPr>
              <w:spacing w:after="0" w:line="257" w:lineRule="auto"/>
            </w:pPr>
            <w:r>
              <w:rPr>
                <w:rFonts w:ascii="Calibri" w:hAnsi="Calibri"/>
                <w:b w:val="0"/>
                <w:i w:val="0"/>
                <w:color w:val="111111"/>
                <w:sz w:val="16"/>
              </w:rPr>
              <w:t>Route each step to a model with the required capability.</w:t>
            </w:r>
          </w:p>
        </w:tc>
        <w:tc>
          <w:tcPr>
            <w:tcW w:type="dxa" w:w="2360"/>
            <w:tcMar>
              <w:top w:w="80" w:type="dxa"/>
              <w:start w:w="120" w:type="dxa"/>
              <w:bottom w:w="80" w:type="dxa"/>
              <w:end w:w="120" w:type="dxa"/>
            </w:tcMar>
            <w:vAlign w:val="center"/>
          </w:tcPr>
          <w:p>
            <w:pPr>
              <w:spacing w:after="0" w:line="257" w:lineRule="auto"/>
            </w:pPr>
            <w:r>
              <w:rPr>
                <w:rFonts w:ascii="Calibri" w:hAnsi="Calibri"/>
                <w:b w:val="0"/>
                <w:i w:val="0"/>
                <w:color w:val="111111"/>
                <w:sz w:val="16"/>
              </w:rPr>
              <w:t>Format conversion and capability mismatch.</w:t>
            </w:r>
          </w:p>
        </w:tc>
      </w:tr>
      <w:tr>
        <w:trPr>
          <w:cantSplit/>
        </w:trPr>
        <w:tc>
          <w:tcPr>
            <w:tcW w:type="dxa" w:w="1750"/>
            <w:tcMar>
              <w:top w:w="80" w:type="dxa"/>
              <w:start w:w="120" w:type="dxa"/>
              <w:bottom w:w="80" w:type="dxa"/>
              <w:end w:w="120" w:type="dxa"/>
            </w:tcMar>
            <w:vAlign w:val="center"/>
          </w:tcPr>
          <w:p>
            <w:pPr>
              <w:spacing w:after="0" w:line="257" w:lineRule="auto"/>
            </w:pPr>
            <w:r>
              <w:rPr>
                <w:rFonts w:ascii="Calibri" w:hAnsi="Calibri"/>
                <w:b w:val="0"/>
                <w:i w:val="0"/>
                <w:color w:val="111111"/>
                <w:sz w:val="16"/>
              </w:rPr>
              <w:t>Gatherer → synthesizer/editor</w:t>
            </w:r>
          </w:p>
        </w:tc>
        <w:tc>
          <w:tcPr>
            <w:tcW w:type="dxa" w:w="2450"/>
            <w:tcMar>
              <w:top w:w="80" w:type="dxa"/>
              <w:start w:w="120" w:type="dxa"/>
              <w:bottom w:w="80" w:type="dxa"/>
              <w:end w:w="120" w:type="dxa"/>
            </w:tcMar>
            <w:vAlign w:val="center"/>
          </w:tcPr>
          <w:p>
            <w:pPr>
              <w:spacing w:after="0" w:line="257" w:lineRule="auto"/>
            </w:pPr>
            <w:r>
              <w:rPr>
                <w:rFonts w:ascii="Calibri" w:hAnsi="Calibri"/>
                <w:b w:val="0"/>
                <w:i w:val="0"/>
                <w:color w:val="111111"/>
                <w:sz w:val="16"/>
              </w:rPr>
              <w:t>Research or artifact workflows with broad evidence collection.</w:t>
            </w:r>
          </w:p>
        </w:tc>
        <w:tc>
          <w:tcPr>
            <w:tcW w:type="dxa" w:w="2800"/>
            <w:tcMar>
              <w:top w:w="80" w:type="dxa"/>
              <w:start w:w="120" w:type="dxa"/>
              <w:bottom w:w="80" w:type="dxa"/>
              <w:end w:w="120" w:type="dxa"/>
            </w:tcMar>
            <w:vAlign w:val="center"/>
          </w:tcPr>
          <w:p>
            <w:pPr>
              <w:spacing w:after="0" w:line="257" w:lineRule="auto"/>
            </w:pPr>
            <w:r>
              <w:rPr>
                <w:rFonts w:ascii="Calibri" w:hAnsi="Calibri"/>
                <w:b w:val="0"/>
                <w:i w:val="0"/>
                <w:color w:val="111111"/>
                <w:sz w:val="16"/>
              </w:rPr>
              <w:t>Cheap collection plus stronger final coherence and judgment.</w:t>
            </w:r>
          </w:p>
        </w:tc>
        <w:tc>
          <w:tcPr>
            <w:tcW w:type="dxa" w:w="2360"/>
            <w:tcMar>
              <w:top w:w="80" w:type="dxa"/>
              <w:start w:w="120" w:type="dxa"/>
              <w:bottom w:w="80" w:type="dxa"/>
              <w:end w:w="120" w:type="dxa"/>
            </w:tcMar>
            <w:vAlign w:val="center"/>
          </w:tcPr>
          <w:p>
            <w:pPr>
              <w:spacing w:after="0" w:line="257" w:lineRule="auto"/>
            </w:pPr>
            <w:r>
              <w:rPr>
                <w:rFonts w:ascii="Calibri" w:hAnsi="Calibri"/>
                <w:b w:val="0"/>
                <w:i w:val="0"/>
                <w:color w:val="111111"/>
                <w:sz w:val="16"/>
              </w:rPr>
              <w:t>Compression loss and repeated reading.</w:t>
            </w:r>
          </w:p>
        </w:tc>
      </w:tr>
      <w:tr>
        <w:trPr>
          <w:cantSplit/>
        </w:trPr>
        <w:tc>
          <w:tcPr>
            <w:tcW w:type="dxa" w:w="1750"/>
            <w:tcMar>
              <w:top w:w="80" w:type="dxa"/>
              <w:start w:w="120" w:type="dxa"/>
              <w:bottom w:w="80" w:type="dxa"/>
              <w:end w:w="120" w:type="dxa"/>
            </w:tcMar>
            <w:vAlign w:val="center"/>
          </w:tcPr>
          <w:p>
            <w:pPr>
              <w:spacing w:after="0" w:line="257" w:lineRule="auto"/>
            </w:pPr>
            <w:r>
              <w:rPr>
                <w:rFonts w:ascii="Calibri" w:hAnsi="Calibri"/>
                <w:b w:val="0"/>
                <w:i w:val="0"/>
                <w:color w:val="111111"/>
                <w:sz w:val="16"/>
              </w:rPr>
              <w:t>Primary → fallback/escalation</w:t>
            </w:r>
          </w:p>
        </w:tc>
        <w:tc>
          <w:tcPr>
            <w:tcW w:type="dxa" w:w="2450"/>
            <w:tcMar>
              <w:top w:w="80" w:type="dxa"/>
              <w:start w:w="120" w:type="dxa"/>
              <w:bottom w:w="80" w:type="dxa"/>
              <w:end w:w="120" w:type="dxa"/>
            </w:tcMar>
            <w:vAlign w:val="center"/>
          </w:tcPr>
          <w:p>
            <w:pPr>
              <w:spacing w:after="0" w:line="257" w:lineRule="auto"/>
            </w:pPr>
            <w:r>
              <w:rPr>
                <w:rFonts w:ascii="Calibri" w:hAnsi="Calibri"/>
                <w:b w:val="0"/>
                <w:i w:val="0"/>
                <w:color w:val="111111"/>
                <w:sz w:val="16"/>
              </w:rPr>
              <w:t>Timeouts, rate limits, low confidence, or policy-sensitive branches.</w:t>
            </w:r>
          </w:p>
        </w:tc>
        <w:tc>
          <w:tcPr>
            <w:tcW w:type="dxa" w:w="2800"/>
            <w:tcMar>
              <w:top w:w="80" w:type="dxa"/>
              <w:start w:w="120" w:type="dxa"/>
              <w:bottom w:w="80" w:type="dxa"/>
              <w:end w:w="120" w:type="dxa"/>
            </w:tcMar>
            <w:vAlign w:val="center"/>
          </w:tcPr>
          <w:p>
            <w:pPr>
              <w:spacing w:after="0" w:line="257" w:lineRule="auto"/>
            </w:pPr>
            <w:r>
              <w:rPr>
                <w:rFonts w:ascii="Calibri" w:hAnsi="Calibri"/>
                <w:b w:val="0"/>
                <w:i w:val="0"/>
                <w:color w:val="111111"/>
                <w:sz w:val="16"/>
              </w:rPr>
              <w:t>Resilience and graceful quality scaling.</w:t>
            </w:r>
          </w:p>
        </w:tc>
        <w:tc>
          <w:tcPr>
            <w:tcW w:type="dxa" w:w="2360"/>
            <w:tcMar>
              <w:top w:w="80" w:type="dxa"/>
              <w:start w:w="120" w:type="dxa"/>
              <w:bottom w:w="80" w:type="dxa"/>
              <w:end w:w="120" w:type="dxa"/>
            </w:tcMar>
            <w:vAlign w:val="center"/>
          </w:tcPr>
          <w:p>
            <w:pPr>
              <w:spacing w:after="0" w:line="257" w:lineRule="auto"/>
            </w:pPr>
            <w:r>
              <w:rPr>
                <w:rFonts w:ascii="Calibri" w:hAnsi="Calibri"/>
                <w:b w:val="0"/>
                <w:i w:val="0"/>
                <w:color w:val="111111"/>
                <w:sz w:val="16"/>
              </w:rPr>
              <w:t>Cache discontinuity and behavior drift.</w:t>
            </w:r>
          </w:p>
        </w:tc>
      </w:tr>
      <w:tr>
        <w:trPr>
          <w:cantSplit/>
        </w:trPr>
        <w:tc>
          <w:tcPr>
            <w:tcW w:type="dxa" w:w="1750"/>
            <w:tcMar>
              <w:top w:w="80" w:type="dxa"/>
              <w:start w:w="120" w:type="dxa"/>
              <w:bottom w:w="80" w:type="dxa"/>
              <w:end w:w="120" w:type="dxa"/>
            </w:tcMar>
            <w:vAlign w:val="center"/>
          </w:tcPr>
          <w:p>
            <w:pPr>
              <w:spacing w:after="0" w:line="257" w:lineRule="auto"/>
            </w:pPr>
            <w:r>
              <w:rPr>
                <w:rFonts w:ascii="Calibri" w:hAnsi="Calibri"/>
                <w:b w:val="0"/>
                <w:i w:val="0"/>
                <w:color w:val="111111"/>
                <w:sz w:val="16"/>
              </w:rPr>
              <w:t>Same model throughout — control</w:t>
            </w:r>
          </w:p>
        </w:tc>
        <w:tc>
          <w:tcPr>
            <w:tcW w:type="dxa" w:w="2450"/>
            <w:tcMar>
              <w:top w:w="80" w:type="dxa"/>
              <w:start w:w="120" w:type="dxa"/>
              <w:bottom w:w="80" w:type="dxa"/>
              <w:end w:w="120" w:type="dxa"/>
            </w:tcMar>
            <w:vAlign w:val="center"/>
          </w:tcPr>
          <w:p>
            <w:pPr>
              <w:spacing w:after="0" w:line="257" w:lineRule="auto"/>
            </w:pPr>
            <w:r>
              <w:rPr>
                <w:rFonts w:ascii="Calibri" w:hAnsi="Calibri"/>
                <w:b w:val="0"/>
                <w:i w:val="0"/>
                <w:color w:val="111111"/>
                <w:sz w:val="16"/>
              </w:rPr>
              <w:t>Short, context-coupled, or strict-latency workflows.</w:t>
            </w:r>
          </w:p>
        </w:tc>
        <w:tc>
          <w:tcPr>
            <w:tcW w:type="dxa" w:w="2800"/>
            <w:tcMar>
              <w:top w:w="80" w:type="dxa"/>
              <w:start w:w="120" w:type="dxa"/>
              <w:bottom w:w="80" w:type="dxa"/>
              <w:end w:w="120" w:type="dxa"/>
            </w:tcMar>
            <w:vAlign w:val="center"/>
          </w:tcPr>
          <w:p>
            <w:pPr>
              <w:spacing w:after="0" w:line="257" w:lineRule="auto"/>
            </w:pPr>
            <w:r>
              <w:rPr>
                <w:rFonts w:ascii="Calibri" w:hAnsi="Calibri"/>
                <w:b w:val="0"/>
                <w:i w:val="0"/>
                <w:color w:val="111111"/>
                <w:sz w:val="16"/>
              </w:rPr>
              <w:t>Avoid handoff, extra request, and cache penalties.</w:t>
            </w:r>
          </w:p>
        </w:tc>
        <w:tc>
          <w:tcPr>
            <w:tcW w:type="dxa" w:w="2360"/>
            <w:tcMar>
              <w:top w:w="80" w:type="dxa"/>
              <w:start w:w="120" w:type="dxa"/>
              <w:bottom w:w="80" w:type="dxa"/>
              <w:end w:w="120" w:type="dxa"/>
            </w:tcMar>
            <w:vAlign w:val="center"/>
          </w:tcPr>
          <w:p>
            <w:pPr>
              <w:spacing w:after="0" w:line="257" w:lineRule="auto"/>
            </w:pPr>
            <w:r>
              <w:rPr>
                <w:rFonts w:ascii="Calibri" w:hAnsi="Calibri"/>
                <w:b w:val="0"/>
                <w:i w:val="0"/>
                <w:color w:val="111111"/>
                <w:sz w:val="16"/>
              </w:rPr>
              <w:t>May overpay or underperform on heterogeneous roles.</w:t>
            </w:r>
          </w:p>
        </w:tc>
      </w:tr>
    </w:tbl>
    <w:p>
      <w:pPr>
        <w:spacing w:after="40"/>
      </w:pPr>
    </w:p>
    <w:p>
      <w:pPr>
        <w:pStyle w:val="Heading3"/>
        <w:keepNext/>
      </w:pPr>
      <w:r>
        <w:rPr>
          <w:rFonts w:ascii="Calibri" w:hAnsi="Calibri"/>
          <w:b/>
          <w:i w:val="0"/>
          <w:color w:val="1F4D78"/>
          <w:sz w:val="24"/>
        </w:rPr>
        <w:t>Handoff contract and switching guardrails</w:t>
      </w:r>
    </w:p>
    <w:p>
      <w:pPr>
        <w:pStyle w:val="ListBullet"/>
        <w:spacing w:after="160" w:line="280" w:lineRule="auto"/>
        <w:ind w:left="720" w:hanging="360"/>
      </w:pPr>
      <w:r>
        <w:rPr>
          <w:rFonts w:ascii="Calibri" w:hAnsi="Calibri"/>
          <w:b w:val="0"/>
          <w:i w:val="0"/>
          <w:color w:val="111111"/>
          <w:sz w:val="22"/>
        </w:rPr>
        <w:t>Externalize only task-relevant state in a canonical StepResult: objective, completed actions, verified evidence/artifact references, environment version, open questions, uncertainty, and next permitted actions. Never depend on hidden chain-of-thought crossing the boundary.</w:t>
      </w:r>
    </w:p>
    <w:p>
      <w:pPr>
        <w:pStyle w:val="ListBullet"/>
        <w:spacing w:after="160" w:line="280" w:lineRule="auto"/>
        <w:ind w:left="720" w:hanging="360"/>
      </w:pPr>
      <w:r>
        <w:rPr>
          <w:rFonts w:ascii="Calibri" w:hAnsi="Calibri"/>
          <w:b w:val="0"/>
          <w:i w:val="0"/>
          <w:color w:val="111111"/>
          <w:sz w:val="22"/>
        </w:rPr>
        <w:t>Validate schema, permissions, idempotency, and context completeness at every boundary. The receiving model must be able to continue from the handoff plus referenced artifacts, and the evaluator must be able to replay the boundary.</w:t>
      </w:r>
    </w:p>
    <w:p>
      <w:pPr>
        <w:pStyle w:val="ListBullet"/>
        <w:spacing w:after="160" w:line="280" w:lineRule="auto"/>
        <w:ind w:left="720" w:hanging="360"/>
      </w:pPr>
      <w:r>
        <w:rPr>
          <w:rFonts w:ascii="Calibri" w:hAnsi="Calibri"/>
          <w:b w:val="0"/>
          <w:i w:val="0"/>
          <w:color w:val="111111"/>
          <w:sz w:val="22"/>
        </w:rPr>
        <w:t>Retain raw native outputs for audit, but pass the minimum verified state needed downstream. This reduces context duplication and limits error propagation.</w:t>
      </w:r>
    </w:p>
    <w:p>
      <w:pPr>
        <w:pStyle w:val="ListBullet"/>
        <w:spacing w:after="160" w:line="280" w:lineRule="auto"/>
        <w:ind w:left="720" w:hanging="360"/>
      </w:pPr>
      <w:r>
        <w:rPr>
          <w:rFonts w:ascii="Calibri" w:hAnsi="Calibri"/>
          <w:b w:val="0"/>
          <w:i w:val="0"/>
          <w:color w:val="111111"/>
          <w:sz w:val="22"/>
        </w:rPr>
        <w:t>Make routing explicit: fixed role binding, capability rule, uncertainty threshold, risk escalation, or budget/latency mode. Log the rule, candidate set, selected model/deployment, confidence, and reason.</w:t>
      </w:r>
    </w:p>
    <w:p>
      <w:pPr>
        <w:pStyle w:val="ListBullet"/>
        <w:spacing w:after="160" w:line="280" w:lineRule="auto"/>
        <w:ind w:left="720" w:hanging="360"/>
      </w:pPr>
      <w:r>
        <w:rPr>
          <w:rFonts w:ascii="Calibri" w:hAnsi="Calibri"/>
          <w:b w:val="0"/>
          <w:i w:val="0"/>
          <w:color w:val="111111"/>
          <w:sz w:val="22"/>
        </w:rPr>
        <w:t>Assume a model or provider switch breaks provider prefix/KV cache continuity unless measured otherwise. Charge reserialized schemas, repeated context tokens, queue time, TTFT, and added requests to the switching policy.</w:t>
      </w:r>
    </w:p>
    <w:p>
      <w:pPr>
        <w:pStyle w:val="ListBullet"/>
        <w:spacing w:after="160" w:line="280" w:lineRule="auto"/>
        <w:ind w:left="720" w:hanging="360"/>
      </w:pPr>
      <w:r>
        <w:rPr>
          <w:rFonts w:ascii="Calibri" w:hAnsi="Calibri"/>
          <w:b w:val="0"/>
          <w:i w:val="0"/>
          <w:color w:val="111111"/>
          <w:sz w:val="22"/>
        </w:rPr>
        <w:t>Stay on the current model unless the estimated quality, cost, latency, or assurance gain exceeds the switch cost; cap model hops and define deterministic fallback behavior.</w:t>
      </w:r>
    </w:p>
    <w:p>
      <w:pPr>
        <w:pStyle w:val="Heading3"/>
        <w:keepNext/>
      </w:pPr>
      <w:r>
        <w:rPr>
          <w:rFonts w:ascii="Calibri" w:hAnsi="Calibri"/>
          <w:b/>
          <w:i w:val="0"/>
          <w:color w:val="1F4D78"/>
          <w:sz w:val="24"/>
        </w:rPr>
        <w:t>Search protocol</w:t>
      </w:r>
    </w:p>
    <w:p>
      <w:pPr>
        <w:pStyle w:val="ListNumber"/>
        <w:numPr>
          <w:ilvl w:val="0"/>
          <w:numId w:val="14"/>
        </w:numPr>
        <w:spacing w:after="160" w:line="280" w:lineRule="auto"/>
        <w:ind w:left="720" w:hanging="360"/>
      </w:pPr>
      <w:r>
        <w:rPr>
          <w:rFonts w:ascii="Calibri" w:hAnsi="Calibri"/>
          <w:b w:val="0"/>
          <w:i w:val="0"/>
          <w:color w:val="111111"/>
          <w:sz w:val="22"/>
        </w:rPr>
        <w:t>Start with three topologies: single-model baseline; strong planner + economical executor; economical router/executor + verifier-on-demand.</w:t>
      </w:r>
    </w:p>
    <w:p>
      <w:pPr>
        <w:pStyle w:val="ListNumber"/>
        <w:numPr>
          <w:ilvl w:val="0"/>
          <w:numId w:val="14"/>
        </w:numPr>
        <w:spacing w:after="160" w:line="280" w:lineRule="auto"/>
        <w:ind w:left="720" w:hanging="360"/>
      </w:pPr>
      <w:r>
        <w:rPr>
          <w:rFonts w:ascii="Calibri" w:hAnsi="Calibri"/>
          <w:b w:val="0"/>
          <w:i w:val="0"/>
          <w:color w:val="111111"/>
          <w:sz w:val="22"/>
        </w:rPr>
        <w:t>Swap one role at a time against the same-model baseline, then test selected interactions. Compare fixed role bindings with adaptive switching; do not infer a role effect from a topology in which every role changed.</w:t>
      </w:r>
    </w:p>
    <w:p>
      <w:pPr>
        <w:pStyle w:val="ListNumber"/>
        <w:numPr>
          <w:ilvl w:val="0"/>
          <w:numId w:val="14"/>
        </w:numPr>
        <w:spacing w:after="160" w:line="280" w:lineRule="auto"/>
        <w:ind w:left="720" w:hanging="360"/>
      </w:pPr>
      <w:r>
        <w:rPr>
          <w:rFonts w:ascii="Calibri" w:hAnsi="Calibri"/>
          <w:b w:val="0"/>
          <w:i w:val="0"/>
          <w:color w:val="111111"/>
          <w:sz w:val="22"/>
        </w:rPr>
        <w:t>Run a one-attempt smoke screen on a balanced subset. Reject invalid capability combinations and gross failures early.</w:t>
      </w:r>
    </w:p>
    <w:p>
      <w:pPr>
        <w:pStyle w:val="ListNumber"/>
        <w:numPr>
          <w:ilvl w:val="0"/>
          <w:numId w:val="14"/>
        </w:numPr>
        <w:spacing w:after="160" w:line="280" w:lineRule="auto"/>
        <w:ind w:left="720" w:hanging="360"/>
      </w:pPr>
      <w:r>
        <w:rPr>
          <w:rFonts w:ascii="Calibri" w:hAnsi="Calibri"/>
          <w:b w:val="0"/>
          <w:i w:val="0"/>
          <w:color w:val="111111"/>
          <w:sz w:val="22"/>
        </w:rPr>
        <w:t>Use fractional factorial or orthogonal designs to estimate main effects and important interactions—especially planner × executor and executor × verifier—without running the full Cartesian product.</w:t>
      </w:r>
    </w:p>
    <w:p>
      <w:pPr>
        <w:pStyle w:val="ListNumber"/>
        <w:numPr>
          <w:ilvl w:val="0"/>
          <w:numId w:val="14"/>
        </w:numPr>
        <w:spacing w:after="160" w:line="280" w:lineRule="auto"/>
        <w:ind w:left="720" w:hanging="360"/>
      </w:pPr>
      <w:r>
        <w:rPr>
          <w:rFonts w:ascii="Calibri" w:hAnsi="Calibri"/>
          <w:b w:val="0"/>
          <w:i w:val="0"/>
          <w:color w:val="111111"/>
          <w:sz w:val="22"/>
        </w:rPr>
        <w:t xml:space="preserve">Apply successive halving/ASHA to allocate more tasks and repetitions to promising configurations; </w:t>
      </w:r>
      <w:hyperlink r:id="rId33">
        <w:r>
          <w:rPr>
            <w:rFonts w:ascii="Calibri" w:hAnsi="Calibri"/>
            <w:color w:val="2E74B5"/>
            <w:u w:val="single"/>
            <w:sz w:val="22"/>
            <w:szCs w:val="22"/>
          </w:rPr>
          <w:t>Ray Tune</w:t>
        </w:r>
      </w:hyperlink>
      <w:r>
        <w:rPr>
          <w:rFonts w:ascii="Calibri" w:hAnsi="Calibri"/>
          <w:b w:val="0"/>
          <w:i w:val="0"/>
          <w:color w:val="111111"/>
          <w:sz w:val="22"/>
        </w:rPr>
        <w:t xml:space="preserve"> supports early-terminating trial schedulers such as ASHA.</w:t>
      </w:r>
    </w:p>
    <w:p>
      <w:pPr>
        <w:pStyle w:val="ListNumber"/>
        <w:numPr>
          <w:ilvl w:val="0"/>
          <w:numId w:val="14"/>
        </w:numPr>
        <w:spacing w:after="160" w:line="280" w:lineRule="auto"/>
        <w:ind w:left="720" w:hanging="360"/>
      </w:pPr>
      <w:r>
        <w:rPr>
          <w:rFonts w:ascii="Calibri" w:hAnsi="Calibri"/>
          <w:b w:val="0"/>
          <w:i w:val="0"/>
          <w:color w:val="111111"/>
          <w:sz w:val="22"/>
        </w:rPr>
        <w:t>Run finalists on the complete validation suite with repeated paired task/seed blocks. Estimate confidence intervals using task-level clustered bootstrap and use paired tests for candidate deltas.</w:t>
      </w:r>
    </w:p>
    <w:p>
      <w:pPr>
        <w:pStyle w:val="ListNumber"/>
        <w:numPr>
          <w:ilvl w:val="0"/>
          <w:numId w:val="14"/>
        </w:numPr>
        <w:spacing w:after="160" w:line="280" w:lineRule="auto"/>
        <w:ind w:left="720" w:hanging="360"/>
      </w:pPr>
      <w:r>
        <w:rPr>
          <w:rFonts w:ascii="Calibri" w:hAnsi="Calibri"/>
          <w:b w:val="0"/>
          <w:i w:val="0"/>
          <w:color w:val="111111"/>
          <w:sz w:val="22"/>
        </w:rPr>
        <w:t>Run ablations: remove planner, verifier, memory compression, tool search, or escalation to attribute gains and expose unnecessary complexity.</w:t>
      </w:r>
    </w:p>
    <w:p>
      <w:pPr>
        <w:pStyle w:val="ListNumber"/>
        <w:numPr>
          <w:ilvl w:val="0"/>
          <w:numId w:val="14"/>
        </w:numPr>
        <w:spacing w:after="160" w:line="280" w:lineRule="auto"/>
        <w:ind w:left="720" w:hanging="360"/>
      </w:pPr>
      <w:r>
        <w:rPr>
          <w:rFonts w:ascii="Calibri" w:hAnsi="Calibri"/>
          <w:b w:val="0"/>
          <w:i w:val="0"/>
          <w:color w:val="111111"/>
          <w:sz w:val="22"/>
        </w:rPr>
        <w:t>For workflows with verified intermediate states, activate process diagnostics: solution framing (time/iterations to first viable or best-confirmed milestone), execution validity/stage omissions, and feedback control (best-state retention, regression, and confirmed recovery). Do not compare these across task families with different milestone semantics as one scalar.</w:t>
      </w:r>
    </w:p>
    <w:p>
      <w:pPr>
        <w:pStyle w:val="ListNumber"/>
        <w:numPr>
          <w:ilvl w:val="0"/>
          <w:numId w:val="14"/>
        </w:numPr>
        <w:spacing w:after="160" w:line="280" w:lineRule="auto"/>
        <w:ind w:left="720" w:hanging="360"/>
      </w:pPr>
      <w:r>
        <w:rPr>
          <w:rFonts w:ascii="Calibri" w:hAnsi="Calibri"/>
          <w:b w:val="0"/>
          <w:i w:val="0"/>
          <w:color w:val="111111"/>
          <w:sz w:val="22"/>
        </w:rPr>
        <w:t>For memory-enabled workflows, run predeclared counterfactuals: fixed-state within-task branches with and without accumulated context/notes, and cross-task lesson-package versus no-lesson arms. Keep environment, runner, artifact access, and target task fixed; log negative transfer and leakage checks.</w:t>
      </w:r>
    </w:p>
    <w:p>
      <w:pPr>
        <w:pStyle w:val="ListNumber"/>
        <w:numPr>
          <w:ilvl w:val="0"/>
          <w:numId w:val="14"/>
        </w:numPr>
        <w:spacing w:after="160" w:line="280" w:lineRule="auto"/>
        <w:ind w:left="720" w:hanging="360"/>
      </w:pPr>
      <w:r>
        <w:rPr>
          <w:rFonts w:ascii="Calibri" w:hAnsi="Calibri"/>
          <w:b w:val="0"/>
          <w:i w:val="0"/>
          <w:color w:val="111111"/>
          <w:sz w:val="22"/>
        </w:rPr>
        <w:t>Treat harness choices as experimental factors: tool schemas/descriptions, context retrieval/compaction, stable-prefix policy, checkpoint policy, and scaffold version. Hold model, task, and provider conditions fixed for each targeted ablation; report canonical and native-agent paths separately.</w:t>
      </w:r>
    </w:p>
    <w:p>
      <w:pPr>
        <w:pStyle w:val="ListNumber"/>
        <w:numPr>
          <w:ilvl w:val="0"/>
          <w:numId w:val="14"/>
        </w:numPr>
        <w:spacing w:after="160" w:line="280" w:lineRule="auto"/>
        <w:ind w:left="720" w:hanging="360"/>
      </w:pPr>
      <w:r>
        <w:rPr>
          <w:rFonts w:ascii="Calibri" w:hAnsi="Calibri"/>
          <w:b w:val="0"/>
          <w:i w:val="0"/>
          <w:color w:val="111111"/>
          <w:sz w:val="22"/>
        </w:rPr>
        <w:t>For adaptive switching, report escalation coverage and calibration: switch rate, conditional success, false non-escalation, unnecessary escalation, added hops, and policy regret against an oracle evaluated offline.</w:t>
      </w:r>
    </w:p>
    <w:p>
      <w:pPr>
        <w:pStyle w:val="ListNumber"/>
        <w:numPr>
          <w:ilvl w:val="0"/>
          <w:numId w:val="14"/>
        </w:numPr>
        <w:spacing w:after="160" w:line="280" w:lineRule="auto"/>
        <w:ind w:left="720" w:hanging="360"/>
      </w:pPr>
      <w:r>
        <w:rPr>
          <w:rFonts w:ascii="Calibri" w:hAnsi="Calibri"/>
          <w:b w:val="0"/>
          <w:i w:val="0"/>
          <w:color w:val="111111"/>
          <w:sz w:val="22"/>
        </w:rPr>
        <w:t>Publish the Pareto set by task family and operating mode. Do not name one universal winner unless it dominates within uncertainty.</w:t>
      </w:r>
    </w:p>
    <w:p>
      <w:pPr>
        <w:pStyle w:val="Heading3"/>
        <w:keepNext/>
      </w:pPr>
      <w:r>
        <w:rPr>
          <w:rFonts w:ascii="Calibri" w:hAnsi="Calibri"/>
          <w:b/>
          <w:i w:val="0"/>
          <w:color w:val="1F4D78"/>
          <w:sz w:val="24"/>
        </w:rPr>
        <w:t>Controls</w:t>
      </w:r>
    </w:p>
    <w:p>
      <w:pPr>
        <w:pStyle w:val="ListBullet"/>
        <w:spacing w:after="160" w:line="280" w:lineRule="auto"/>
        <w:ind w:left="720" w:hanging="360"/>
      </w:pPr>
      <w:r>
        <w:rPr>
          <w:rFonts w:ascii="Calibri" w:hAnsi="Calibri"/>
          <w:b w:val="0"/>
          <w:i w:val="0"/>
          <w:color w:val="111111"/>
          <w:sz w:val="22"/>
        </w:rPr>
        <w:t>Pin prompt/workflow/tool versions, temperature/effort, budgets, timeout, environment, dataset, and canonical provider deployment.</w:t>
      </w:r>
    </w:p>
    <w:p>
      <w:pPr>
        <w:pStyle w:val="ListBullet"/>
        <w:spacing w:after="160" w:line="280" w:lineRule="auto"/>
        <w:ind w:left="720" w:hanging="360"/>
      </w:pPr>
      <w:r>
        <w:rPr>
          <w:rFonts w:ascii="Calibri" w:hAnsi="Calibri"/>
          <w:b w:val="0"/>
          <w:i w:val="0"/>
          <w:color w:val="111111"/>
          <w:sz w:val="22"/>
        </w:rPr>
        <w:t>Randomize candidate order within paired task blocks and separate warm-cache experiments from quality comparisons.</w:t>
      </w:r>
    </w:p>
    <w:p>
      <w:pPr>
        <w:pStyle w:val="ListBullet"/>
        <w:spacing w:after="160" w:line="280" w:lineRule="auto"/>
        <w:ind w:left="720" w:hanging="360"/>
      </w:pPr>
      <w:r>
        <w:rPr>
          <w:rFonts w:ascii="Calibri" w:hAnsi="Calibri"/>
          <w:b w:val="0"/>
          <w:i w:val="0"/>
          <w:color w:val="111111"/>
          <w:sz w:val="22"/>
        </w:rPr>
        <w:t>Blind model/provider names from subjective evaluators. Keep judge model fixed within a study and record its cost separately.</w:t>
      </w:r>
    </w:p>
    <w:p>
      <w:pPr>
        <w:pStyle w:val="ListBullet"/>
        <w:spacing w:after="160" w:line="280" w:lineRule="auto"/>
        <w:ind w:left="720" w:hanging="360"/>
      </w:pPr>
      <w:r>
        <w:rPr>
          <w:rFonts w:ascii="Calibri" w:hAnsi="Calibri"/>
          <w:b w:val="0"/>
          <w:i w:val="0"/>
          <w:color w:val="111111"/>
          <w:sz w:val="22"/>
        </w:rPr>
        <w:t>For long-horizon cases, use the stage-dependency graph to distinguish harmless detours from omitted prerequisites, error propagation, objective drift, and recovered regressions. Preserve milestone-verifier versions in the manifest.</w:t>
      </w: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after="0" w:line="269" w:lineRule="auto"/>
            </w:pPr>
            <w:r>
              <w:rPr>
                <w:rFonts w:ascii="Calibri" w:hAnsi="Calibri"/>
                <w:b/>
                <w:i w:val="0"/>
                <w:color w:val="0B2545"/>
                <w:sz w:val="19"/>
              </w:rPr>
              <w:t xml:space="preserve">EXIT GATE  </w:t>
            </w:r>
            <w:r>
              <w:rPr>
                <w:rFonts w:ascii="Calibri" w:hAnsi="Calibri"/>
                <w:b w:val="0"/>
                <w:i w:val="0"/>
                <w:color w:val="111111"/>
                <w:sz w:val="21"/>
              </w:rPr>
              <w:t>For each task family, at least one logical workflow meets quality and reliability thresholds, its improvement survives ablation and paired uncertainty analysis, and its behavior is not dependent on accidental cache warming.</w:t>
            </w:r>
          </w:p>
        </w:tc>
      </w:tr>
    </w:tbl>
    <w:p>
      <w:pPr>
        <w:spacing w:after="60"/>
      </w:pPr>
    </w:p>
    <w:p>
      <w:pPr>
        <w:pStyle w:val="Heading2"/>
        <w:keepNext/>
      </w:pPr>
      <w:r>
        <w:rPr>
          <w:rFonts w:ascii="Calibri" w:hAnsi="Calibri"/>
          <w:b/>
          <w:i w:val="0"/>
          <w:color w:val="2E74B5"/>
          <w:sz w:val="26"/>
        </w:rPr>
        <w:t>Phase 1.5 — Workflow performance and cache tuning</w:t>
      </w:r>
    </w:p>
    <w:p>
      <w:pPr>
        <w:keepNext w:val="0"/>
        <w:spacing w:before="0" w:after="120" w:line="264" w:lineRule="auto"/>
      </w:pPr>
      <w:r>
        <w:rPr>
          <w:rFonts w:ascii="Calibri" w:hAnsi="Calibri"/>
          <w:b w:val="0"/>
          <w:i w:val="0"/>
          <w:color w:val="111111"/>
          <w:sz w:val="22"/>
        </w:rPr>
        <w:t>Goal: optimize the selected logical workflows before asking which provider serves them most efficiently. This includes AI-assisted iteration on the workflow task-type, goal, context, tool, output-contract, escalation, memory, and handoff prompts. Evaluator prompts, datasets, or scoring rules are changed in separately versioned studies so workflow gains cannot be manufactured by moving the measurement target. Provider caching and latency respond strongly to prompt shape, tool definitions, concurrency, retries, and conversation growth.</w:t>
      </w:r>
    </w:p>
    <w:p>
      <w:pPr>
        <w:pStyle w:val="Heading3"/>
        <w:keepNext/>
      </w:pPr>
      <w:r>
        <w:rPr>
          <w:rFonts w:ascii="Calibri" w:hAnsi="Calibri"/>
          <w:b/>
          <w:i w:val="0"/>
          <w:color w:val="1F4D78"/>
          <w:sz w:val="24"/>
        </w:rPr>
        <w:t>Tuning levers</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500"/>
        <w:gridCol w:w="4750"/>
        <w:gridCol w:w="3110"/>
      </w:tblGrid>
      <w:tr>
        <w:trPr>
          <w:tblHeader w:val="true"/>
          <w:cantSplit/>
        </w:trPr>
        <w:tc>
          <w:tcPr>
            <w:tcW w:type="dxa" w:w="15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Area</w:t>
            </w:r>
          </w:p>
        </w:tc>
        <w:tc>
          <w:tcPr>
            <w:tcW w:type="dxa" w:w="47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Experiments</w:t>
            </w:r>
          </w:p>
        </w:tc>
        <w:tc>
          <w:tcPr>
            <w:tcW w:type="dxa" w:w="311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Guardrail</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7"/>
              </w:rPr>
              <w:t>Prompt / plan</w:t>
            </w:r>
          </w:p>
        </w:tc>
        <w:tc>
          <w:tcPr>
            <w:tcW w:type="dxa" w:w="4750"/>
            <w:tcMar>
              <w:top w:w="80" w:type="dxa"/>
              <w:start w:w="120" w:type="dxa"/>
              <w:bottom w:w="80" w:type="dxa"/>
              <w:end w:w="120" w:type="dxa"/>
            </w:tcMar>
            <w:vAlign w:val="center"/>
          </w:tcPr>
          <w:p>
            <w:pPr>
              <w:spacing w:after="0" w:line="257" w:lineRule="auto"/>
            </w:pPr>
            <w:r>
              <w:rPr>
                <w:rFonts w:ascii="Calibri" w:hAnsi="Calibri"/>
                <w:b w:val="0"/>
                <w:i w:val="0"/>
                <w:color w:val="111111"/>
                <w:sz w:val="17"/>
              </w:rPr>
              <w:t>Concise instructions, structured plans, dynamic replanning threshold, planless mode for short tasks.</w:t>
            </w:r>
          </w:p>
        </w:tc>
        <w:tc>
          <w:tcPr>
            <w:tcW w:type="dxa" w:w="3110"/>
            <w:tcMar>
              <w:top w:w="80" w:type="dxa"/>
              <w:start w:w="120" w:type="dxa"/>
              <w:bottom w:w="80" w:type="dxa"/>
              <w:end w:w="120" w:type="dxa"/>
            </w:tcMar>
            <w:vAlign w:val="center"/>
          </w:tcPr>
          <w:p>
            <w:pPr>
              <w:spacing w:after="0" w:line="257" w:lineRule="auto"/>
            </w:pPr>
            <w:r>
              <w:rPr>
                <w:rFonts w:ascii="Calibri" w:hAnsi="Calibri"/>
                <w:b w:val="0"/>
                <w:i w:val="0"/>
                <w:color w:val="111111"/>
                <w:sz w:val="17"/>
              </w:rPr>
              <w:t>No quality or safety regression; measure plan tokens and churn.</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7"/>
              </w:rPr>
              <w:t>Tool surface</w:t>
            </w:r>
          </w:p>
        </w:tc>
        <w:tc>
          <w:tcPr>
            <w:tcW w:type="dxa" w:w="4750"/>
            <w:tcMar>
              <w:top w:w="80" w:type="dxa"/>
              <w:start w:w="120" w:type="dxa"/>
              <w:bottom w:w="80" w:type="dxa"/>
              <w:end w:w="120" w:type="dxa"/>
            </w:tcMar>
            <w:vAlign w:val="center"/>
          </w:tcPr>
          <w:p>
            <w:pPr>
              <w:spacing w:after="0" w:line="257" w:lineRule="auto"/>
            </w:pPr>
            <w:r>
              <w:rPr>
                <w:rFonts w:ascii="Calibri" w:hAnsi="Calibri"/>
                <w:b w:val="0"/>
                <w:i w:val="0"/>
                <w:color w:val="111111"/>
                <w:sz w:val="17"/>
              </w:rPr>
              <w:t>Deferred/dynamic tool loading, schema simplification, tool grouping, tool-choice policy.</w:t>
            </w:r>
          </w:p>
        </w:tc>
        <w:tc>
          <w:tcPr>
            <w:tcW w:type="dxa" w:w="3110"/>
            <w:tcMar>
              <w:top w:w="80" w:type="dxa"/>
              <w:start w:w="120" w:type="dxa"/>
              <w:bottom w:w="80" w:type="dxa"/>
              <w:end w:w="120" w:type="dxa"/>
            </w:tcMar>
            <w:vAlign w:val="center"/>
          </w:tcPr>
          <w:p>
            <w:pPr>
              <w:spacing w:after="0" w:line="257" w:lineRule="auto"/>
            </w:pPr>
            <w:r>
              <w:rPr>
                <w:rFonts w:ascii="Calibri" w:hAnsi="Calibri"/>
                <w:b w:val="0"/>
                <w:i w:val="0"/>
                <w:color w:val="111111"/>
                <w:sz w:val="17"/>
              </w:rPr>
              <w:t>Capability coverage and correct arguments must hold.</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7"/>
              </w:rPr>
              <w:t>Context / memory</w:t>
            </w:r>
          </w:p>
        </w:tc>
        <w:tc>
          <w:tcPr>
            <w:tcW w:type="dxa" w:w="4750"/>
            <w:tcMar>
              <w:top w:w="80" w:type="dxa"/>
              <w:start w:w="120" w:type="dxa"/>
              <w:bottom w:w="80" w:type="dxa"/>
              <w:end w:w="120" w:type="dxa"/>
            </w:tcMar>
            <w:vAlign w:val="center"/>
          </w:tcPr>
          <w:p>
            <w:pPr>
              <w:spacing w:after="0" w:line="257" w:lineRule="auto"/>
            </w:pPr>
            <w:r>
              <w:rPr>
                <w:rFonts w:ascii="Calibri" w:hAnsi="Calibri"/>
                <w:b w:val="0"/>
                <w:i w:val="0"/>
                <w:color w:val="111111"/>
                <w:sz w:val="17"/>
              </w:rPr>
              <w:t>Stable system prefix, retrieval cutoff, summaries, compaction cadence, state references vs. raw history.</w:t>
            </w:r>
          </w:p>
        </w:tc>
        <w:tc>
          <w:tcPr>
            <w:tcW w:type="dxa" w:w="3110"/>
            <w:tcMar>
              <w:top w:w="80" w:type="dxa"/>
              <w:start w:w="120" w:type="dxa"/>
              <w:bottom w:w="80" w:type="dxa"/>
              <w:end w:w="120" w:type="dxa"/>
            </w:tcMar>
            <w:vAlign w:val="center"/>
          </w:tcPr>
          <w:p>
            <w:pPr>
              <w:spacing w:after="0" w:line="257" w:lineRule="auto"/>
            </w:pPr>
            <w:r>
              <w:rPr>
                <w:rFonts w:ascii="Calibri" w:hAnsi="Calibri"/>
                <w:b w:val="0"/>
                <w:i w:val="0"/>
                <w:color w:val="111111"/>
                <w:sz w:val="17"/>
              </w:rPr>
              <w:t>Retained-fact and contradiction tests.</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7"/>
              </w:rPr>
              <w:t>Execution</w:t>
            </w:r>
          </w:p>
        </w:tc>
        <w:tc>
          <w:tcPr>
            <w:tcW w:type="dxa" w:w="4750"/>
            <w:tcMar>
              <w:top w:w="80" w:type="dxa"/>
              <w:start w:w="120" w:type="dxa"/>
              <w:bottom w:w="80" w:type="dxa"/>
              <w:end w:w="120" w:type="dxa"/>
            </w:tcMar>
            <w:vAlign w:val="center"/>
          </w:tcPr>
          <w:p>
            <w:pPr>
              <w:spacing w:after="0" w:line="257" w:lineRule="auto"/>
            </w:pPr>
            <w:r>
              <w:rPr>
                <w:rFonts w:ascii="Calibri" w:hAnsi="Calibri"/>
                <w:b w:val="0"/>
                <w:i w:val="0"/>
                <w:color w:val="111111"/>
                <w:sz w:val="17"/>
              </w:rPr>
              <w:t>Parallel independent tool calls, speculative retrieval, batching, checkpoint/resume, early exit.</w:t>
            </w:r>
          </w:p>
        </w:tc>
        <w:tc>
          <w:tcPr>
            <w:tcW w:type="dxa" w:w="3110"/>
            <w:tcMar>
              <w:top w:w="80" w:type="dxa"/>
              <w:start w:w="120" w:type="dxa"/>
              <w:bottom w:w="80" w:type="dxa"/>
              <w:end w:w="120" w:type="dxa"/>
            </w:tcMar>
            <w:vAlign w:val="center"/>
          </w:tcPr>
          <w:p>
            <w:pPr>
              <w:spacing w:after="0" w:line="257" w:lineRule="auto"/>
            </w:pPr>
            <w:r>
              <w:rPr>
                <w:rFonts w:ascii="Calibri" w:hAnsi="Calibri"/>
                <w:b w:val="0"/>
                <w:i w:val="0"/>
                <w:color w:val="111111"/>
                <w:sz w:val="17"/>
              </w:rPr>
              <w:t>Respect dependencies and side-effect ordering.</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7"/>
              </w:rPr>
              <w:t>Recovery</w:t>
            </w:r>
          </w:p>
        </w:tc>
        <w:tc>
          <w:tcPr>
            <w:tcW w:type="dxa" w:w="4750"/>
            <w:tcMar>
              <w:top w:w="80" w:type="dxa"/>
              <w:start w:w="120" w:type="dxa"/>
              <w:bottom w:w="80" w:type="dxa"/>
              <w:end w:w="120" w:type="dxa"/>
            </w:tcMar>
            <w:vAlign w:val="center"/>
          </w:tcPr>
          <w:p>
            <w:pPr>
              <w:spacing w:after="0" w:line="257" w:lineRule="auto"/>
            </w:pPr>
            <w:r>
              <w:rPr>
                <w:rFonts w:ascii="Calibri" w:hAnsi="Calibri"/>
                <w:b w:val="0"/>
                <w:i w:val="0"/>
                <w:color w:val="111111"/>
                <w:sz w:val="17"/>
              </w:rPr>
              <w:t>Retry class, exponential backoff, alternate tool/provider, verifier-triggered repair, budget escalation.</w:t>
            </w:r>
          </w:p>
        </w:tc>
        <w:tc>
          <w:tcPr>
            <w:tcW w:type="dxa" w:w="3110"/>
            <w:tcMar>
              <w:top w:w="80" w:type="dxa"/>
              <w:start w:w="120" w:type="dxa"/>
              <w:bottom w:w="80" w:type="dxa"/>
              <w:end w:w="120" w:type="dxa"/>
            </w:tcMar>
            <w:vAlign w:val="center"/>
          </w:tcPr>
          <w:p>
            <w:pPr>
              <w:spacing w:after="0" w:line="257" w:lineRule="auto"/>
            </w:pPr>
            <w:r>
              <w:rPr>
                <w:rFonts w:ascii="Calibri" w:hAnsi="Calibri"/>
                <w:b w:val="0"/>
                <w:i w:val="0"/>
                <w:color w:val="111111"/>
                <w:sz w:val="17"/>
              </w:rPr>
              <w:t>Bound retries and prevent duplicate side effects.</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7"/>
              </w:rPr>
              <w:t>Caching</w:t>
            </w:r>
          </w:p>
        </w:tc>
        <w:tc>
          <w:tcPr>
            <w:tcW w:type="dxa" w:w="4750"/>
            <w:tcMar>
              <w:top w:w="80" w:type="dxa"/>
              <w:start w:w="120" w:type="dxa"/>
              <w:bottom w:w="80" w:type="dxa"/>
              <w:end w:w="120" w:type="dxa"/>
            </w:tcMar>
            <w:vAlign w:val="center"/>
          </w:tcPr>
          <w:p>
            <w:pPr>
              <w:spacing w:after="0" w:line="257" w:lineRule="auto"/>
            </w:pPr>
            <w:r>
              <w:rPr>
                <w:rFonts w:ascii="Calibri" w:hAnsi="Calibri"/>
                <w:b w:val="0"/>
                <w:i w:val="0"/>
                <w:color w:val="111111"/>
                <w:sz w:val="17"/>
              </w:rPr>
              <w:t>Prefix ordering, canonical JSON/schema serialization, cache breakpoints, TTL, namespaces, tool/result caches.</w:t>
            </w:r>
          </w:p>
        </w:tc>
        <w:tc>
          <w:tcPr>
            <w:tcW w:type="dxa" w:w="3110"/>
            <w:tcMar>
              <w:top w:w="80" w:type="dxa"/>
              <w:start w:w="120" w:type="dxa"/>
              <w:bottom w:w="80" w:type="dxa"/>
              <w:end w:w="120" w:type="dxa"/>
            </w:tcMar>
            <w:vAlign w:val="center"/>
          </w:tcPr>
          <w:p>
            <w:pPr>
              <w:spacing w:after="0" w:line="257" w:lineRule="auto"/>
            </w:pPr>
            <w:r>
              <w:rPr>
                <w:rFonts w:ascii="Calibri" w:hAnsi="Calibri"/>
                <w:b w:val="0"/>
                <w:i w:val="0"/>
                <w:color w:val="111111"/>
                <w:sz w:val="17"/>
              </w:rPr>
              <w:t>Cold/warm arms; no cross-tenant leakage or benchmark contamination.</w:t>
            </w:r>
          </w:p>
        </w:tc>
      </w:tr>
    </w:tbl>
    <w:p>
      <w:pPr>
        <w:spacing w:after="40"/>
      </w:pPr>
    </w:p>
    <w:p>
      <w:pPr>
        <w:pStyle w:val="Heading3"/>
        <w:keepNext/>
      </w:pPr>
      <w:r>
        <w:rPr>
          <w:rFonts w:ascii="Calibri" w:hAnsi="Calibri"/>
          <w:b/>
          <w:i w:val="0"/>
          <w:color w:val="1F4D78"/>
          <w:sz w:val="24"/>
        </w:rPr>
        <w:t>Caching protocol</w:t>
      </w:r>
    </w:p>
    <w:p>
      <w:pPr>
        <w:keepNext w:val="0"/>
        <w:spacing w:before="0" w:after="120" w:line="264" w:lineRule="auto"/>
      </w:pPr>
      <w:r>
        <w:rPr>
          <w:rFonts w:ascii="Calibri" w:hAnsi="Calibri"/>
          <w:b w:val="0"/>
          <w:i w:val="0"/>
          <w:color w:val="111111"/>
          <w:sz w:val="22"/>
        </w:rPr>
        <w:t xml:space="preserve">Caching is not one mechanism. Track response memoization, retrieval/tool-result caches, compiled prompt/template caches, and provider prefix/KV caches as separate layers. Provider rules differ: </w:t>
      </w:r>
      <w:hyperlink r:id="rId34">
        <w:r>
          <w:rPr>
            <w:rFonts w:ascii="Calibri" w:hAnsi="Calibri"/>
            <w:color w:val="2E74B5"/>
            <w:u w:val="single"/>
            <w:sz w:val="22"/>
            <w:szCs w:val="22"/>
          </w:rPr>
          <w:t>OpenAI prompt caching</w:t>
        </w:r>
      </w:hyperlink>
      <w:r>
        <w:rPr>
          <w:rFonts w:ascii="Calibri" w:hAnsi="Calibri"/>
          <w:b w:val="0"/>
          <w:i w:val="0"/>
          <w:color w:val="111111"/>
          <w:sz w:val="22"/>
        </w:rPr>
        <w:t xml:space="preserve"> relies on shared prefixes and reports cached usage, Claude supports explicit/automatic cache controls and documents invalidation from tool and message changes, Gemini supports implicit and explicit context caching with model-specific thresholds, and </w:t>
      </w:r>
      <w:hyperlink r:id="rId19">
        <w:r>
          <w:rPr>
            <w:rFonts w:ascii="Calibri" w:hAnsi="Calibri"/>
            <w:color w:val="2E74B5"/>
            <w:u w:val="single"/>
            <w:sz w:val="22"/>
            <w:szCs w:val="22"/>
          </w:rPr>
          <w:t>vLLM</w:t>
        </w:r>
      </w:hyperlink>
      <w:r>
        <w:rPr>
          <w:rFonts w:ascii="Calibri" w:hAnsi="Calibri"/>
          <w:b w:val="0"/>
          <w:i w:val="0"/>
          <w:color w:val="111111"/>
          <w:sz w:val="22"/>
        </w:rPr>
        <w:t xml:space="preserve"> can reuse KV blocks for shared prefixes through automatic prefix caching.</w:t>
      </w:r>
    </w:p>
    <w:p>
      <w:pPr>
        <w:pStyle w:val="ListNumber"/>
        <w:numPr>
          <w:ilvl w:val="0"/>
          <w:numId w:val="15"/>
        </w:numPr>
        <w:spacing w:after="160" w:line="280" w:lineRule="auto"/>
        <w:ind w:left="720" w:hanging="360"/>
      </w:pPr>
      <w:r>
        <w:rPr>
          <w:rFonts w:ascii="Calibri" w:hAnsi="Calibri"/>
          <w:b w:val="0"/>
          <w:i w:val="0"/>
          <w:color w:val="111111"/>
          <w:sz w:val="22"/>
        </w:rPr>
        <w:t>Define cache eligibility before the run: stable prefix tokens, expected reuse count, namespace, privacy boundary, and TTL.</w:t>
      </w:r>
    </w:p>
    <w:p>
      <w:pPr>
        <w:pStyle w:val="ListNumber"/>
        <w:numPr>
          <w:ilvl w:val="0"/>
          <w:numId w:val="15"/>
        </w:numPr>
        <w:spacing w:after="160" w:line="280" w:lineRule="auto"/>
        <w:ind w:left="720" w:hanging="360"/>
      </w:pPr>
      <w:r>
        <w:rPr>
          <w:rFonts w:ascii="Calibri" w:hAnsi="Calibri"/>
          <w:b w:val="0"/>
          <w:i w:val="0"/>
          <w:color w:val="111111"/>
          <w:sz w:val="22"/>
        </w:rPr>
        <w:t>Run a cold arm with isolated/cleared cache state and a warm arm using a production-representative request sequence. Randomized independent repetitions are not a valid warm-cache workload.</w:t>
      </w:r>
    </w:p>
    <w:p>
      <w:pPr>
        <w:pStyle w:val="ListNumber"/>
        <w:numPr>
          <w:ilvl w:val="0"/>
          <w:numId w:val="15"/>
        </w:numPr>
        <w:spacing w:after="160" w:line="280" w:lineRule="auto"/>
        <w:ind w:left="720" w:hanging="360"/>
      </w:pPr>
      <w:r>
        <w:rPr>
          <w:rFonts w:ascii="Calibri" w:hAnsi="Calibri"/>
          <w:b w:val="0"/>
          <w:i w:val="0"/>
          <w:color w:val="111111"/>
          <w:sz w:val="22"/>
        </w:rPr>
        <w:t>Log provider-reported cached tokens and independently estimate reusable-prefix tokens. Flag discrepancies and cache-break reasons.</w:t>
      </w:r>
    </w:p>
    <w:p>
      <w:pPr>
        <w:pStyle w:val="ListNumber"/>
        <w:numPr>
          <w:ilvl w:val="0"/>
          <w:numId w:val="15"/>
        </w:numPr>
        <w:spacing w:after="160" w:line="280" w:lineRule="auto"/>
        <w:ind w:left="720" w:hanging="360"/>
      </w:pPr>
      <w:r>
        <w:rPr>
          <w:rFonts w:ascii="Calibri" w:hAnsi="Calibri"/>
          <w:b w:val="0"/>
          <w:i w:val="0"/>
          <w:color w:val="111111"/>
          <w:sz w:val="22"/>
        </w:rPr>
        <w:t>Compute net savings after cache write premiums, read prices, storage/TTL fees, and additional orchestration. Track time saved as well as dollars saved.</w:t>
      </w:r>
    </w:p>
    <w:p>
      <w:pPr>
        <w:pStyle w:val="ListNumber"/>
        <w:numPr>
          <w:ilvl w:val="0"/>
          <w:numId w:val="15"/>
        </w:numPr>
        <w:spacing w:after="160" w:line="280" w:lineRule="auto"/>
        <w:ind w:left="720" w:hanging="360"/>
      </w:pPr>
      <w:r>
        <w:rPr>
          <w:rFonts w:ascii="Calibri" w:hAnsi="Calibri"/>
          <w:b w:val="0"/>
          <w:i w:val="0"/>
          <w:color w:val="111111"/>
          <w:sz w:val="22"/>
        </w:rPr>
        <w:t>Canonicalize stable JSON and tool schemas; place volatile timestamps, IDs, retrieved snippets, and user-specific data after the reusable prefix whenever semantics allow.</w:t>
      </w:r>
    </w:p>
    <w:p>
      <w:pPr>
        <w:pStyle w:val="ListNumber"/>
        <w:numPr>
          <w:ilvl w:val="0"/>
          <w:numId w:val="15"/>
        </w:numPr>
        <w:spacing w:after="160" w:line="280" w:lineRule="auto"/>
        <w:ind w:left="720" w:hanging="360"/>
      </w:pPr>
      <w:r>
        <w:rPr>
          <w:rFonts w:ascii="Calibri" w:hAnsi="Calibri"/>
          <w:b w:val="0"/>
          <w:i w:val="0"/>
          <w:color w:val="111111"/>
          <w:sz w:val="22"/>
        </w:rPr>
        <w:t xml:space="preserve">Use tenant/task-suite salts or namespaces. </w:t>
      </w:r>
      <w:hyperlink r:id="rId19">
        <w:r>
          <w:rPr>
            <w:rFonts w:ascii="Calibri" w:hAnsi="Calibri"/>
            <w:color w:val="2E74B5"/>
            <w:u w:val="single"/>
            <w:sz w:val="22"/>
            <w:szCs w:val="22"/>
          </w:rPr>
          <w:t>vLLM</w:t>
        </w:r>
      </w:hyperlink>
      <w:r>
        <w:rPr>
          <w:rFonts w:ascii="Calibri" w:hAnsi="Calibri"/>
          <w:b w:val="0"/>
          <w:i w:val="0"/>
          <w:color w:val="111111"/>
          <w:sz w:val="22"/>
        </w:rPr>
        <w:t xml:space="preserve"> documents cache salting to mitigate prefix-cache timing side channels in multi-tenant serving.</w:t>
      </w:r>
    </w:p>
    <w:p>
      <w:pPr>
        <w:pStyle w:val="Heading3"/>
        <w:keepNext/>
      </w:pPr>
      <w:r>
        <w:rPr>
          <w:rFonts w:ascii="Calibri" w:hAnsi="Calibri"/>
          <w:b/>
          <w:i w:val="0"/>
          <w:color w:val="1F4D78"/>
          <w:sz w:val="24"/>
        </w:rPr>
        <w:t>Step and plan efficiency protocol</w:t>
      </w:r>
    </w:p>
    <w:p>
      <w:pPr>
        <w:pStyle w:val="ListBullet"/>
        <w:spacing w:after="160" w:line="280" w:lineRule="auto"/>
        <w:ind w:left="720" w:hanging="360"/>
      </w:pPr>
      <w:r>
        <w:rPr>
          <w:rFonts w:ascii="Calibri" w:hAnsi="Calibri"/>
          <w:b w:val="0"/>
          <w:i w:val="0"/>
          <w:color w:val="111111"/>
          <w:sz w:val="22"/>
        </w:rPr>
        <w:t>Label actions with a rule-based taxonomy first; use an LLM classifier only for ambiguous cases and validate it against human labels.</w:t>
      </w:r>
    </w:p>
    <w:p>
      <w:pPr>
        <w:pStyle w:val="ListBullet"/>
        <w:spacing w:after="160" w:line="280" w:lineRule="auto"/>
        <w:ind w:left="720" w:hanging="360"/>
      </w:pPr>
      <w:r>
        <w:rPr>
          <w:rFonts w:ascii="Calibri" w:hAnsi="Calibri"/>
          <w:b w:val="0"/>
          <w:i w:val="0"/>
          <w:color w:val="111111"/>
          <w:sz w:val="22"/>
        </w:rPr>
        <w:t>For deterministic tasks, maintain a reference lower bound or known critical path. For open-ended tasks, compare against the best observed successful trajectory and use ablations rather than pretending an exact optimum is known.</w:t>
      </w:r>
    </w:p>
    <w:p>
      <w:pPr>
        <w:pStyle w:val="ListBullet"/>
        <w:spacing w:after="160" w:line="280" w:lineRule="auto"/>
        <w:ind w:left="720" w:hanging="360"/>
      </w:pPr>
      <w:r>
        <w:rPr>
          <w:rFonts w:ascii="Calibri" w:hAnsi="Calibri"/>
          <w:b w:val="0"/>
          <w:i w:val="0"/>
          <w:color w:val="111111"/>
          <w:sz w:val="22"/>
        </w:rPr>
        <w:t>Measure plan creation cost, number of revisions, abandoned nodes, dependency violations, unplanned productive actions, and avoided work. Plan fidelity alone is not a goal; adaptive changes can be correct.</w:t>
      </w:r>
    </w:p>
    <w:p>
      <w:pPr>
        <w:pStyle w:val="ListBullet"/>
        <w:spacing w:after="160" w:line="280" w:lineRule="auto"/>
        <w:ind w:left="720" w:hanging="360"/>
      </w:pPr>
      <w:r>
        <w:rPr>
          <w:rFonts w:ascii="Calibri" w:hAnsi="Calibri"/>
          <w:b w:val="0"/>
          <w:i w:val="0"/>
          <w:color w:val="111111"/>
          <w:sz w:val="22"/>
        </w:rPr>
        <w:t>Penalize redundant reads, repeated searches with no new evidence, malformed calls, unnecessary model escalations, and verification that does not change confidence or outcome.</w:t>
      </w:r>
    </w:p>
    <w:tbl>
      <w:tblPr>
        <w:tblW w:type="dxa" w:w="9360"/>
        <w:jc w:val="left"/>
        <w:tblLayout w:type="fixed"/>
        <w:tblLook w:firstColumn="1" w:firstRow="1" w:lastColumn="0" w:lastRow="0" w:noHBand="0" w:noVBand="1" w:val="04A0"/>
        <w:tblInd w:w="120" w:type="dxa"/>
        <w:tblBorders>
          <w:top w:val="single" w:sz="0" w:space="0" w:color="EAF3EC"/>
          <w:left w:val="single" w:sz="0" w:space="0" w:color="EAF3EC"/>
          <w:bottom w:val="single" w:sz="0" w:space="0" w:color="EAF3EC"/>
          <w:right w:val="single" w:sz="0" w:space="0" w:color="EAF3EC"/>
          <w:insideH w:val="single" w:sz="0" w:space="0" w:color="EAF3EC"/>
          <w:insideV w:val="single" w:sz="0" w:space="0" w:color="EAF3EC"/>
        </w:tblBorders>
      </w:tblPr>
      <w:tblGrid>
        <w:gridCol w:w="9360"/>
      </w:tblGrid>
      <w:tr>
        <w:trPr>
          <w:cantSplit/>
        </w:trPr>
        <w:tc>
          <w:tcPr>
            <w:tcW w:type="dxa" w:w="9360"/>
            <w:tcMar>
              <w:top w:w="80" w:type="dxa"/>
              <w:start w:w="120" w:type="dxa"/>
              <w:bottom w:w="80" w:type="dxa"/>
              <w:end w:w="120" w:type="dxa"/>
            </w:tcMar>
            <w:vAlign w:val="center"/>
            <w:shd w:fill="EAF3EC"/>
          </w:tcPr>
          <w:p>
            <w:pPr>
              <w:spacing w:after="0" w:line="269" w:lineRule="auto"/>
            </w:pPr>
            <w:r>
              <w:rPr>
                <w:rFonts w:ascii="Calibri" w:hAnsi="Calibri"/>
                <w:b/>
                <w:i w:val="0"/>
                <w:color w:val="276749"/>
                <w:sz w:val="19"/>
              </w:rPr>
              <w:t xml:space="preserve">EXIT GATE  </w:t>
            </w:r>
            <w:r>
              <w:rPr>
                <w:rFonts w:ascii="Calibri" w:hAnsi="Calibri"/>
                <w:b w:val="0"/>
                <w:i w:val="0"/>
                <w:color w:val="111111"/>
                <w:sz w:val="21"/>
              </w:rPr>
              <w:t>At least one tuned variant improves cost, latency, steps, or cache yield with non-inferior quality within the predeclared margin. Any gain that disappears in cold-cache or perturbation tests is labeled workload-specific.</w:t>
            </w:r>
          </w:p>
        </w:tc>
      </w:tr>
    </w:tbl>
    <w:p>
      <w:pPr>
        <w:spacing w:after="60"/>
      </w:pPr>
    </w:p>
    <w:p>
      <w:pPr>
        <w:pStyle w:val="Heading2"/>
        <w:keepNext/>
      </w:pPr>
      <w:r>
        <w:rPr>
          <w:rFonts w:ascii="Calibri" w:hAnsi="Calibri"/>
          <w:b/>
          <w:i w:val="0"/>
          <w:color w:val="2E74B5"/>
          <w:sz w:val="26"/>
        </w:rPr>
        <w:t>Phase 2 — Inference-provider and serving optimization</w:t>
      </w:r>
    </w:p>
    <w:p>
      <w:pPr>
        <w:keepNext w:val="0"/>
        <w:spacing w:before="0" w:after="120" w:line="264" w:lineRule="auto"/>
      </w:pPr>
      <w:r>
        <w:rPr>
          <w:rFonts w:ascii="Calibri" w:hAnsi="Calibri"/>
          <w:b w:val="0"/>
          <w:i w:val="0"/>
          <w:color w:val="111111"/>
          <w:sz w:val="22"/>
        </w:rPr>
        <w:t>Goal: map each selected logical model to the best deployment for each operating mode. Evaluate direct first-party APIs, cloud-hosted copies, specialized inference providers, and self-hosted open-weight serving where applicable.</w:t>
      </w:r>
    </w:p>
    <w:p>
      <w:pPr>
        <w:pStyle w:val="Heading3"/>
        <w:keepNext/>
      </w:pPr>
      <w:r>
        <w:rPr>
          <w:rFonts w:ascii="Calibri" w:hAnsi="Calibri"/>
          <w:b/>
          <w:i w:val="0"/>
          <w:color w:val="1F4D78"/>
          <w:sz w:val="24"/>
        </w:rPr>
        <w:t>Equivalence gate before infrastructure comparison</w:t>
      </w:r>
    </w:p>
    <w:p>
      <w:pPr>
        <w:pStyle w:val="ListBullet"/>
        <w:spacing w:after="160" w:line="280" w:lineRule="auto"/>
        <w:ind w:left="720" w:hanging="360"/>
      </w:pPr>
      <w:r>
        <w:rPr>
          <w:rFonts w:ascii="Calibri" w:hAnsi="Calibri"/>
          <w:b w:val="0"/>
          <w:i w:val="0"/>
          <w:color w:val="111111"/>
          <w:sz w:val="22"/>
        </w:rPr>
        <w:t>Closed models: record provider, region, service tier, model snapshot/fingerprint if exposed, system wrappers, tool-call format, moderation/safety layer, and sampling defaults.</w:t>
      </w:r>
    </w:p>
    <w:p>
      <w:pPr>
        <w:pStyle w:val="ListBullet"/>
        <w:spacing w:after="160" w:line="280" w:lineRule="auto"/>
        <w:ind w:left="720" w:hanging="360"/>
      </w:pPr>
      <w:r>
        <w:rPr>
          <w:rFonts w:ascii="Calibri" w:hAnsi="Calibri"/>
          <w:b w:val="0"/>
          <w:i w:val="0"/>
          <w:color w:val="111111"/>
          <w:sz w:val="22"/>
        </w:rPr>
        <w:t>Open-weight models: pin checkpoint and tokenizer hashes, quantization, dtype, engine/version, context limit, chat template, structured-output backend, GPU type/count, parallelism, speculative decoding, and memory settings.</w:t>
      </w:r>
    </w:p>
    <w:p>
      <w:pPr>
        <w:pStyle w:val="ListBullet"/>
        <w:spacing w:after="160" w:line="280" w:lineRule="auto"/>
        <w:ind w:left="720" w:hanging="360"/>
      </w:pPr>
      <w:r>
        <w:rPr>
          <w:rFonts w:ascii="Calibri" w:hAnsi="Calibri"/>
          <w:b w:val="0"/>
          <w:i w:val="0"/>
          <w:color w:val="111111"/>
          <w:sz w:val="22"/>
        </w:rPr>
        <w:t>Run paired quality and tool-use checks. If deployments differ beyond the non-inferiority margin, treat them as different model candidates—not interchangeable providers.</w:t>
      </w:r>
    </w:p>
    <w:p>
      <w:pPr>
        <w:pStyle w:val="Heading3"/>
        <w:keepNext/>
      </w:pPr>
      <w:r>
        <w:rPr>
          <w:rFonts w:ascii="Calibri" w:hAnsi="Calibri"/>
          <w:b/>
          <w:i w:val="0"/>
          <w:color w:val="1F4D78"/>
          <w:sz w:val="24"/>
        </w:rPr>
        <w:t>Provider benchmark matrix</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500"/>
        <w:gridCol w:w="7860"/>
      </w:tblGrid>
      <w:tr>
        <w:trPr>
          <w:tblHeader w:val="true"/>
          <w:cantSplit/>
        </w:trPr>
        <w:tc>
          <w:tcPr>
            <w:tcW w:type="dxa" w:w="15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Dimension</w:t>
            </w:r>
          </w:p>
        </w:tc>
        <w:tc>
          <w:tcPr>
            <w:tcW w:type="dxa" w:w="786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Required test conditions</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7"/>
              </w:rPr>
              <w:t>Latency</w:t>
            </w:r>
          </w:p>
        </w:tc>
        <w:tc>
          <w:tcPr>
            <w:tcW w:type="dxa" w:w="7860"/>
            <w:tcMar>
              <w:top w:w="80" w:type="dxa"/>
              <w:start w:w="120" w:type="dxa"/>
              <w:bottom w:w="80" w:type="dxa"/>
              <w:end w:w="120" w:type="dxa"/>
            </w:tcMar>
            <w:vAlign w:val="center"/>
          </w:tcPr>
          <w:p>
            <w:pPr>
              <w:spacing w:after="0" w:line="257" w:lineRule="auto"/>
            </w:pPr>
            <w:r>
              <w:rPr>
                <w:rFonts w:ascii="Calibri" w:hAnsi="Calibri"/>
                <w:b w:val="0"/>
                <w:i w:val="0"/>
                <w:color w:val="111111"/>
                <w:sz w:val="17"/>
              </w:rPr>
              <w:t>Cold and warm; streaming and non-streaming; p50/p95/p99 E2E, TTFT, inter-token time, tool-loop turn time, deadline success.</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7"/>
              </w:rPr>
              <w:t>Load</w:t>
            </w:r>
          </w:p>
        </w:tc>
        <w:tc>
          <w:tcPr>
            <w:tcW w:type="dxa" w:w="7860"/>
            <w:tcMar>
              <w:top w:w="80" w:type="dxa"/>
              <w:start w:w="120" w:type="dxa"/>
              <w:bottom w:w="80" w:type="dxa"/>
              <w:end w:w="120" w:type="dxa"/>
            </w:tcMar>
            <w:vAlign w:val="center"/>
          </w:tcPr>
          <w:p>
            <w:pPr>
              <w:spacing w:after="0" w:line="257" w:lineRule="auto"/>
            </w:pPr>
            <w:r>
              <w:rPr>
                <w:rFonts w:ascii="Calibri" w:hAnsi="Calibri"/>
                <w:b w:val="0"/>
                <w:i w:val="0"/>
                <w:color w:val="111111"/>
                <w:sz w:val="17"/>
              </w:rPr>
              <w:t>Single request, steady concurrency, burst, long-context prefill, mixed prompt lengths, rate-limit recovery, queue saturation.</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7"/>
              </w:rPr>
              <w:t>Reliability</w:t>
            </w:r>
          </w:p>
        </w:tc>
        <w:tc>
          <w:tcPr>
            <w:tcW w:type="dxa" w:w="7860"/>
            <w:tcMar>
              <w:top w:w="80" w:type="dxa"/>
              <w:start w:w="120" w:type="dxa"/>
              <w:bottom w:w="80" w:type="dxa"/>
              <w:end w:w="120" w:type="dxa"/>
            </w:tcMar>
            <w:vAlign w:val="center"/>
          </w:tcPr>
          <w:p>
            <w:pPr>
              <w:spacing w:after="0" w:line="257" w:lineRule="auto"/>
            </w:pPr>
            <w:r>
              <w:rPr>
                <w:rFonts w:ascii="Calibri" w:hAnsi="Calibri"/>
                <w:b w:val="0"/>
                <w:i w:val="0"/>
                <w:color w:val="111111"/>
                <w:sz w:val="17"/>
              </w:rPr>
              <w:t>Timeouts, 429/5xx, malformed streams/tool calls, retry-after behavior, duplicate side effects, regional/provider failover.</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7"/>
              </w:rPr>
              <w:t>Cost</w:t>
            </w:r>
          </w:p>
        </w:tc>
        <w:tc>
          <w:tcPr>
            <w:tcW w:type="dxa" w:w="7860"/>
            <w:tcMar>
              <w:top w:w="80" w:type="dxa"/>
              <w:start w:w="120" w:type="dxa"/>
              <w:bottom w:w="80" w:type="dxa"/>
              <w:end w:w="120" w:type="dxa"/>
            </w:tcMar>
            <w:vAlign w:val="center"/>
          </w:tcPr>
          <w:p>
            <w:pPr>
              <w:spacing w:after="0" w:line="257" w:lineRule="auto"/>
            </w:pPr>
            <w:r>
              <w:rPr>
                <w:rFonts w:ascii="Calibri" w:hAnsi="Calibri"/>
                <w:b w:val="0"/>
                <w:i w:val="0"/>
                <w:color w:val="111111"/>
                <w:sz w:val="17"/>
              </w:rPr>
              <w:t>Input/output/reasoning tokens, cache read/write/storage, minimum commitments, batch discounts, egress, gateway, observability, GPU idle/amortization.</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7"/>
              </w:rPr>
              <w:t>Features</w:t>
            </w:r>
          </w:p>
        </w:tc>
        <w:tc>
          <w:tcPr>
            <w:tcW w:type="dxa" w:w="7860"/>
            <w:tcMar>
              <w:top w:w="80" w:type="dxa"/>
              <w:start w:w="120" w:type="dxa"/>
              <w:bottom w:w="80" w:type="dxa"/>
              <w:end w:w="120" w:type="dxa"/>
            </w:tcMar>
            <w:vAlign w:val="center"/>
          </w:tcPr>
          <w:p>
            <w:pPr>
              <w:spacing w:after="0" w:line="257" w:lineRule="auto"/>
            </w:pPr>
            <w:r>
              <w:rPr>
                <w:rFonts w:ascii="Calibri" w:hAnsi="Calibri"/>
                <w:b w:val="0"/>
                <w:i w:val="0"/>
                <w:color w:val="111111"/>
                <w:sz w:val="17"/>
              </w:rPr>
              <w:t>Context limits, tools/JSON schema, multimodality, batch, priority tiers, data retention, regional availability, auditability.</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7"/>
              </w:rPr>
              <w:t>Operations</w:t>
            </w:r>
          </w:p>
        </w:tc>
        <w:tc>
          <w:tcPr>
            <w:tcW w:type="dxa" w:w="7860"/>
            <w:tcMar>
              <w:top w:w="80" w:type="dxa"/>
              <w:start w:w="120" w:type="dxa"/>
              <w:bottom w:w="80" w:type="dxa"/>
              <w:end w:w="120" w:type="dxa"/>
            </w:tcMar>
            <w:vAlign w:val="center"/>
          </w:tcPr>
          <w:p>
            <w:pPr>
              <w:spacing w:after="0" w:line="257" w:lineRule="auto"/>
            </w:pPr>
            <w:r>
              <w:rPr>
                <w:rFonts w:ascii="Calibri" w:hAnsi="Calibri"/>
                <w:b w:val="0"/>
                <w:i w:val="0"/>
                <w:color w:val="111111"/>
                <w:sz w:val="17"/>
              </w:rPr>
              <w:t>Provisioning time, autoscaling, quotas, support, incident transparency, observability, key management, portability.</w:t>
            </w:r>
          </w:p>
        </w:tc>
      </w:tr>
    </w:tbl>
    <w:p>
      <w:pPr>
        <w:spacing w:after="40"/>
      </w:pPr>
    </w:p>
    <w:p>
      <w:pPr>
        <w:pStyle w:val="Heading3"/>
        <w:keepNext/>
      </w:pPr>
      <w:r>
        <w:rPr>
          <w:rFonts w:ascii="Calibri" w:hAnsi="Calibri"/>
          <w:b/>
          <w:i w:val="0"/>
          <w:color w:val="1F4D78"/>
          <w:sz w:val="24"/>
        </w:rPr>
        <w:t>Selection and routing</w:t>
      </w:r>
    </w:p>
    <w:p>
      <w:pPr>
        <w:pStyle w:val="ListNumber"/>
        <w:numPr>
          <w:ilvl w:val="0"/>
          <w:numId w:val="16"/>
        </w:numPr>
        <w:spacing w:after="160" w:line="280" w:lineRule="auto"/>
        <w:ind w:left="720" w:hanging="360"/>
      </w:pPr>
      <w:r>
        <w:rPr>
          <w:rFonts w:ascii="Calibri" w:hAnsi="Calibri"/>
          <w:b w:val="0"/>
          <w:i w:val="0"/>
          <w:color w:val="111111"/>
          <w:sz w:val="22"/>
        </w:rPr>
        <w:t>Create a deployment Pareto front for every model_ref and workload profile.</w:t>
      </w:r>
    </w:p>
    <w:p>
      <w:pPr>
        <w:pStyle w:val="ListNumber"/>
        <w:numPr>
          <w:ilvl w:val="0"/>
          <w:numId w:val="16"/>
        </w:numPr>
        <w:spacing w:after="160" w:line="280" w:lineRule="auto"/>
        <w:ind w:left="720" w:hanging="360"/>
      </w:pPr>
      <w:r>
        <w:rPr>
          <w:rFonts w:ascii="Calibri" w:hAnsi="Calibri"/>
          <w:b w:val="0"/>
          <w:i w:val="0"/>
          <w:color w:val="111111"/>
          <w:sz w:val="22"/>
        </w:rPr>
        <w:t>Choose primary and fallback deployments by operating mode. Include failover quality, feature compatibility, and cache continuity—not only endpoint availability.</w:t>
      </w:r>
    </w:p>
    <w:p>
      <w:pPr>
        <w:pStyle w:val="ListNumber"/>
        <w:numPr>
          <w:ilvl w:val="0"/>
          <w:numId w:val="16"/>
        </w:numPr>
        <w:spacing w:after="160" w:line="280" w:lineRule="auto"/>
        <w:ind w:left="720" w:hanging="360"/>
      </w:pPr>
      <w:r>
        <w:rPr>
          <w:rFonts w:ascii="Calibri" w:hAnsi="Calibri"/>
          <w:b w:val="0"/>
          <w:i w:val="0"/>
          <w:color w:val="111111"/>
          <w:sz w:val="22"/>
        </w:rPr>
        <w:t>Use constrained routing rules first; introduce contextual bandits only after offline validation, shadow logging, a safe fallback, and a regret/rollback budget.</w:t>
      </w:r>
    </w:p>
    <w:p>
      <w:pPr>
        <w:pStyle w:val="ListNumber"/>
        <w:numPr>
          <w:ilvl w:val="0"/>
          <w:numId w:val="16"/>
        </w:numPr>
        <w:spacing w:after="160" w:line="280" w:lineRule="auto"/>
        <w:ind w:left="720" w:hanging="360"/>
      </w:pPr>
      <w:r>
        <w:rPr>
          <w:rFonts w:ascii="Calibri" w:hAnsi="Calibri"/>
          <w:b w:val="0"/>
          <w:i w:val="0"/>
          <w:color w:val="111111"/>
          <w:sz w:val="22"/>
        </w:rPr>
        <w:t>Re-evaluate at multiple times and traffic profiles. Provider performance is time-, region-, quota-, and concurrency-dependent.</w:t>
      </w: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after="0" w:line="269" w:lineRule="auto"/>
            </w:pPr>
            <w:r>
              <w:rPr>
                <w:rFonts w:ascii="Calibri" w:hAnsi="Calibri"/>
                <w:b/>
                <w:i w:val="0"/>
                <w:color w:val="0B2545"/>
                <w:sz w:val="19"/>
              </w:rPr>
              <w:t xml:space="preserve">EXIT GATE  </w:t>
            </w:r>
            <w:r>
              <w:rPr>
                <w:rFonts w:ascii="Calibri" w:hAnsi="Calibri"/>
                <w:b w:val="0"/>
                <w:i w:val="0"/>
                <w:color w:val="111111"/>
                <w:sz w:val="21"/>
              </w:rPr>
              <w:t>Selected deployments meet paired quality equivalence, latency/reliability SLOs, and landed-cost targets under representative load. Fallbacks are exercised, not merely configured.</w:t>
            </w:r>
          </w:p>
        </w:tc>
      </w:tr>
    </w:tbl>
    <w:p>
      <w:pPr>
        <w:spacing w:after="60"/>
      </w:pPr>
    </w:p>
    <w:p>
      <w:pPr>
        <w:pStyle w:val="Heading2"/>
        <w:keepNext/>
      </w:pPr>
      <w:r>
        <w:rPr>
          <w:rFonts w:ascii="Calibri" w:hAnsi="Calibri"/>
          <w:b/>
          <w:i w:val="0"/>
          <w:color w:val="2E74B5"/>
          <w:sz w:val="26"/>
        </w:rPr>
        <w:t>Phase 3 — Continuous validation and adaptive optimization</w:t>
      </w:r>
    </w:p>
    <w:p>
      <w:pPr>
        <w:pStyle w:val="ListBullet"/>
        <w:spacing w:after="160" w:line="280" w:lineRule="auto"/>
        <w:ind w:left="720" w:hanging="360"/>
      </w:pPr>
      <w:r>
        <w:rPr>
          <w:rFonts w:ascii="Calibri" w:hAnsi="Calibri"/>
          <w:b w:val="0"/>
          <w:i w:val="0"/>
          <w:color w:val="111111"/>
          <w:sz w:val="22"/>
        </w:rPr>
        <w:t>Run a fast smoke suite on each workflow, model, prompt, tool, evaluator, or adapter change; run the full regression suite on release candidates or schedule.</w:t>
      </w:r>
    </w:p>
    <w:p>
      <w:pPr>
        <w:pStyle w:val="ListBullet"/>
        <w:spacing w:after="160" w:line="280" w:lineRule="auto"/>
        <w:ind w:left="720" w:hanging="360"/>
      </w:pPr>
      <w:r>
        <w:rPr>
          <w:rFonts w:ascii="Calibri" w:hAnsi="Calibri"/>
          <w:b w:val="0"/>
          <w:i w:val="0"/>
          <w:color w:val="111111"/>
          <w:sz w:val="22"/>
        </w:rPr>
        <w:t>Shadow a sample of production tasks through candidate policies with side effects disabled or replayed in a simulator.</w:t>
      </w:r>
    </w:p>
    <w:p>
      <w:pPr>
        <w:pStyle w:val="ListBullet"/>
        <w:spacing w:after="160" w:line="280" w:lineRule="auto"/>
        <w:ind w:left="720" w:hanging="360"/>
      </w:pPr>
      <w:r>
        <w:rPr>
          <w:rFonts w:ascii="Calibri" w:hAnsi="Calibri"/>
          <w:b w:val="0"/>
          <w:i w:val="0"/>
          <w:color w:val="111111"/>
          <w:sz w:val="22"/>
        </w:rPr>
        <w:t>Canary by task/risk slice, not only by aggregate traffic. Automatically roll back on quality, safety, deadline-success, or cost-to-success regressions.</w:t>
      </w:r>
    </w:p>
    <w:p>
      <w:pPr>
        <w:pStyle w:val="ListBullet"/>
        <w:spacing w:after="160" w:line="280" w:lineRule="auto"/>
        <w:ind w:left="720" w:hanging="360"/>
      </w:pPr>
      <w:r>
        <w:rPr>
          <w:rFonts w:ascii="Calibri" w:hAnsi="Calibri"/>
          <w:b w:val="0"/>
          <w:i w:val="0"/>
          <w:color w:val="111111"/>
          <w:sz w:val="22"/>
        </w:rPr>
        <w:t>Mine production traces for novel failures, cluster them, adjudicate representative examples, and promote them into versioned regression cases.</w:t>
      </w:r>
    </w:p>
    <w:p>
      <w:pPr>
        <w:pStyle w:val="ListBullet"/>
        <w:spacing w:after="160" w:line="280" w:lineRule="auto"/>
        <w:ind w:left="720" w:hanging="360"/>
      </w:pPr>
      <w:r>
        <w:rPr>
          <w:rFonts w:ascii="Calibri" w:hAnsi="Calibri"/>
          <w:b w:val="0"/>
          <w:i w:val="0"/>
          <w:color w:val="111111"/>
          <w:sz w:val="22"/>
        </w:rPr>
        <w:t>Detect drift in task mix, tool failures, prompt lengths, cache hit rates, provider behavior, judge scores, and human feedback.</w:t>
      </w:r>
    </w:p>
    <w:p>
      <w:pPr>
        <w:pStyle w:val="ListBullet"/>
        <w:spacing w:after="160" w:line="280" w:lineRule="auto"/>
        <w:ind w:left="720" w:hanging="360"/>
      </w:pPr>
      <w:r>
        <w:rPr>
          <w:rFonts w:ascii="Calibri" w:hAnsi="Calibri"/>
          <w:b w:val="0"/>
          <w:i w:val="0"/>
          <w:color w:val="111111"/>
          <w:sz w:val="22"/>
        </w:rPr>
        <w:t>Require requalification when a model snapshot, provider, quantization, serving engine, evaluator, tool schema, or dataset version changes materially.</w:t>
      </w:r>
    </w:p>
    <w:p>
      <w:pPr>
        <w:pStyle w:val="Heading1"/>
        <w:keepNext/>
      </w:pPr>
      <w:r>
        <w:rPr>
          <w:rFonts w:ascii="Calibri" w:hAnsi="Calibri"/>
          <w:b/>
          <w:i w:val="0"/>
          <w:color w:val="2E74B5"/>
          <w:sz w:val="32"/>
        </w:rPr>
        <w:t>7. Experiment discipline: from observations to comparative evidence</w:t>
      </w:r>
    </w:p>
    <w:tbl>
      <w:tblPr>
        <w:tblW w:type="dxa" w:w="9360"/>
        <w:jc w:val="left"/>
        <w:tblLayout w:type="fixed"/>
        <w:tblLook w:firstColumn="1" w:firstRow="1" w:lastColumn="0" w:lastRow="0" w:noHBand="0" w:noVBand="1" w:val="04A0"/>
        <w:tblInd w:w="120" w:type="dxa"/>
        <w:tblBorders>
          <w:top w:val="single" w:sz="0" w:space="0" w:color="EEF3F8"/>
          <w:left w:val="single" w:sz="0" w:space="0" w:color="EEF3F8"/>
          <w:bottom w:val="single" w:sz="0" w:space="0" w:color="EEF3F8"/>
          <w:right w:val="single" w:sz="0" w:space="0" w:color="EEF3F8"/>
          <w:insideH w:val="single" w:sz="0" w:space="0" w:color="EEF3F8"/>
          <w:insideV w:val="single" w:sz="0" w:space="0" w:color="EEF3F8"/>
        </w:tblBorders>
      </w:tblPr>
      <w:tblGrid>
        <w:gridCol w:w="9360"/>
      </w:tblGrid>
      <w:tr>
        <w:trPr>
          <w:cantSplit/>
        </w:trPr>
        <w:tc>
          <w:tcPr>
            <w:tcW w:type="dxa" w:w="9360"/>
            <w:tcMar>
              <w:top w:w="80" w:type="dxa"/>
              <w:start w:w="120" w:type="dxa"/>
              <w:bottom w:w="80" w:type="dxa"/>
              <w:end w:w="120" w:type="dxa"/>
            </w:tcMar>
            <w:vAlign w:val="center"/>
            <w:shd w:fill="EEF3F8"/>
          </w:tcPr>
          <w:p>
            <w:pPr>
              <w:spacing w:after="0" w:line="269" w:lineRule="auto"/>
            </w:pPr>
            <w:r>
              <w:rPr>
                <w:rFonts w:ascii="Calibri" w:hAnsi="Calibri"/>
                <w:b/>
                <w:i w:val="0"/>
                <w:color w:val="1F4D78"/>
                <w:sz w:val="19"/>
              </w:rPr>
              <w:t xml:space="preserve">CHANGE FROM TODAY  </w:t>
            </w:r>
            <w:r>
              <w:rPr>
                <w:rFonts w:ascii="Calibri" w:hAnsi="Calibri"/>
                <w:b w:val="0"/>
                <w:i w:val="0"/>
                <w:color w:val="111111"/>
                <w:sz w:val="21"/>
              </w:rPr>
              <w:t>Today: Current outcome measures and old-versus-new concepts identify useful questions, but several are single-case, partially observed, or not yet statistically comparable.  Change: Freeze hypotheses, paired blocks, repetitions, exclusions, stopping rules, uncertainty, and holdouts before using results to select a workflow.  Proof: Every claimed improvement states what was held constant, reports paired uncertainty, and distinguishes observation from decision-grade evidence.</w:t>
            </w:r>
          </w:p>
        </w:tc>
      </w:tr>
    </w:tbl>
    <w:p>
      <w:pPr>
        <w:spacing w:after="60"/>
      </w:pPr>
    </w:p>
    <w:p>
      <w:pPr>
        <w:pStyle w:val="Heading2"/>
        <w:keepNext/>
      </w:pPr>
      <w:r>
        <w:rPr>
          <w:rFonts w:ascii="Calibri" w:hAnsi="Calibri"/>
          <w:b/>
          <w:i w:val="0"/>
          <w:color w:val="2E74B5"/>
          <w:sz w:val="26"/>
        </w:rPr>
        <w:t>Control the combinatorial explosion</w:t>
      </w:r>
    </w:p>
    <w:p>
      <w:pPr>
        <w:keepNext w:val="0"/>
        <w:spacing w:before="0" w:after="120" w:line="264" w:lineRule="auto"/>
      </w:pPr>
      <w:r>
        <w:rPr>
          <w:rFonts w:ascii="Calibri" w:hAnsi="Calibri"/>
          <w:b w:val="0"/>
          <w:i w:val="0"/>
          <w:color w:val="111111"/>
          <w:sz w:val="22"/>
        </w:rPr>
        <w:t>If six models are candidates for four roles, a full role assignment already creates 1,296 combinations before prompts, budgets, providers, and repeats. Use a staged funnel:</w:t>
      </w:r>
    </w:p>
    <w:p>
      <w:pPr>
        <w:pStyle w:val="ListNumber"/>
        <w:numPr>
          <w:ilvl w:val="0"/>
          <w:numId w:val="17"/>
        </w:numPr>
        <w:spacing w:after="160" w:line="280" w:lineRule="auto"/>
        <w:ind w:left="720" w:hanging="360"/>
      </w:pPr>
      <w:r>
        <w:rPr>
          <w:rFonts w:ascii="Calibri" w:hAnsi="Calibri"/>
          <w:b w:val="0"/>
          <w:i w:val="0"/>
          <w:color w:val="111111"/>
          <w:sz w:val="22"/>
        </w:rPr>
        <w:t>Compatibility pruning: eliminate candidates that lack required capabilities or exceed hard budget/latency bounds.</w:t>
      </w:r>
    </w:p>
    <w:p>
      <w:pPr>
        <w:pStyle w:val="ListNumber"/>
        <w:numPr>
          <w:ilvl w:val="0"/>
          <w:numId w:val="17"/>
        </w:numPr>
        <w:spacing w:after="160" w:line="280" w:lineRule="auto"/>
        <w:ind w:left="720" w:hanging="360"/>
      </w:pPr>
      <w:r>
        <w:rPr>
          <w:rFonts w:ascii="Calibri" w:hAnsi="Calibri"/>
          <w:b w:val="0"/>
          <w:i w:val="0"/>
          <w:color w:val="111111"/>
          <w:sz w:val="22"/>
        </w:rPr>
        <w:t>Low-cost screening: balanced task subset, one attempt, cheap deterministic scorers, and aggressive early termination.</w:t>
      </w:r>
    </w:p>
    <w:p>
      <w:pPr>
        <w:pStyle w:val="ListNumber"/>
        <w:numPr>
          <w:ilvl w:val="0"/>
          <w:numId w:val="17"/>
        </w:numPr>
        <w:spacing w:after="160" w:line="280" w:lineRule="auto"/>
        <w:ind w:left="720" w:hanging="360"/>
      </w:pPr>
      <w:r>
        <w:rPr>
          <w:rFonts w:ascii="Calibri" w:hAnsi="Calibri"/>
          <w:b w:val="0"/>
          <w:i w:val="0"/>
          <w:color w:val="111111"/>
          <w:sz w:val="22"/>
        </w:rPr>
        <w:t>Design-of-experiments screen: fractional factorial or orthogonal array for main effects and selected interactions.</w:t>
      </w:r>
    </w:p>
    <w:p>
      <w:pPr>
        <w:pStyle w:val="ListNumber"/>
        <w:numPr>
          <w:ilvl w:val="0"/>
          <w:numId w:val="17"/>
        </w:numPr>
        <w:spacing w:after="160" w:line="280" w:lineRule="auto"/>
        <w:ind w:left="720" w:hanging="360"/>
      </w:pPr>
      <w:r>
        <w:rPr>
          <w:rFonts w:ascii="Calibri" w:hAnsi="Calibri"/>
          <w:b w:val="0"/>
          <w:i w:val="0"/>
          <w:color w:val="111111"/>
          <w:sz w:val="22"/>
        </w:rPr>
        <w:t>Adaptive allocation: successive halving/ASHA for weak-candidate pruning; Bayesian or multi-objective search for continuous/ordered controls such as budgets, thresholds, and context sizes.</w:t>
      </w:r>
    </w:p>
    <w:p>
      <w:pPr>
        <w:pStyle w:val="ListNumber"/>
        <w:numPr>
          <w:ilvl w:val="0"/>
          <w:numId w:val="17"/>
        </w:numPr>
        <w:spacing w:after="160" w:line="280" w:lineRule="auto"/>
        <w:ind w:left="720" w:hanging="360"/>
      </w:pPr>
      <w:r>
        <w:rPr>
          <w:rFonts w:ascii="Calibri" w:hAnsi="Calibri"/>
          <w:b w:val="0"/>
          <w:i w:val="0"/>
          <w:color w:val="111111"/>
          <w:sz w:val="22"/>
        </w:rPr>
        <w:t>Final confirmation: complete suite, paired seeds, sufficient repetitions from power/precision analysis, robust scorers, perturbation and failure tests.</w:t>
      </w:r>
    </w:p>
    <w:p>
      <w:pPr>
        <w:pStyle w:val="Heading2"/>
        <w:keepNext/>
      </w:pPr>
      <w:r>
        <w:rPr>
          <w:rFonts w:ascii="Calibri" w:hAnsi="Calibri"/>
          <w:b/>
          <w:i w:val="0"/>
          <w:color w:val="2E74B5"/>
          <w:sz w:val="26"/>
        </w:rPr>
        <w:t>Pre-registration per study</w:t>
      </w:r>
    </w:p>
    <w:p>
      <w:pPr>
        <w:pStyle w:val="ListBullet"/>
        <w:spacing w:after="160" w:line="280" w:lineRule="auto"/>
        <w:ind w:left="720" w:hanging="360"/>
      </w:pPr>
      <w:r>
        <w:rPr>
          <w:rFonts w:ascii="Calibri" w:hAnsi="Calibri"/>
          <w:b w:val="0"/>
          <w:i w:val="0"/>
          <w:color w:val="111111"/>
          <w:sz w:val="22"/>
        </w:rPr>
        <w:t>Primary outcome and gate thresholds; non-inferiority margins; latency SLO and timeout semantics; cost accounting rules.</w:t>
      </w:r>
    </w:p>
    <w:p>
      <w:pPr>
        <w:pStyle w:val="ListBullet"/>
        <w:spacing w:after="160" w:line="280" w:lineRule="auto"/>
        <w:ind w:left="720" w:hanging="360"/>
      </w:pPr>
      <w:r>
        <w:rPr>
          <w:rFonts w:ascii="Calibri" w:hAnsi="Calibri"/>
          <w:b w:val="0"/>
          <w:i w:val="0"/>
          <w:color w:val="111111"/>
          <w:sz w:val="22"/>
        </w:rPr>
        <w:t>Candidate set and frozen configuration dimensions; which interactions are in scope; stopping/early-exit rules.</w:t>
      </w:r>
    </w:p>
    <w:p>
      <w:pPr>
        <w:pStyle w:val="ListBullet"/>
        <w:spacing w:after="160" w:line="280" w:lineRule="auto"/>
        <w:ind w:left="720" w:hanging="360"/>
      </w:pPr>
      <w:r>
        <w:rPr>
          <w:rFonts w:ascii="Calibri" w:hAnsi="Calibri"/>
          <w:b w:val="0"/>
          <w:i w:val="0"/>
          <w:color w:val="111111"/>
          <w:sz w:val="22"/>
        </w:rPr>
        <w:t>Dataset/slices, exclusion rules, scorer versions, judge models, human sample, randomization, and cache policy.</w:t>
      </w:r>
    </w:p>
    <w:p>
      <w:pPr>
        <w:pStyle w:val="ListBullet"/>
        <w:spacing w:after="160" w:line="280" w:lineRule="auto"/>
        <w:ind w:left="720" w:hanging="360"/>
      </w:pPr>
      <w:r>
        <w:rPr>
          <w:rFonts w:ascii="Calibri" w:hAnsi="Calibri"/>
          <w:b w:val="0"/>
          <w:i w:val="0"/>
          <w:color w:val="111111"/>
          <w:sz w:val="22"/>
        </w:rPr>
        <w:t>Statistical analysis: paired task-level deltas, clustered bootstrap intervals, multiple-comparison control, and missing/invalid episode handling.</w:t>
      </w:r>
    </w:p>
    <w:p>
      <w:pPr>
        <w:pStyle w:val="Heading2"/>
        <w:keepNext/>
      </w:pPr>
      <w:r>
        <w:rPr>
          <w:rFonts w:ascii="Calibri" w:hAnsi="Calibri"/>
          <w:b/>
          <w:i w:val="0"/>
          <w:color w:val="2E74B5"/>
          <w:sz w:val="26"/>
        </w:rPr>
        <w:t>Reliability reporting</w:t>
      </w:r>
    </w:p>
    <w:p>
      <w:pPr>
        <w:keepNext w:val="0"/>
        <w:spacing w:before="0" w:after="120" w:line="264" w:lineRule="auto"/>
      </w:pPr>
      <w:r>
        <w:rPr>
          <w:rFonts w:ascii="Calibri" w:hAnsi="Calibri"/>
          <w:b w:val="0"/>
          <w:i w:val="0"/>
          <w:color w:val="111111"/>
          <w:sz w:val="22"/>
        </w:rPr>
        <w:t>Report distributions and uncertainty—not only averages. Include success pass@1, pass@k or pass^k where relevant, median and tail cost/time, worst-slice performance, failure taxonomy, and calibration curves for any confidence/router score. For timeouts and failures, use a declared penalty or survival/deadline analysis; do not compute latency only on successful runs without also reporting the excluded failure rate.</w:t>
      </w:r>
    </w:p>
    <w:p>
      <w:pPr>
        <w:pStyle w:val="Heading2"/>
        <w:keepNext/>
      </w:pPr>
      <w:r>
        <w:rPr>
          <w:rFonts w:ascii="Calibri" w:hAnsi="Calibri"/>
          <w:b/>
          <w:i w:val="0"/>
          <w:color w:val="2E74B5"/>
          <w:sz w:val="26"/>
        </w:rPr>
        <w:t>Avoid common evaluator pathologies</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2300"/>
        <w:gridCol w:w="7060"/>
      </w:tblGrid>
      <w:tr>
        <w:trPr>
          <w:tblHeader w:val="true"/>
          <w:cantSplit/>
        </w:trPr>
        <w:tc>
          <w:tcPr>
            <w:tcW w:type="dxa" w:w="23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Pathology</w:t>
            </w:r>
          </w:p>
        </w:tc>
        <w:tc>
          <w:tcPr>
            <w:tcW w:type="dxa" w:w="706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Prevention</w:t>
            </w:r>
          </w:p>
        </w:tc>
      </w:tr>
      <w:tr>
        <w:trPr>
          <w:cantSplit/>
        </w:trPr>
        <w:tc>
          <w:tcPr>
            <w:tcW w:type="dxa" w:w="2300"/>
            <w:tcMar>
              <w:top w:w="80" w:type="dxa"/>
              <w:start w:w="120" w:type="dxa"/>
              <w:bottom w:w="80" w:type="dxa"/>
              <w:end w:w="120" w:type="dxa"/>
            </w:tcMar>
            <w:vAlign w:val="center"/>
          </w:tcPr>
          <w:p>
            <w:pPr>
              <w:spacing w:after="0" w:line="257" w:lineRule="auto"/>
            </w:pPr>
            <w:r>
              <w:rPr>
                <w:rFonts w:ascii="Calibri" w:hAnsi="Calibri"/>
                <w:b w:val="0"/>
                <w:i w:val="0"/>
                <w:color w:val="111111"/>
                <w:sz w:val="17"/>
              </w:rPr>
              <w:t>Judge leakage / identity bias</w:t>
            </w:r>
          </w:p>
        </w:tc>
        <w:tc>
          <w:tcPr>
            <w:tcW w:type="dxa" w:w="7060"/>
            <w:tcMar>
              <w:top w:w="80" w:type="dxa"/>
              <w:start w:w="120" w:type="dxa"/>
              <w:bottom w:w="80" w:type="dxa"/>
              <w:end w:w="120" w:type="dxa"/>
            </w:tcMar>
            <w:vAlign w:val="center"/>
          </w:tcPr>
          <w:p>
            <w:pPr>
              <w:spacing w:after="0" w:line="257" w:lineRule="auto"/>
            </w:pPr>
            <w:r>
              <w:rPr>
                <w:rFonts w:ascii="Calibri" w:hAnsi="Calibri"/>
                <w:b w:val="0"/>
                <w:i w:val="0"/>
                <w:color w:val="111111"/>
                <w:sz w:val="17"/>
              </w:rPr>
              <w:t>Blind model/provider names, strip stylistic signatures when possible, randomize pair order.</w:t>
            </w:r>
          </w:p>
        </w:tc>
      </w:tr>
      <w:tr>
        <w:trPr>
          <w:cantSplit/>
        </w:trPr>
        <w:tc>
          <w:tcPr>
            <w:tcW w:type="dxa" w:w="2300"/>
            <w:tcMar>
              <w:top w:w="80" w:type="dxa"/>
              <w:start w:w="120" w:type="dxa"/>
              <w:bottom w:w="80" w:type="dxa"/>
              <w:end w:w="120" w:type="dxa"/>
            </w:tcMar>
            <w:vAlign w:val="center"/>
          </w:tcPr>
          <w:p>
            <w:pPr>
              <w:spacing w:after="0" w:line="257" w:lineRule="auto"/>
            </w:pPr>
            <w:r>
              <w:rPr>
                <w:rFonts w:ascii="Calibri" w:hAnsi="Calibri"/>
                <w:b w:val="0"/>
                <w:i w:val="0"/>
                <w:color w:val="111111"/>
                <w:sz w:val="17"/>
              </w:rPr>
              <w:t>Evaluator overfitting</w:t>
            </w:r>
          </w:p>
        </w:tc>
        <w:tc>
          <w:tcPr>
            <w:tcW w:type="dxa" w:w="7060"/>
            <w:tcMar>
              <w:top w:w="80" w:type="dxa"/>
              <w:start w:w="120" w:type="dxa"/>
              <w:bottom w:w="80" w:type="dxa"/>
              <w:end w:w="120" w:type="dxa"/>
            </w:tcMar>
            <w:vAlign w:val="center"/>
          </w:tcPr>
          <w:p>
            <w:pPr>
              <w:spacing w:after="0" w:line="257" w:lineRule="auto"/>
            </w:pPr>
            <w:r>
              <w:rPr>
                <w:rFonts w:ascii="Calibri" w:hAnsi="Calibri"/>
                <w:b w:val="0"/>
                <w:i w:val="0"/>
                <w:color w:val="111111"/>
                <w:sz w:val="17"/>
              </w:rPr>
              <w:t>Sequestered holdout, rotating private cases, evaluator-version changes trigger requalification.</w:t>
            </w:r>
          </w:p>
        </w:tc>
      </w:tr>
      <w:tr>
        <w:trPr>
          <w:cantSplit/>
        </w:trPr>
        <w:tc>
          <w:tcPr>
            <w:tcW w:type="dxa" w:w="2300"/>
            <w:tcMar>
              <w:top w:w="80" w:type="dxa"/>
              <w:start w:w="120" w:type="dxa"/>
              <w:bottom w:w="80" w:type="dxa"/>
              <w:end w:w="120" w:type="dxa"/>
            </w:tcMar>
            <w:vAlign w:val="center"/>
          </w:tcPr>
          <w:p>
            <w:pPr>
              <w:spacing w:after="0" w:line="257" w:lineRule="auto"/>
            </w:pPr>
            <w:r>
              <w:rPr>
                <w:rFonts w:ascii="Calibri" w:hAnsi="Calibri"/>
                <w:b w:val="0"/>
                <w:i w:val="0"/>
                <w:color w:val="111111"/>
                <w:sz w:val="17"/>
              </w:rPr>
              <w:t>Cache contamination</w:t>
            </w:r>
          </w:p>
        </w:tc>
        <w:tc>
          <w:tcPr>
            <w:tcW w:type="dxa" w:w="7060"/>
            <w:tcMar>
              <w:top w:w="80" w:type="dxa"/>
              <w:start w:w="120" w:type="dxa"/>
              <w:bottom w:w="80" w:type="dxa"/>
              <w:end w:w="120" w:type="dxa"/>
            </w:tcMar>
            <w:vAlign w:val="center"/>
          </w:tcPr>
          <w:p>
            <w:pPr>
              <w:spacing w:after="0" w:line="257" w:lineRule="auto"/>
            </w:pPr>
            <w:r>
              <w:rPr>
                <w:rFonts w:ascii="Calibri" w:hAnsi="Calibri"/>
                <w:b w:val="0"/>
                <w:i w:val="0"/>
                <w:color w:val="111111"/>
                <w:sz w:val="17"/>
              </w:rPr>
              <w:t>Separate namespaces/arms; randomization blocks account for intended warm sequences.</w:t>
            </w:r>
          </w:p>
        </w:tc>
      </w:tr>
      <w:tr>
        <w:trPr>
          <w:cantSplit/>
        </w:trPr>
        <w:tc>
          <w:tcPr>
            <w:tcW w:type="dxa" w:w="2300"/>
            <w:tcMar>
              <w:top w:w="80" w:type="dxa"/>
              <w:start w:w="120" w:type="dxa"/>
              <w:bottom w:w="80" w:type="dxa"/>
              <w:end w:w="120" w:type="dxa"/>
            </w:tcMar>
            <w:vAlign w:val="center"/>
          </w:tcPr>
          <w:p>
            <w:pPr>
              <w:spacing w:after="0" w:line="257" w:lineRule="auto"/>
            </w:pPr>
            <w:r>
              <w:rPr>
                <w:rFonts w:ascii="Calibri" w:hAnsi="Calibri"/>
                <w:b w:val="0"/>
                <w:i w:val="0"/>
                <w:color w:val="111111"/>
                <w:sz w:val="17"/>
              </w:rPr>
              <w:t>Survivorship bias</w:t>
            </w:r>
          </w:p>
        </w:tc>
        <w:tc>
          <w:tcPr>
            <w:tcW w:type="dxa" w:w="7060"/>
            <w:tcMar>
              <w:top w:w="80" w:type="dxa"/>
              <w:start w:w="120" w:type="dxa"/>
              <w:bottom w:w="80" w:type="dxa"/>
              <w:end w:w="120" w:type="dxa"/>
            </w:tcMar>
            <w:vAlign w:val="center"/>
          </w:tcPr>
          <w:p>
            <w:pPr>
              <w:spacing w:after="0" w:line="257" w:lineRule="auto"/>
            </w:pPr>
            <w:r>
              <w:rPr>
                <w:rFonts w:ascii="Calibri" w:hAnsi="Calibri"/>
                <w:b w:val="0"/>
                <w:i w:val="0"/>
                <w:color w:val="111111"/>
                <w:sz w:val="17"/>
              </w:rPr>
              <w:t>Charge failures and retries to cost; report deadline success and invalid episodes.</w:t>
            </w:r>
          </w:p>
        </w:tc>
      </w:tr>
      <w:tr>
        <w:trPr>
          <w:cantSplit/>
        </w:trPr>
        <w:tc>
          <w:tcPr>
            <w:tcW w:type="dxa" w:w="2300"/>
            <w:tcMar>
              <w:top w:w="80" w:type="dxa"/>
              <w:start w:w="120" w:type="dxa"/>
              <w:bottom w:w="80" w:type="dxa"/>
              <w:end w:w="120" w:type="dxa"/>
            </w:tcMar>
            <w:vAlign w:val="center"/>
          </w:tcPr>
          <w:p>
            <w:pPr>
              <w:spacing w:after="0" w:line="257" w:lineRule="auto"/>
            </w:pPr>
            <w:r>
              <w:rPr>
                <w:rFonts w:ascii="Calibri" w:hAnsi="Calibri"/>
                <w:b w:val="0"/>
                <w:i w:val="0"/>
                <w:color w:val="111111"/>
                <w:sz w:val="17"/>
              </w:rPr>
              <w:t>Provider non-equivalence</w:t>
            </w:r>
          </w:p>
        </w:tc>
        <w:tc>
          <w:tcPr>
            <w:tcW w:type="dxa" w:w="7060"/>
            <w:tcMar>
              <w:top w:w="80" w:type="dxa"/>
              <w:start w:w="120" w:type="dxa"/>
              <w:bottom w:w="80" w:type="dxa"/>
              <w:end w:w="120" w:type="dxa"/>
            </w:tcMar>
            <w:vAlign w:val="center"/>
          </w:tcPr>
          <w:p>
            <w:pPr>
              <w:spacing w:after="0" w:line="257" w:lineRule="auto"/>
            </w:pPr>
            <w:r>
              <w:rPr>
                <w:rFonts w:ascii="Calibri" w:hAnsi="Calibri"/>
                <w:b w:val="0"/>
                <w:i w:val="0"/>
                <w:color w:val="111111"/>
                <w:sz w:val="17"/>
              </w:rPr>
              <w:t>Paired quality gate; pin serving details; treat different behavior as a different deployment.</w:t>
            </w:r>
          </w:p>
        </w:tc>
      </w:tr>
      <w:tr>
        <w:trPr>
          <w:cantSplit/>
        </w:trPr>
        <w:tc>
          <w:tcPr>
            <w:tcW w:type="dxa" w:w="2300"/>
            <w:tcMar>
              <w:top w:w="80" w:type="dxa"/>
              <w:start w:w="120" w:type="dxa"/>
              <w:bottom w:w="80" w:type="dxa"/>
              <w:end w:w="120" w:type="dxa"/>
            </w:tcMar>
            <w:vAlign w:val="center"/>
          </w:tcPr>
          <w:p>
            <w:pPr>
              <w:spacing w:after="0" w:line="257" w:lineRule="auto"/>
            </w:pPr>
            <w:r>
              <w:rPr>
                <w:rFonts w:ascii="Calibri" w:hAnsi="Calibri"/>
                <w:b w:val="0"/>
                <w:i w:val="0"/>
                <w:color w:val="111111"/>
                <w:sz w:val="17"/>
              </w:rPr>
              <w:t>Metric gaming</w:t>
            </w:r>
          </w:p>
        </w:tc>
        <w:tc>
          <w:tcPr>
            <w:tcW w:type="dxa" w:w="7060"/>
            <w:tcMar>
              <w:top w:w="80" w:type="dxa"/>
              <w:start w:w="120" w:type="dxa"/>
              <w:bottom w:w="80" w:type="dxa"/>
              <w:end w:w="120" w:type="dxa"/>
            </w:tcMar>
            <w:vAlign w:val="center"/>
          </w:tcPr>
          <w:p>
            <w:pPr>
              <w:spacing w:after="0" w:line="257" w:lineRule="auto"/>
            </w:pPr>
            <w:r>
              <w:rPr>
                <w:rFonts w:ascii="Calibri" w:hAnsi="Calibri"/>
                <w:b w:val="0"/>
                <w:i w:val="0"/>
                <w:color w:val="111111"/>
                <w:sz w:val="17"/>
              </w:rPr>
              <w:t>Outcome and safety gates; audit short trajectories; preserve raw traces and adversarial cases.</w:t>
            </w:r>
          </w:p>
        </w:tc>
      </w:tr>
      <w:tr>
        <w:trPr>
          <w:cantSplit/>
        </w:trPr>
        <w:tc>
          <w:tcPr>
            <w:tcW w:type="dxa" w:w="2300"/>
            <w:tcMar>
              <w:top w:w="80" w:type="dxa"/>
              <w:start w:w="120" w:type="dxa"/>
              <w:bottom w:w="80" w:type="dxa"/>
              <w:end w:w="120" w:type="dxa"/>
            </w:tcMar>
            <w:vAlign w:val="center"/>
          </w:tcPr>
          <w:p>
            <w:pPr>
              <w:spacing w:after="0" w:line="257" w:lineRule="auto"/>
            </w:pPr>
            <w:r>
              <w:rPr>
                <w:rFonts w:ascii="Calibri" w:hAnsi="Calibri"/>
                <w:b w:val="0"/>
                <w:i w:val="0"/>
                <w:color w:val="111111"/>
                <w:sz w:val="17"/>
              </w:rPr>
              <w:t>Tool nondeterminism</w:t>
            </w:r>
          </w:p>
        </w:tc>
        <w:tc>
          <w:tcPr>
            <w:tcW w:type="dxa" w:w="7060"/>
            <w:tcMar>
              <w:top w:w="80" w:type="dxa"/>
              <w:start w:w="120" w:type="dxa"/>
              <w:bottom w:w="80" w:type="dxa"/>
              <w:end w:w="120" w:type="dxa"/>
            </w:tcMar>
            <w:vAlign w:val="center"/>
          </w:tcPr>
          <w:p>
            <w:pPr>
              <w:spacing w:after="0" w:line="257" w:lineRule="auto"/>
            </w:pPr>
            <w:r>
              <w:rPr>
                <w:rFonts w:ascii="Calibri" w:hAnsi="Calibri"/>
                <w:b w:val="0"/>
                <w:i w:val="0"/>
                <w:color w:val="111111"/>
                <w:sz w:val="17"/>
              </w:rPr>
              <w:t>Record/replay or deterministic simulators for model studies; live tools reserved for robustness studies.</w:t>
            </w:r>
          </w:p>
        </w:tc>
      </w:tr>
    </w:tbl>
    <w:p>
      <w:pPr>
        <w:spacing w:after="40"/>
      </w:pPr>
    </w:p>
    <w:p>
      <w:pPr>
        <w:pStyle w:val="Heading1"/>
        <w:keepNext/>
      </w:pPr>
      <w:r>
        <w:rPr>
          <w:rFonts w:ascii="Calibri" w:hAnsi="Calibri"/>
          <w:b/>
          <w:i w:val="0"/>
          <w:color w:val="2E74B5"/>
          <w:sz w:val="32"/>
        </w:rPr>
        <w:t>8. Tooling change: from embedded implementation to a replaceable open core</w:t>
      </w:r>
    </w:p>
    <w:tbl>
      <w:tblPr>
        <w:tblW w:type="dxa" w:w="9360"/>
        <w:jc w:val="left"/>
        <w:tblLayout w:type="fixed"/>
        <w:tblLook w:firstColumn="1" w:firstRow="1" w:lastColumn="0" w:lastRow="0" w:noHBand="0" w:noVBand="1" w:val="04A0"/>
        <w:tblInd w:w="120" w:type="dxa"/>
        <w:tblBorders>
          <w:top w:val="single" w:sz="0" w:space="0" w:color="EEF3F8"/>
          <w:left w:val="single" w:sz="0" w:space="0" w:color="EEF3F8"/>
          <w:bottom w:val="single" w:sz="0" w:space="0" w:color="EEF3F8"/>
          <w:right w:val="single" w:sz="0" w:space="0" w:color="EEF3F8"/>
          <w:insideH w:val="single" w:sz="0" w:space="0" w:color="EEF3F8"/>
          <w:insideV w:val="single" w:sz="0" w:space="0" w:color="EEF3F8"/>
        </w:tblBorders>
      </w:tblPr>
      <w:tblGrid>
        <w:gridCol w:w="9360"/>
      </w:tblGrid>
      <w:tr>
        <w:trPr>
          <w:cantSplit/>
        </w:trPr>
        <w:tc>
          <w:tcPr>
            <w:tcW w:type="dxa" w:w="9360"/>
            <w:tcMar>
              <w:top w:w="80" w:type="dxa"/>
              <w:start w:w="120" w:type="dxa"/>
              <w:bottom w:w="80" w:type="dxa"/>
              <w:end w:w="120" w:type="dxa"/>
            </w:tcMar>
            <w:vAlign w:val="center"/>
            <w:shd w:fill="EEF3F8"/>
          </w:tcPr>
          <w:p>
            <w:pPr>
              <w:spacing w:after="0" w:line="269" w:lineRule="auto"/>
            </w:pPr>
            <w:r>
              <w:rPr>
                <w:rFonts w:ascii="Calibri" w:hAnsi="Calibri"/>
                <w:b/>
                <w:i w:val="0"/>
                <w:color w:val="1F4D78"/>
                <w:sz w:val="19"/>
              </w:rPr>
              <w:t xml:space="preserve">CHANGE FROM TODAY  </w:t>
            </w:r>
            <w:r>
              <w:rPr>
                <w:rFonts w:ascii="Calibri" w:hAnsi="Calibri"/>
                <w:b w:val="0"/>
                <w:i w:val="0"/>
                <w:color w:val="111111"/>
                <w:sz w:val="21"/>
              </w:rPr>
              <w:t>Today: Evaluation logic and reporting are closely coupled to the current Agentic Builder implementation.  Change: Own the schemas and evidence contracts; place runners, gateways, trace stores, and managed platforms behind conformance-tested adapters.  Proof: The same pilot suite runs through two runner paths and multiple deployment adapters without changing task or scorer code.</w:t>
            </w:r>
          </w:p>
        </w:tc>
      </w:tr>
    </w:tbl>
    <w:p>
      <w:pPr>
        <w:spacing w:after="60"/>
      </w:pP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after="0" w:line="269" w:lineRule="auto"/>
            </w:pPr>
            <w:r>
              <w:rPr>
                <w:rFonts w:ascii="Calibri" w:hAnsi="Calibri"/>
                <w:b/>
                <w:i w:val="0"/>
                <w:color w:val="0B2545"/>
                <w:sz w:val="19"/>
              </w:rPr>
              <w:t xml:space="preserve">BASELINE STACK  </w:t>
            </w:r>
            <w:r>
              <w:rPr>
                <w:rFonts w:ascii="Calibri" w:hAnsi="Calibri"/>
                <w:b w:val="0"/>
                <w:i w:val="0"/>
                <w:color w:val="111111"/>
                <w:sz w:val="21"/>
              </w:rPr>
              <w:t xml:space="preserve">An evaluator-owned control plane and canonical contracts; a replaceable EvalRunner with </w:t>
            </w:r>
            <w:hyperlink r:id="rId11">
              <w:r>
                <w:rPr>
                  <w:rFonts w:ascii="Calibri" w:hAnsi="Calibri"/>
                  <w:color w:val="2E74B5"/>
                  <w:u w:val="single"/>
                  <w:sz w:val="21"/>
                  <w:szCs w:val="21"/>
                </w:rPr>
                <w:t>Inspect AI</w:t>
              </w:r>
            </w:hyperlink>
            <w:r>
              <w:rPr>
                <w:rFonts w:ascii="Calibri" w:hAnsi="Calibri"/>
                <w:b w:val="0"/>
                <w:i w:val="0"/>
                <w:color w:val="111111"/>
                <w:sz w:val="21"/>
              </w:rPr>
              <w:t xml:space="preserve"> and thin-custom implementations; native-direct provider adapters as the reference path; a replaceable ProviderGateway with </w:t>
            </w:r>
            <w:hyperlink r:id="rId12">
              <w:r>
                <w:rPr>
                  <w:rFonts w:ascii="Calibri" w:hAnsi="Calibri"/>
                  <w:color w:val="2E74B5"/>
                  <w:u w:val="single"/>
                  <w:sz w:val="21"/>
                  <w:szCs w:val="21"/>
                </w:rPr>
                <w:t>Bifrost</w:t>
              </w:r>
            </w:hyperlink>
            <w:r>
              <w:rPr>
                <w:rFonts w:ascii="Calibri" w:hAnsi="Calibri"/>
                <w:b w:val="0"/>
                <w:i w:val="0"/>
                <w:color w:val="111111"/>
                <w:sz w:val="21"/>
              </w:rPr>
              <w:t xml:space="preserve">, </w:t>
            </w:r>
            <w:hyperlink r:id="rId13">
              <w:r>
                <w:rPr>
                  <w:rFonts w:ascii="Calibri" w:hAnsi="Calibri"/>
                  <w:color w:val="2E74B5"/>
                  <w:u w:val="single"/>
                  <w:sz w:val="21"/>
                  <w:szCs w:val="21"/>
                </w:rPr>
                <w:t>Portkey</w:t>
              </w:r>
            </w:hyperlink>
            <w:r>
              <w:rPr>
                <w:rFonts w:ascii="Calibri" w:hAnsi="Calibri"/>
                <w:b w:val="0"/>
                <w:i w:val="0"/>
                <w:color w:val="111111"/>
                <w:sz w:val="21"/>
              </w:rPr>
              <w:t xml:space="preserve">, </w:t>
            </w:r>
            <w:hyperlink r:id="rId14">
              <w:r>
                <w:rPr>
                  <w:rFonts w:ascii="Calibri" w:hAnsi="Calibri"/>
                  <w:color w:val="2E74B5"/>
                  <w:u w:val="single"/>
                  <w:sz w:val="21"/>
                  <w:szCs w:val="21"/>
                </w:rPr>
                <w:t>LiteLLM</w:t>
              </w:r>
            </w:hyperlink>
            <w:r>
              <w:rPr>
                <w:rFonts w:ascii="Calibri" w:hAnsi="Calibri"/>
                <w:b w:val="0"/>
                <w:i w:val="0"/>
                <w:color w:val="111111"/>
                <w:sz w:val="21"/>
              </w:rPr>
              <w:t xml:space="preserve">, and managed implementations; </w:t>
            </w:r>
            <w:hyperlink r:id="rId15">
              <w:r>
                <w:rPr>
                  <w:rFonts w:ascii="Calibri" w:hAnsi="Calibri"/>
                  <w:color w:val="2E74B5"/>
                  <w:u w:val="single"/>
                  <w:sz w:val="21"/>
                  <w:szCs w:val="21"/>
                </w:rPr>
                <w:t>OpenTelemetry</w:t>
              </w:r>
            </w:hyperlink>
            <w:r>
              <w:rPr>
                <w:rFonts w:ascii="Calibri" w:hAnsi="Calibri"/>
                <w:b w:val="0"/>
                <w:i w:val="0"/>
                <w:color w:val="111111"/>
                <w:sz w:val="21"/>
              </w:rPr>
              <w:t>/</w:t>
            </w:r>
            <w:hyperlink r:id="rId29">
              <w:r>
                <w:rPr>
                  <w:rFonts w:ascii="Calibri" w:hAnsi="Calibri"/>
                  <w:color w:val="2E74B5"/>
                  <w:u w:val="single"/>
                  <w:sz w:val="21"/>
                  <w:szCs w:val="21"/>
                </w:rPr>
                <w:t>OpenInference</w:t>
              </w:r>
            </w:hyperlink>
            <w:r>
              <w:rPr>
                <w:rFonts w:ascii="Calibri" w:hAnsi="Calibri"/>
                <w:b w:val="0"/>
                <w:i w:val="0"/>
                <w:color w:val="111111"/>
                <w:sz w:val="21"/>
              </w:rPr>
              <w:t xml:space="preserve">-compatible traces; </w:t>
            </w:r>
            <w:hyperlink r:id="rId31">
              <w:r>
                <w:rPr>
                  <w:rFonts w:ascii="Calibri" w:hAnsi="Calibri"/>
                  <w:color w:val="2E74B5"/>
                  <w:u w:val="single"/>
                  <w:sz w:val="21"/>
                  <w:szCs w:val="21"/>
                </w:rPr>
                <w:t>Langfuse</w:t>
              </w:r>
            </w:hyperlink>
            <w:r>
              <w:rPr>
                <w:rFonts w:ascii="Calibri" w:hAnsi="Calibri"/>
                <w:b w:val="0"/>
                <w:i w:val="0"/>
                <w:color w:val="111111"/>
                <w:sz w:val="21"/>
              </w:rPr>
              <w:t xml:space="preserve"> or </w:t>
            </w:r>
            <w:hyperlink r:id="rId35">
              <w:r>
                <w:rPr>
                  <w:rFonts w:ascii="Calibri" w:hAnsi="Calibri"/>
                  <w:color w:val="2E74B5"/>
                  <w:u w:val="single"/>
                  <w:sz w:val="21"/>
                  <w:szCs w:val="21"/>
                </w:rPr>
                <w:t>Opik</w:t>
              </w:r>
            </w:hyperlink>
            <w:r>
              <w:rPr>
                <w:rFonts w:ascii="Calibri" w:hAnsi="Calibri"/>
                <w:b w:val="0"/>
                <w:i w:val="0"/>
                <w:color w:val="111111"/>
                <w:sz w:val="21"/>
              </w:rPr>
              <w:t xml:space="preserve"> as the initial self-hosted experiment UI; PostgreSQL + object storage/Parquet for durable results; DuckDB for local analysis; Optuna or </w:t>
            </w:r>
            <w:hyperlink r:id="rId33">
              <w:r>
                <w:rPr>
                  <w:rFonts w:ascii="Calibri" w:hAnsi="Calibri"/>
                  <w:color w:val="2E74B5"/>
                  <w:u w:val="single"/>
                  <w:sz w:val="21"/>
                  <w:szCs w:val="21"/>
                </w:rPr>
                <w:t>Ray Tune</w:t>
              </w:r>
            </w:hyperlink>
            <w:r>
              <w:rPr>
                <w:rFonts w:ascii="Calibri" w:hAnsi="Calibri"/>
                <w:b w:val="0"/>
                <w:i w:val="0"/>
                <w:color w:val="111111"/>
                <w:sz w:val="21"/>
              </w:rPr>
              <w:t xml:space="preserve"> for search; and </w:t>
            </w:r>
            <w:hyperlink r:id="rId19">
              <w:r>
                <w:rPr>
                  <w:rFonts w:ascii="Calibri" w:hAnsi="Calibri"/>
                  <w:color w:val="2E74B5"/>
                  <w:u w:val="single"/>
                  <w:sz w:val="21"/>
                  <w:szCs w:val="21"/>
                </w:rPr>
                <w:t>vLLM</w:t>
              </w:r>
            </w:hyperlink>
            <w:r>
              <w:rPr>
                <w:rFonts w:ascii="Calibri" w:hAnsi="Calibri"/>
                <w:b w:val="0"/>
                <w:i w:val="0"/>
                <w:color w:val="111111"/>
                <w:sz w:val="21"/>
              </w:rPr>
              <w:t xml:space="preserve"> for open-weight baseline serving.</w:t>
            </w:r>
          </w:p>
        </w:tc>
      </w:tr>
    </w:tbl>
    <w:p>
      <w:pPr>
        <w:spacing w:after="60"/>
      </w:pPr>
    </w:p>
    <w:p>
      <w:pPr>
        <w:pStyle w:val="Heading2"/>
        <w:keepNext/>
      </w:pPr>
      <w:r>
        <w:rPr>
          <w:rFonts w:ascii="Calibri" w:hAnsi="Calibri"/>
          <w:b/>
          <w:i w:val="0"/>
          <w:color w:val="2E74B5"/>
          <w:sz w:val="26"/>
        </w:rPr>
        <w:t>Why Inspect AI is the initial runner candidate</w:t>
      </w:r>
    </w:p>
    <w:p>
      <w:pPr>
        <w:keepNext w:val="0"/>
        <w:spacing w:before="0" w:after="120" w:line="264" w:lineRule="auto"/>
      </w:pPr>
      <w:r>
        <w:rPr>
          <w:rFonts w:ascii="Calibri" w:hAnsi="Calibri"/>
          <w:b w:val="0"/>
          <w:i w:val="0"/>
          <w:color w:val="111111"/>
          <w:sz w:val="22"/>
        </w:rPr>
        <w:t>Inspect maps naturally to long-horizon agent evaluation: tasks combine datasets, solvers/agents, tools, and scorers; it supports custom and MCP tools, external agents, multi-agent primitives, more than 20 model providers, and extensible sandboxes. It is MIT-licensed and its run configuration supports model roles. These strengths reduce the amount of undifferentiated runner and isolation code required for the first pilot.</w:t>
      </w:r>
    </w:p>
    <w:p>
      <w:pPr>
        <w:keepNext w:val="0"/>
        <w:spacing w:before="0" w:after="120" w:line="264" w:lineRule="auto"/>
      </w:pPr>
      <w:r>
        <w:rPr>
          <w:rFonts w:ascii="Calibri" w:hAnsi="Calibri"/>
          <w:b w:val="0"/>
          <w:i w:val="0"/>
          <w:color w:val="111111"/>
          <w:sz w:val="22"/>
        </w:rPr>
        <w:t>The recommendation is deliberately bounded. Inspect does not replace the proposed multi-objective optimizer, provider-equivalence laboratory, normalized cache and landed-cost accounting, statistical scheduler, canonical identifiers, or production collaboration layer. The evaluator must therefore access Inspect through a conformance-tested EvalRunner interface and preserve a direct custom-runner path.</w:t>
      </w:r>
    </w:p>
    <w:p>
      <w:pPr>
        <w:pStyle w:val="Heading2"/>
        <w:keepNext/>
      </w:pPr>
      <w:r>
        <w:rPr>
          <w:rFonts w:ascii="Calibri" w:hAnsi="Calibri"/>
          <w:b/>
          <w:i w:val="0"/>
          <w:color w:val="2E74B5"/>
          <w:sz w:val="26"/>
        </w:rPr>
        <w:t>Evaluation execution and harness candidates</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560"/>
        <w:gridCol w:w="2910"/>
        <w:gridCol w:w="3230"/>
        <w:gridCol w:w="1660"/>
      </w:tblGrid>
      <w:tr>
        <w:trPr>
          <w:tblHeader w:val="true"/>
          <w:cantSplit/>
        </w:trPr>
        <w:tc>
          <w:tcPr>
            <w:tcW w:type="dxa" w:w="156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Candidate</w:t>
            </w:r>
          </w:p>
        </w:tc>
        <w:tc>
          <w:tcPr>
            <w:tcW w:type="dxa" w:w="291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Best fit / strength</w:t>
            </w:r>
          </w:p>
        </w:tc>
        <w:tc>
          <w:tcPr>
            <w:tcW w:type="dxa" w:w="323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Limitation for this evaluator</w:t>
            </w:r>
          </w:p>
        </w:tc>
        <w:tc>
          <w:tcPr>
            <w:tcW w:type="dxa" w:w="166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Disposition</w:t>
            </w:r>
          </w:p>
        </w:tc>
      </w:tr>
      <w:tr>
        <w:trPr>
          <w:cantSplit/>
        </w:trPr>
        <w:tc>
          <w:tcPr>
            <w:tcW w:type="dxa" w:w="1560"/>
            <w:tcMar>
              <w:top w:w="80" w:type="dxa"/>
              <w:start w:w="120" w:type="dxa"/>
              <w:bottom w:w="80" w:type="dxa"/>
              <w:end w:w="120" w:type="dxa"/>
            </w:tcMar>
            <w:vAlign w:val="center"/>
          </w:tcPr>
          <w:p>
            <w:pPr>
              <w:spacing w:after="0" w:line="257" w:lineRule="auto"/>
            </w:pPr>
            <w:hyperlink r:id="rId11">
              <w:r>
                <w:rPr>
                  <w:rFonts w:ascii="Calibri" w:hAnsi="Calibri"/>
                  <w:color w:val="2E74B5"/>
                  <w:u w:val="single"/>
                  <w:sz w:val="15"/>
                  <w:szCs w:val="15"/>
                </w:rPr>
                <w:t>Inspect AI</w:t>
              </w:r>
            </w:hyperlink>
            <w:r>
              <w:rPr>
                <w:rFonts w:ascii="Calibri" w:hAnsi="Calibri"/>
                <w:b w:val="0"/>
                <w:i w:val="0"/>
                <w:color w:val="111111"/>
                <w:sz w:val="15"/>
              </w:rPr>
              <w:t xml:space="preserve"> — MIT</w:t>
            </w:r>
          </w:p>
        </w:tc>
        <w:tc>
          <w:tcPr>
            <w:tcW w:type="dxa" w:w="2910"/>
            <w:tcMar>
              <w:top w:w="80" w:type="dxa"/>
              <w:start w:w="120" w:type="dxa"/>
              <w:bottom w:w="80" w:type="dxa"/>
              <w:end w:w="120" w:type="dxa"/>
            </w:tcMar>
            <w:vAlign w:val="center"/>
          </w:tcPr>
          <w:p>
            <w:pPr>
              <w:spacing w:after="0" w:line="257" w:lineRule="auto"/>
            </w:pPr>
            <w:r>
              <w:rPr>
                <w:rFonts w:ascii="Calibri" w:hAnsi="Calibri"/>
                <w:b w:val="0"/>
                <w:i w:val="0"/>
                <w:color w:val="111111"/>
                <w:sz w:val="15"/>
              </w:rPr>
              <w:t>Broad, stateful, sandboxed, tool-using and external-agent evaluations; reusable public evals.</w:t>
            </w:r>
          </w:p>
        </w:tc>
        <w:tc>
          <w:tcPr>
            <w:tcW w:type="dxa" w:w="3230"/>
            <w:tcMar>
              <w:top w:w="80" w:type="dxa"/>
              <w:start w:w="120" w:type="dxa"/>
              <w:bottom w:w="80" w:type="dxa"/>
              <w:end w:w="120" w:type="dxa"/>
            </w:tcMar>
            <w:vAlign w:val="center"/>
          </w:tcPr>
          <w:p>
            <w:pPr>
              <w:spacing w:after="0" w:line="257" w:lineRule="auto"/>
            </w:pPr>
            <w:r>
              <w:rPr>
                <w:rFonts w:ascii="Calibri" w:hAnsi="Calibri"/>
                <w:b w:val="0"/>
                <w:i w:val="0"/>
                <w:color w:val="111111"/>
                <w:sz w:val="15"/>
              </w:rPr>
              <w:t>Python-centric; custom optimizer, accounting, warehouse, and collaboration layer remain necessary.</w:t>
            </w:r>
          </w:p>
        </w:tc>
        <w:tc>
          <w:tcPr>
            <w:tcW w:type="dxa" w:w="1660"/>
            <w:tcMar>
              <w:top w:w="80" w:type="dxa"/>
              <w:start w:w="120" w:type="dxa"/>
              <w:bottom w:w="80" w:type="dxa"/>
              <w:end w:w="120" w:type="dxa"/>
            </w:tcMar>
            <w:vAlign w:val="center"/>
          </w:tcPr>
          <w:p>
            <w:pPr>
              <w:spacing w:after="0" w:line="257" w:lineRule="auto"/>
            </w:pPr>
            <w:r>
              <w:rPr>
                <w:rFonts w:ascii="Calibri" w:hAnsi="Calibri"/>
                <w:b w:val="0"/>
                <w:i w:val="0"/>
                <w:color w:val="111111"/>
                <w:sz w:val="15"/>
              </w:rPr>
              <w:t>Preferred runner candidate; bake off</w:t>
            </w:r>
          </w:p>
        </w:tc>
      </w:tr>
      <w:tr>
        <w:trPr>
          <w:cantSplit/>
        </w:trPr>
        <w:tc>
          <w:tcPr>
            <w:tcW w:type="dxa" w:w="1560"/>
            <w:tcMar>
              <w:top w:w="80" w:type="dxa"/>
              <w:start w:w="120" w:type="dxa"/>
              <w:bottom w:w="80" w:type="dxa"/>
              <w:end w:w="120" w:type="dxa"/>
            </w:tcMar>
            <w:vAlign w:val="center"/>
          </w:tcPr>
          <w:p>
            <w:pPr>
              <w:spacing w:after="0" w:line="257" w:lineRule="auto"/>
            </w:pPr>
            <w:r>
              <w:rPr>
                <w:rFonts w:ascii="Calibri" w:hAnsi="Calibri"/>
                <w:b w:val="0"/>
                <w:i w:val="0"/>
                <w:color w:val="111111"/>
                <w:sz w:val="15"/>
              </w:rPr>
              <w:t>Thin custom runner</w:t>
            </w:r>
          </w:p>
        </w:tc>
        <w:tc>
          <w:tcPr>
            <w:tcW w:type="dxa" w:w="2910"/>
            <w:tcMar>
              <w:top w:w="80" w:type="dxa"/>
              <w:start w:w="120" w:type="dxa"/>
              <w:bottom w:w="80" w:type="dxa"/>
              <w:end w:w="120" w:type="dxa"/>
            </w:tcMar>
            <w:vAlign w:val="center"/>
          </w:tcPr>
          <w:p>
            <w:pPr>
              <w:spacing w:after="0" w:line="257" w:lineRule="auto"/>
            </w:pPr>
            <w:r>
              <w:rPr>
                <w:rFonts w:ascii="Calibri" w:hAnsi="Calibri"/>
                <w:b w:val="0"/>
                <w:i w:val="0"/>
                <w:color w:val="111111"/>
                <w:sz w:val="15"/>
              </w:rPr>
              <w:t>Exact WorkflowSpec, model switching, cache controls, reset/replay, and provider semantics.</w:t>
            </w:r>
          </w:p>
        </w:tc>
        <w:tc>
          <w:tcPr>
            <w:tcW w:type="dxa" w:w="3230"/>
            <w:tcMar>
              <w:top w:w="80" w:type="dxa"/>
              <w:start w:w="120" w:type="dxa"/>
              <w:bottom w:w="80" w:type="dxa"/>
              <w:end w:w="120" w:type="dxa"/>
            </w:tcMar>
            <w:vAlign w:val="center"/>
          </w:tcPr>
          <w:p>
            <w:pPr>
              <w:spacing w:after="0" w:line="257" w:lineRule="auto"/>
            </w:pPr>
            <w:r>
              <w:rPr>
                <w:rFonts w:ascii="Calibri" w:hAnsi="Calibri"/>
                <w:b w:val="0"/>
                <w:i w:val="0"/>
                <w:color w:val="111111"/>
                <w:sz w:val="15"/>
              </w:rPr>
              <w:t>Highest engineering and maintenance burden; easy to recreate commodity features badly.</w:t>
            </w:r>
          </w:p>
        </w:tc>
        <w:tc>
          <w:tcPr>
            <w:tcW w:type="dxa" w:w="1660"/>
            <w:tcMar>
              <w:top w:w="80" w:type="dxa"/>
              <w:start w:w="120" w:type="dxa"/>
              <w:bottom w:w="80" w:type="dxa"/>
              <w:end w:w="120" w:type="dxa"/>
            </w:tcMar>
            <w:vAlign w:val="center"/>
          </w:tcPr>
          <w:p>
            <w:pPr>
              <w:spacing w:after="0" w:line="257" w:lineRule="auto"/>
            </w:pPr>
            <w:r>
              <w:rPr>
                <w:rFonts w:ascii="Calibri" w:hAnsi="Calibri"/>
                <w:b w:val="0"/>
                <w:i w:val="0"/>
                <w:color w:val="111111"/>
                <w:sz w:val="15"/>
              </w:rPr>
              <w:t>Required fallback and reference implementation</w:t>
            </w:r>
          </w:p>
        </w:tc>
      </w:tr>
      <w:tr>
        <w:trPr>
          <w:cantSplit/>
        </w:trPr>
        <w:tc>
          <w:tcPr>
            <w:tcW w:type="dxa" w:w="1560"/>
            <w:tcMar>
              <w:top w:w="80" w:type="dxa"/>
              <w:start w:w="120" w:type="dxa"/>
              <w:bottom w:w="80" w:type="dxa"/>
              <w:end w:w="120" w:type="dxa"/>
            </w:tcMar>
            <w:vAlign w:val="center"/>
          </w:tcPr>
          <w:p>
            <w:pPr>
              <w:spacing w:after="0" w:line="257" w:lineRule="auto"/>
            </w:pPr>
            <w:hyperlink r:id="rId36">
              <w:r>
                <w:rPr>
                  <w:rFonts w:ascii="Calibri" w:hAnsi="Calibri"/>
                  <w:color w:val="2E74B5"/>
                  <w:u w:val="single"/>
                  <w:sz w:val="15"/>
                  <w:szCs w:val="15"/>
                </w:rPr>
                <w:t>promptfoo</w:t>
              </w:r>
            </w:hyperlink>
            <w:r>
              <w:rPr>
                <w:rFonts w:ascii="Calibri" w:hAnsi="Calibri"/>
                <w:b w:val="0"/>
                <w:i w:val="0"/>
                <w:color w:val="111111"/>
                <w:sz w:val="15"/>
              </w:rPr>
              <w:t xml:space="preserve"> — open source</w:t>
            </w:r>
          </w:p>
        </w:tc>
        <w:tc>
          <w:tcPr>
            <w:tcW w:type="dxa" w:w="2910"/>
            <w:tcMar>
              <w:top w:w="80" w:type="dxa"/>
              <w:start w:w="120" w:type="dxa"/>
              <w:bottom w:w="80" w:type="dxa"/>
              <w:end w:w="120" w:type="dxa"/>
            </w:tcMar>
            <w:vAlign w:val="center"/>
          </w:tcPr>
          <w:p>
            <w:pPr>
              <w:spacing w:after="0" w:line="257" w:lineRule="auto"/>
            </w:pPr>
            <w:r>
              <w:rPr>
                <w:rFonts w:ascii="Calibri" w:hAnsi="Calibri"/>
                <w:b w:val="0"/>
                <w:i w:val="0"/>
                <w:color w:val="111111"/>
                <w:sz w:val="15"/>
              </w:rPr>
              <w:t>Declarative model/prompt matrices, custom endpoints, CI and broad red-team coverage.</w:t>
            </w:r>
          </w:p>
        </w:tc>
        <w:tc>
          <w:tcPr>
            <w:tcW w:type="dxa" w:w="3230"/>
            <w:tcMar>
              <w:top w:w="80" w:type="dxa"/>
              <w:start w:w="120" w:type="dxa"/>
              <w:bottom w:w="80" w:type="dxa"/>
              <w:end w:w="120" w:type="dxa"/>
            </w:tcMar>
            <w:vAlign w:val="center"/>
          </w:tcPr>
          <w:p>
            <w:pPr>
              <w:spacing w:after="0" w:line="257" w:lineRule="auto"/>
            </w:pPr>
            <w:r>
              <w:rPr>
                <w:rFonts w:ascii="Calibri" w:hAnsi="Calibri"/>
                <w:b w:val="0"/>
                <w:i w:val="0"/>
                <w:color w:val="111111"/>
                <w:sz w:val="15"/>
              </w:rPr>
              <w:t>Better fit for prompt/API tests than complex environment lifecycle and long-horizon orchestration.</w:t>
            </w:r>
          </w:p>
        </w:tc>
        <w:tc>
          <w:tcPr>
            <w:tcW w:type="dxa" w:w="1660"/>
            <w:tcMar>
              <w:top w:w="80" w:type="dxa"/>
              <w:start w:w="120" w:type="dxa"/>
              <w:bottom w:w="80" w:type="dxa"/>
              <w:end w:w="120" w:type="dxa"/>
            </w:tcMar>
            <w:vAlign w:val="center"/>
          </w:tcPr>
          <w:p>
            <w:pPr>
              <w:spacing w:after="0" w:line="257" w:lineRule="auto"/>
            </w:pPr>
            <w:r>
              <w:rPr>
                <w:rFonts w:ascii="Calibri" w:hAnsi="Calibri"/>
                <w:b w:val="0"/>
                <w:i w:val="0"/>
                <w:color w:val="111111"/>
                <w:sz w:val="15"/>
              </w:rPr>
              <w:t>Add-on for CI and red teaming</w:t>
            </w:r>
          </w:p>
        </w:tc>
      </w:tr>
      <w:tr>
        <w:trPr>
          <w:cantSplit/>
        </w:trPr>
        <w:tc>
          <w:tcPr>
            <w:tcW w:type="dxa" w:w="1560"/>
            <w:tcMar>
              <w:top w:w="80" w:type="dxa"/>
              <w:start w:w="120" w:type="dxa"/>
              <w:bottom w:w="80" w:type="dxa"/>
              <w:end w:w="120" w:type="dxa"/>
            </w:tcMar>
            <w:vAlign w:val="center"/>
          </w:tcPr>
          <w:p>
            <w:pPr>
              <w:spacing w:after="0" w:line="257" w:lineRule="auto"/>
            </w:pPr>
            <w:hyperlink r:id="rId37">
              <w:r>
                <w:rPr>
                  <w:rFonts w:ascii="Calibri" w:hAnsi="Calibri"/>
                  <w:color w:val="2E74B5"/>
                  <w:u w:val="single"/>
                  <w:sz w:val="15"/>
                  <w:szCs w:val="15"/>
                </w:rPr>
                <w:t>DeepEval</w:t>
              </w:r>
            </w:hyperlink>
            <w:r>
              <w:rPr>
                <w:rFonts w:ascii="Calibri" w:hAnsi="Calibri"/>
                <w:b w:val="0"/>
                <w:i w:val="0"/>
                <w:color w:val="111111"/>
                <w:sz w:val="15"/>
              </w:rPr>
              <w:t xml:space="preserve"> — Apache 2.0</w:t>
            </w:r>
          </w:p>
        </w:tc>
        <w:tc>
          <w:tcPr>
            <w:tcW w:type="dxa" w:w="2910"/>
            <w:tcMar>
              <w:top w:w="80" w:type="dxa"/>
              <w:start w:w="120" w:type="dxa"/>
              <w:bottom w:w="80" w:type="dxa"/>
              <w:end w:w="120" w:type="dxa"/>
            </w:tcMar>
            <w:vAlign w:val="center"/>
          </w:tcPr>
          <w:p>
            <w:pPr>
              <w:spacing w:after="0" w:line="257" w:lineRule="auto"/>
            </w:pPr>
            <w:r>
              <w:rPr>
                <w:rFonts w:ascii="Calibri" w:hAnsi="Calibri"/>
                <w:b w:val="0"/>
                <w:i w:val="0"/>
                <w:color w:val="111111"/>
                <w:sz w:val="15"/>
              </w:rPr>
              <w:t>Pytest-style end-to-end, component, sub-agent, and trajectory evaluation.</w:t>
            </w:r>
          </w:p>
        </w:tc>
        <w:tc>
          <w:tcPr>
            <w:tcW w:type="dxa" w:w="3230"/>
            <w:tcMar>
              <w:top w:w="80" w:type="dxa"/>
              <w:start w:w="120" w:type="dxa"/>
              <w:bottom w:w="80" w:type="dxa"/>
              <w:end w:w="120" w:type="dxa"/>
            </w:tcMar>
            <w:vAlign w:val="center"/>
          </w:tcPr>
          <w:p>
            <w:pPr>
              <w:spacing w:after="0" w:line="257" w:lineRule="auto"/>
            </w:pPr>
            <w:r>
              <w:rPr>
                <w:rFonts w:ascii="Calibri" w:hAnsi="Calibri"/>
                <w:b w:val="0"/>
                <w:i w:val="0"/>
                <w:color w:val="111111"/>
                <w:sz w:val="15"/>
              </w:rPr>
              <w:t>Primarily a testing/scoring framework; robust task environments still come from another runner.</w:t>
            </w:r>
          </w:p>
        </w:tc>
        <w:tc>
          <w:tcPr>
            <w:tcW w:type="dxa" w:w="1660"/>
            <w:tcMar>
              <w:top w:w="80" w:type="dxa"/>
              <w:start w:w="120" w:type="dxa"/>
              <w:bottom w:w="80" w:type="dxa"/>
              <w:end w:w="120" w:type="dxa"/>
            </w:tcMar>
            <w:vAlign w:val="center"/>
          </w:tcPr>
          <w:p>
            <w:pPr>
              <w:spacing w:after="0" w:line="257" w:lineRule="auto"/>
            </w:pPr>
            <w:r>
              <w:rPr>
                <w:rFonts w:ascii="Calibri" w:hAnsi="Calibri"/>
                <w:b w:val="0"/>
                <w:i w:val="0"/>
                <w:color w:val="111111"/>
                <w:sz w:val="15"/>
              </w:rPr>
              <w:t>Scorer/test-library candidate</w:t>
            </w:r>
          </w:p>
        </w:tc>
      </w:tr>
      <w:tr>
        <w:trPr>
          <w:cantSplit/>
        </w:trPr>
        <w:tc>
          <w:tcPr>
            <w:tcW w:type="dxa" w:w="1560"/>
            <w:tcMar>
              <w:top w:w="80" w:type="dxa"/>
              <w:start w:w="120" w:type="dxa"/>
              <w:bottom w:w="80" w:type="dxa"/>
              <w:end w:w="120" w:type="dxa"/>
            </w:tcMar>
            <w:vAlign w:val="center"/>
          </w:tcPr>
          <w:p>
            <w:pPr>
              <w:spacing w:after="0" w:line="257" w:lineRule="auto"/>
            </w:pPr>
            <w:hyperlink r:id="rId38">
              <w:r>
                <w:rPr>
                  <w:rFonts w:ascii="Calibri" w:hAnsi="Calibri"/>
                  <w:color w:val="2E74B5"/>
                  <w:u w:val="single"/>
                  <w:sz w:val="15"/>
                  <w:szCs w:val="15"/>
                </w:rPr>
                <w:t>MLflow</w:t>
              </w:r>
            </w:hyperlink>
            <w:r>
              <w:rPr>
                <w:rFonts w:ascii="Calibri" w:hAnsi="Calibri"/>
                <w:b w:val="0"/>
                <w:i w:val="0"/>
                <w:color w:val="111111"/>
                <w:sz w:val="15"/>
              </w:rPr>
              <w:t xml:space="preserve"> — Apache 2.0</w:t>
            </w:r>
          </w:p>
        </w:tc>
        <w:tc>
          <w:tcPr>
            <w:tcW w:type="dxa" w:w="2910"/>
            <w:tcMar>
              <w:top w:w="80" w:type="dxa"/>
              <w:start w:w="120" w:type="dxa"/>
              <w:bottom w:w="80" w:type="dxa"/>
              <w:end w:w="120" w:type="dxa"/>
            </w:tcMar>
            <w:vAlign w:val="center"/>
          </w:tcPr>
          <w:p>
            <w:pPr>
              <w:spacing w:after="0" w:line="257" w:lineRule="auto"/>
            </w:pPr>
            <w:r>
              <w:rPr>
                <w:rFonts w:ascii="Calibri" w:hAnsi="Calibri"/>
                <w:b w:val="0"/>
                <w:i w:val="0"/>
                <w:color w:val="111111"/>
                <w:sz w:val="15"/>
              </w:rPr>
              <w:t>Datasets, evaluation, tracing, experiment history, and compatibility with an existing MLOps estate.</w:t>
            </w:r>
          </w:p>
        </w:tc>
        <w:tc>
          <w:tcPr>
            <w:tcW w:type="dxa" w:w="3230"/>
            <w:tcMar>
              <w:top w:w="80" w:type="dxa"/>
              <w:start w:w="120" w:type="dxa"/>
              <w:bottom w:w="80" w:type="dxa"/>
              <w:end w:w="120" w:type="dxa"/>
            </w:tcMar>
            <w:vAlign w:val="center"/>
          </w:tcPr>
          <w:p>
            <w:pPr>
              <w:spacing w:after="0" w:line="257" w:lineRule="auto"/>
            </w:pPr>
            <w:r>
              <w:rPr>
                <w:rFonts w:ascii="Calibri" w:hAnsi="Calibri"/>
                <w:b w:val="0"/>
                <w:i w:val="0"/>
                <w:color w:val="111111"/>
                <w:sz w:val="15"/>
              </w:rPr>
              <w:t>General-purpose platform; deep sandbox and agent-lifecycle semantics require custom code.</w:t>
            </w:r>
          </w:p>
        </w:tc>
        <w:tc>
          <w:tcPr>
            <w:tcW w:type="dxa" w:w="1660"/>
            <w:tcMar>
              <w:top w:w="80" w:type="dxa"/>
              <w:start w:w="120" w:type="dxa"/>
              <w:bottom w:w="80" w:type="dxa"/>
              <w:end w:w="120" w:type="dxa"/>
            </w:tcMar>
            <w:vAlign w:val="center"/>
          </w:tcPr>
          <w:p>
            <w:pPr>
              <w:spacing w:after="0" w:line="257" w:lineRule="auto"/>
            </w:pPr>
            <w:r>
              <w:rPr>
                <w:rFonts w:ascii="Calibri" w:hAnsi="Calibri"/>
                <w:b w:val="0"/>
                <w:i w:val="0"/>
                <w:color w:val="111111"/>
                <w:sz w:val="15"/>
              </w:rPr>
              <w:t xml:space="preserve">Consider when </w:t>
            </w:r>
            <w:hyperlink r:id="rId38">
              <w:r>
                <w:rPr>
                  <w:rFonts w:ascii="Calibri" w:hAnsi="Calibri"/>
                  <w:color w:val="2E74B5"/>
                  <w:u w:val="single"/>
                  <w:sz w:val="15"/>
                  <w:szCs w:val="15"/>
                </w:rPr>
                <w:t>MLflow</w:t>
              </w:r>
            </w:hyperlink>
            <w:r>
              <w:rPr>
                <w:rFonts w:ascii="Calibri" w:hAnsi="Calibri"/>
                <w:b w:val="0"/>
                <w:i w:val="0"/>
                <w:color w:val="111111"/>
                <w:sz w:val="15"/>
              </w:rPr>
              <w:t xml:space="preserve"> is already standard</w:t>
            </w:r>
          </w:p>
        </w:tc>
      </w:tr>
      <w:tr>
        <w:trPr>
          <w:cantSplit/>
        </w:trPr>
        <w:tc>
          <w:tcPr>
            <w:tcW w:type="dxa" w:w="1560"/>
            <w:tcMar>
              <w:top w:w="80" w:type="dxa"/>
              <w:start w:w="120" w:type="dxa"/>
              <w:bottom w:w="80" w:type="dxa"/>
              <w:end w:w="120" w:type="dxa"/>
            </w:tcMar>
            <w:vAlign w:val="center"/>
          </w:tcPr>
          <w:p>
            <w:pPr>
              <w:spacing w:after="0" w:line="257" w:lineRule="auto"/>
            </w:pPr>
            <w:r>
              <w:rPr>
                <w:rFonts w:ascii="Calibri" w:hAnsi="Calibri"/>
                <w:b w:val="0"/>
                <w:i w:val="0"/>
                <w:color w:val="111111"/>
                <w:sz w:val="15"/>
              </w:rPr>
              <w:t>Benchmark adapters</w:t>
            </w:r>
          </w:p>
        </w:tc>
        <w:tc>
          <w:tcPr>
            <w:tcW w:type="dxa" w:w="2910"/>
            <w:tcMar>
              <w:top w:w="80" w:type="dxa"/>
              <w:start w:w="120" w:type="dxa"/>
              <w:bottom w:w="80" w:type="dxa"/>
              <w:end w:w="120" w:type="dxa"/>
            </w:tcMar>
            <w:vAlign w:val="center"/>
          </w:tcPr>
          <w:p>
            <w:pPr>
              <w:spacing w:after="0" w:line="257" w:lineRule="auto"/>
            </w:pPr>
            <w:hyperlink r:id="rId20">
              <w:r>
                <w:rPr>
                  <w:rFonts w:ascii="Calibri" w:hAnsi="Calibri"/>
                  <w:color w:val="2E74B5"/>
                  <w:u w:val="single"/>
                  <w:sz w:val="15"/>
                  <w:szCs w:val="15"/>
                </w:rPr>
                <w:t>SWE-bench</w:t>
              </w:r>
            </w:hyperlink>
            <w:r>
              <w:rPr>
                <w:rFonts w:ascii="Calibri" w:hAnsi="Calibri"/>
                <w:b w:val="0"/>
                <w:i w:val="0"/>
                <w:color w:val="111111"/>
                <w:sz w:val="15"/>
              </w:rPr>
              <w:t xml:space="preserve">, </w:t>
            </w:r>
            <w:hyperlink r:id="rId21">
              <w:r>
                <w:rPr>
                  <w:rFonts w:ascii="Calibri" w:hAnsi="Calibri"/>
                  <w:color w:val="2E74B5"/>
                  <w:u w:val="single"/>
                  <w:sz w:val="15"/>
                  <w:szCs w:val="15"/>
                </w:rPr>
                <w:t>BrowserGym</w:t>
              </w:r>
            </w:hyperlink>
            <w:r>
              <w:rPr>
                <w:rFonts w:ascii="Calibri" w:hAnsi="Calibri"/>
                <w:b w:val="0"/>
                <w:i w:val="0"/>
                <w:color w:val="111111"/>
                <w:sz w:val="15"/>
              </w:rPr>
              <w:t xml:space="preserve">, </w:t>
            </w:r>
            <w:hyperlink r:id="rId22">
              <w:r>
                <w:rPr>
                  <w:rFonts w:ascii="Calibri" w:hAnsi="Calibri"/>
                  <w:color w:val="2E74B5"/>
                  <w:u w:val="single"/>
                  <w:sz w:val="15"/>
                  <w:szCs w:val="15"/>
                </w:rPr>
                <w:t>GAIA</w:t>
              </w:r>
            </w:hyperlink>
            <w:r>
              <w:rPr>
                <w:rFonts w:ascii="Calibri" w:hAnsi="Calibri"/>
                <w:b w:val="0"/>
                <w:i w:val="0"/>
                <w:color w:val="111111"/>
                <w:sz w:val="15"/>
              </w:rPr>
              <w:t xml:space="preserve">, </w:t>
            </w:r>
            <w:hyperlink r:id="rId23">
              <w:r>
                <w:rPr>
                  <w:rFonts w:ascii="Calibri" w:hAnsi="Calibri"/>
                  <w:color w:val="2E74B5"/>
                  <w:u w:val="single"/>
                  <w:sz w:val="15"/>
                  <w:szCs w:val="15"/>
                </w:rPr>
                <w:t>tau-bench</w:t>
              </w:r>
            </w:hyperlink>
            <w:r>
              <w:rPr>
                <w:rFonts w:ascii="Calibri" w:hAnsi="Calibri"/>
                <w:b w:val="0"/>
                <w:i w:val="0"/>
                <w:color w:val="111111"/>
                <w:sz w:val="15"/>
              </w:rPr>
              <w:t xml:space="preserve"> and domain-specific suites contribute realistic task environments.</w:t>
            </w:r>
          </w:p>
        </w:tc>
        <w:tc>
          <w:tcPr>
            <w:tcW w:type="dxa" w:w="3230"/>
            <w:tcMar>
              <w:top w:w="80" w:type="dxa"/>
              <w:start w:w="120" w:type="dxa"/>
              <w:bottom w:w="80" w:type="dxa"/>
              <w:end w:w="120" w:type="dxa"/>
            </w:tcMar>
            <w:vAlign w:val="center"/>
          </w:tcPr>
          <w:p>
            <w:pPr>
              <w:spacing w:after="0" w:line="257" w:lineRule="auto"/>
            </w:pPr>
            <w:r>
              <w:rPr>
                <w:rFonts w:ascii="Calibri" w:hAnsi="Calibri"/>
                <w:b w:val="0"/>
                <w:i w:val="0"/>
                <w:color w:val="111111"/>
                <w:sz w:val="15"/>
              </w:rPr>
              <w:t>Narrow task coverage and benchmark-specific schemas; not a general control plane.</w:t>
            </w:r>
          </w:p>
        </w:tc>
        <w:tc>
          <w:tcPr>
            <w:tcW w:type="dxa" w:w="1660"/>
            <w:tcMar>
              <w:top w:w="80" w:type="dxa"/>
              <w:start w:w="120" w:type="dxa"/>
              <w:bottom w:w="80" w:type="dxa"/>
              <w:end w:w="120" w:type="dxa"/>
            </w:tcMar>
            <w:vAlign w:val="center"/>
          </w:tcPr>
          <w:p>
            <w:pPr>
              <w:spacing w:after="0" w:line="257" w:lineRule="auto"/>
            </w:pPr>
            <w:r>
              <w:rPr>
                <w:rFonts w:ascii="Calibri" w:hAnsi="Calibri"/>
                <w:b w:val="0"/>
                <w:i w:val="0"/>
                <w:color w:val="111111"/>
                <w:sz w:val="15"/>
              </w:rPr>
              <w:t>Integrate behind TaskSpec adapters</w:t>
            </w:r>
          </w:p>
        </w:tc>
      </w:tr>
    </w:tbl>
    <w:p>
      <w:pPr>
        <w:spacing w:after="40"/>
      </w:pPr>
    </w:p>
    <w:p>
      <w:pPr>
        <w:pStyle w:val="Heading2"/>
        <w:keepNext/>
      </w:pPr>
      <w:r>
        <w:rPr>
          <w:rFonts w:ascii="Calibri" w:hAnsi="Calibri"/>
          <w:b/>
          <w:i w:val="0"/>
          <w:color w:val="2E74B5"/>
          <w:sz w:val="26"/>
        </w:rPr>
        <w:t>Open and source-available experiment platforms</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900"/>
        <w:gridCol w:w="4380"/>
        <w:gridCol w:w="3080"/>
      </w:tblGrid>
      <w:tr>
        <w:trPr>
          <w:tblHeader w:val="true"/>
          <w:cantSplit/>
        </w:trPr>
        <w:tc>
          <w:tcPr>
            <w:tcW w:type="dxa" w:w="19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Candidate</w:t>
            </w:r>
          </w:p>
        </w:tc>
        <w:tc>
          <w:tcPr>
            <w:tcW w:type="dxa" w:w="438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Strengths</w:t>
            </w:r>
          </w:p>
        </w:tc>
        <w:tc>
          <w:tcPr>
            <w:tcW w:type="dxa" w:w="308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Important caveat</w:t>
            </w:r>
          </w:p>
        </w:tc>
      </w:tr>
      <w:tr>
        <w:trPr>
          <w:cantSplit/>
        </w:trPr>
        <w:tc>
          <w:tcPr>
            <w:tcW w:type="dxa" w:w="1900"/>
            <w:tcMar>
              <w:top w:w="80" w:type="dxa"/>
              <w:start w:w="120" w:type="dxa"/>
              <w:bottom w:w="80" w:type="dxa"/>
              <w:end w:w="120" w:type="dxa"/>
            </w:tcMar>
            <w:vAlign w:val="center"/>
          </w:tcPr>
          <w:p>
            <w:pPr>
              <w:spacing w:after="0" w:line="257" w:lineRule="auto"/>
            </w:pPr>
            <w:hyperlink r:id="rId31">
              <w:r>
                <w:rPr>
                  <w:rFonts w:ascii="Calibri" w:hAnsi="Calibri"/>
                  <w:color w:val="2E74B5"/>
                  <w:u w:val="single"/>
                  <w:sz w:val="16"/>
                  <w:szCs w:val="16"/>
                </w:rPr>
                <w:t>Langfuse</w:t>
              </w:r>
            </w:hyperlink>
            <w:r>
              <w:rPr>
                <w:rFonts w:ascii="Calibri" w:hAnsi="Calibri"/>
                <w:b w:val="0"/>
                <w:i w:val="0"/>
                <w:color w:val="111111"/>
                <w:sz w:val="16"/>
              </w:rPr>
              <w:t xml:space="preserve"> — MIT core</w:t>
            </w:r>
          </w:p>
        </w:tc>
        <w:tc>
          <w:tcPr>
            <w:tcW w:type="dxa" w:w="4380"/>
            <w:tcMar>
              <w:top w:w="80" w:type="dxa"/>
              <w:start w:w="120" w:type="dxa"/>
              <w:bottom w:w="80" w:type="dxa"/>
              <w:end w:w="120" w:type="dxa"/>
            </w:tcMar>
            <w:vAlign w:val="center"/>
          </w:tcPr>
          <w:p>
            <w:pPr>
              <w:spacing w:after="0" w:line="257" w:lineRule="auto"/>
            </w:pPr>
            <w:r>
              <w:rPr>
                <w:rFonts w:ascii="Calibri" w:hAnsi="Calibri"/>
                <w:b w:val="0"/>
                <w:i w:val="0"/>
                <w:color w:val="111111"/>
                <w:sz w:val="16"/>
              </w:rPr>
              <w:t>Self-hosted tracing, prompts, datasets, experiments, code/LLM evaluators, human annotation, and OTel ingestion.</w:t>
            </w:r>
          </w:p>
        </w:tc>
        <w:tc>
          <w:tcPr>
            <w:tcW w:type="dxa" w:w="3080"/>
            <w:tcMar>
              <w:top w:w="80" w:type="dxa"/>
              <w:start w:w="120" w:type="dxa"/>
              <w:bottom w:w="80" w:type="dxa"/>
              <w:end w:w="120" w:type="dxa"/>
            </w:tcMar>
            <w:vAlign w:val="center"/>
          </w:tcPr>
          <w:p>
            <w:pPr>
              <w:spacing w:after="0" w:line="257" w:lineRule="auto"/>
            </w:pPr>
            <w:r>
              <w:rPr>
                <w:rFonts w:ascii="Calibri" w:hAnsi="Calibri"/>
                <w:b w:val="0"/>
                <w:i w:val="0"/>
                <w:color w:val="111111"/>
                <w:sz w:val="16"/>
              </w:rPr>
              <w:t>Execution environments and the multi-objective optimizer remain evaluator-owned; some enterprise controls are commercial.</w:t>
            </w:r>
          </w:p>
        </w:tc>
      </w:tr>
      <w:tr>
        <w:trPr>
          <w:cantSplit/>
        </w:trPr>
        <w:tc>
          <w:tcPr>
            <w:tcW w:type="dxa" w:w="1900"/>
            <w:tcMar>
              <w:top w:w="80" w:type="dxa"/>
              <w:start w:w="120" w:type="dxa"/>
              <w:bottom w:w="80" w:type="dxa"/>
              <w:end w:w="120" w:type="dxa"/>
            </w:tcMar>
            <w:vAlign w:val="center"/>
          </w:tcPr>
          <w:p>
            <w:pPr>
              <w:spacing w:after="0" w:line="257" w:lineRule="auto"/>
            </w:pPr>
            <w:hyperlink r:id="rId35">
              <w:r>
                <w:rPr>
                  <w:rFonts w:ascii="Calibri" w:hAnsi="Calibri"/>
                  <w:color w:val="2E74B5"/>
                  <w:u w:val="single"/>
                  <w:sz w:val="16"/>
                  <w:szCs w:val="16"/>
                </w:rPr>
                <w:t>Opik</w:t>
              </w:r>
            </w:hyperlink>
            <w:r>
              <w:rPr>
                <w:rFonts w:ascii="Calibri" w:hAnsi="Calibri"/>
                <w:b w:val="0"/>
                <w:i w:val="0"/>
                <w:color w:val="111111"/>
                <w:sz w:val="16"/>
              </w:rPr>
              <w:t xml:space="preserve"> — Apache 2.0</w:t>
            </w:r>
          </w:p>
        </w:tc>
        <w:tc>
          <w:tcPr>
            <w:tcW w:type="dxa" w:w="4380"/>
            <w:tcMar>
              <w:top w:w="80" w:type="dxa"/>
              <w:start w:w="120" w:type="dxa"/>
              <w:bottom w:w="80" w:type="dxa"/>
              <w:end w:w="120" w:type="dxa"/>
            </w:tcMar>
            <w:vAlign w:val="center"/>
          </w:tcPr>
          <w:p>
            <w:pPr>
              <w:spacing w:after="0" w:line="257" w:lineRule="auto"/>
            </w:pPr>
            <w:r>
              <w:rPr>
                <w:rFonts w:ascii="Calibri" w:hAnsi="Calibri"/>
                <w:b w:val="0"/>
                <w:i w:val="0"/>
                <w:color w:val="111111"/>
                <w:sz w:val="16"/>
              </w:rPr>
              <w:t>Fully self-hostable tracing and evaluation platform with datasets, experiments, and agent/tool evaluation.</w:t>
            </w:r>
          </w:p>
        </w:tc>
        <w:tc>
          <w:tcPr>
            <w:tcW w:type="dxa" w:w="3080"/>
            <w:tcMar>
              <w:top w:w="80" w:type="dxa"/>
              <w:start w:w="120" w:type="dxa"/>
              <w:bottom w:w="80" w:type="dxa"/>
              <w:end w:w="120" w:type="dxa"/>
            </w:tcMar>
            <w:vAlign w:val="center"/>
          </w:tcPr>
          <w:p>
            <w:pPr>
              <w:spacing w:after="0" w:line="257" w:lineRule="auto"/>
            </w:pPr>
            <w:r>
              <w:rPr>
                <w:rFonts w:ascii="Calibri" w:hAnsi="Calibri"/>
                <w:b w:val="0"/>
                <w:i w:val="0"/>
                <w:color w:val="111111"/>
                <w:sz w:val="16"/>
              </w:rPr>
              <w:t>Still needs a separate runner for strong isolation, reset/replay, and complex stateful tasks.</w:t>
            </w:r>
          </w:p>
        </w:tc>
      </w:tr>
      <w:tr>
        <w:trPr>
          <w:cantSplit/>
        </w:trPr>
        <w:tc>
          <w:tcPr>
            <w:tcW w:type="dxa" w:w="1900"/>
            <w:tcMar>
              <w:top w:w="80" w:type="dxa"/>
              <w:start w:w="120" w:type="dxa"/>
              <w:bottom w:w="80" w:type="dxa"/>
              <w:end w:w="120" w:type="dxa"/>
            </w:tcMar>
            <w:vAlign w:val="center"/>
          </w:tcPr>
          <w:p>
            <w:pPr>
              <w:spacing w:after="0" w:line="257" w:lineRule="auto"/>
            </w:pPr>
            <w:hyperlink r:id="rId30">
              <w:r>
                <w:rPr>
                  <w:rFonts w:ascii="Calibri" w:hAnsi="Calibri"/>
                  <w:color w:val="2E74B5"/>
                  <w:u w:val="single"/>
                  <w:sz w:val="16"/>
                  <w:szCs w:val="16"/>
                </w:rPr>
                <w:t>Phoenix</w:t>
              </w:r>
            </w:hyperlink>
            <w:r>
              <w:rPr>
                <w:rFonts w:ascii="Calibri" w:hAnsi="Calibri"/>
                <w:b w:val="0"/>
                <w:i w:val="0"/>
                <w:color w:val="111111"/>
                <w:sz w:val="16"/>
              </w:rPr>
              <w:t xml:space="preserve"> — ELv2</w:t>
            </w:r>
          </w:p>
        </w:tc>
        <w:tc>
          <w:tcPr>
            <w:tcW w:type="dxa" w:w="4380"/>
            <w:tcMar>
              <w:top w:w="80" w:type="dxa"/>
              <w:start w:w="120" w:type="dxa"/>
              <w:bottom w:w="80" w:type="dxa"/>
              <w:end w:w="120" w:type="dxa"/>
            </w:tcMar>
            <w:vAlign w:val="center"/>
          </w:tcPr>
          <w:p>
            <w:pPr>
              <w:spacing w:after="0" w:line="257" w:lineRule="auto"/>
            </w:pPr>
            <w:r>
              <w:rPr>
                <w:rFonts w:ascii="Calibri" w:hAnsi="Calibri"/>
                <w:b w:val="0"/>
                <w:i w:val="0"/>
                <w:color w:val="111111"/>
                <w:sz w:val="16"/>
              </w:rPr>
              <w:t xml:space="preserve">Strong </w:t>
            </w:r>
            <w:hyperlink r:id="rId15">
              <w:r>
                <w:rPr>
                  <w:rFonts w:ascii="Calibri" w:hAnsi="Calibri"/>
                  <w:color w:val="2E74B5"/>
                  <w:u w:val="single"/>
                  <w:sz w:val="16"/>
                  <w:szCs w:val="16"/>
                </w:rPr>
                <w:t>OpenTelemetry</w:t>
              </w:r>
            </w:hyperlink>
            <w:r>
              <w:rPr>
                <w:rFonts w:ascii="Calibri" w:hAnsi="Calibri"/>
                <w:b w:val="0"/>
                <w:i w:val="0"/>
                <w:color w:val="111111"/>
                <w:sz w:val="16"/>
              </w:rPr>
              <w:t>/</w:t>
            </w:r>
            <w:hyperlink r:id="rId29">
              <w:r>
                <w:rPr>
                  <w:rFonts w:ascii="Calibri" w:hAnsi="Calibri"/>
                  <w:color w:val="2E74B5"/>
                  <w:u w:val="single"/>
                  <w:sz w:val="16"/>
                  <w:szCs w:val="16"/>
                </w:rPr>
                <w:t>OpenInference</w:t>
              </w:r>
            </w:hyperlink>
            <w:r>
              <w:rPr>
                <w:rFonts w:ascii="Calibri" w:hAnsi="Calibri"/>
                <w:b w:val="0"/>
                <w:i w:val="0"/>
                <w:color w:val="111111"/>
                <w:sz w:val="16"/>
              </w:rPr>
              <w:t xml:space="preserve"> tracing, span replay, datasets, experiments, evaluators, and debugging.</w:t>
            </w:r>
          </w:p>
        </w:tc>
        <w:tc>
          <w:tcPr>
            <w:tcW w:type="dxa" w:w="3080"/>
            <w:tcMar>
              <w:top w:w="80" w:type="dxa"/>
              <w:start w:w="120" w:type="dxa"/>
              <w:bottom w:w="80" w:type="dxa"/>
              <w:end w:w="120" w:type="dxa"/>
            </w:tcMar>
            <w:vAlign w:val="center"/>
          </w:tcPr>
          <w:p>
            <w:pPr>
              <w:spacing w:after="0" w:line="257" w:lineRule="auto"/>
            </w:pPr>
            <w:r>
              <w:rPr>
                <w:rFonts w:ascii="Calibri" w:hAnsi="Calibri"/>
                <w:b w:val="0"/>
                <w:i w:val="0"/>
                <w:color w:val="111111"/>
                <w:sz w:val="16"/>
              </w:rPr>
              <w:t>Source-available rather than OSI open source; ELv2 restricts offering it as a hosted/managed service.</w:t>
            </w:r>
          </w:p>
        </w:tc>
      </w:tr>
      <w:tr>
        <w:trPr>
          <w:cantSplit/>
        </w:trPr>
        <w:tc>
          <w:tcPr>
            <w:tcW w:type="dxa" w:w="1900"/>
            <w:tcMar>
              <w:top w:w="80" w:type="dxa"/>
              <w:start w:w="120" w:type="dxa"/>
              <w:bottom w:w="80" w:type="dxa"/>
              <w:end w:w="120" w:type="dxa"/>
            </w:tcMar>
            <w:vAlign w:val="center"/>
          </w:tcPr>
          <w:p>
            <w:pPr>
              <w:spacing w:after="0" w:line="257" w:lineRule="auto"/>
            </w:pPr>
            <w:hyperlink r:id="rId38">
              <w:r>
                <w:rPr>
                  <w:rFonts w:ascii="Calibri" w:hAnsi="Calibri"/>
                  <w:color w:val="2E74B5"/>
                  <w:u w:val="single"/>
                  <w:sz w:val="16"/>
                  <w:szCs w:val="16"/>
                </w:rPr>
                <w:t>MLflow</w:t>
              </w:r>
            </w:hyperlink>
            <w:r>
              <w:rPr>
                <w:rFonts w:ascii="Calibri" w:hAnsi="Calibri"/>
                <w:b w:val="0"/>
                <w:i w:val="0"/>
                <w:color w:val="111111"/>
                <w:sz w:val="16"/>
              </w:rPr>
              <w:t xml:space="preserve"> — Apache 2.0</w:t>
            </w:r>
          </w:p>
        </w:tc>
        <w:tc>
          <w:tcPr>
            <w:tcW w:type="dxa" w:w="4380"/>
            <w:tcMar>
              <w:top w:w="80" w:type="dxa"/>
              <w:start w:w="120" w:type="dxa"/>
              <w:bottom w:w="80" w:type="dxa"/>
              <w:end w:w="120" w:type="dxa"/>
            </w:tcMar>
            <w:vAlign w:val="center"/>
          </w:tcPr>
          <w:p>
            <w:pPr>
              <w:spacing w:after="0" w:line="257" w:lineRule="auto"/>
            </w:pPr>
            <w:r>
              <w:rPr>
                <w:rFonts w:ascii="Calibri" w:hAnsi="Calibri"/>
                <w:b w:val="0"/>
                <w:i w:val="0"/>
                <w:color w:val="111111"/>
                <w:sz w:val="16"/>
              </w:rPr>
              <w:t>Mature experiment lineage plus current agent evaluation, judges, datasets, tracing, and monitoring.</w:t>
            </w:r>
          </w:p>
        </w:tc>
        <w:tc>
          <w:tcPr>
            <w:tcW w:type="dxa" w:w="3080"/>
            <w:tcMar>
              <w:top w:w="80" w:type="dxa"/>
              <w:start w:w="120" w:type="dxa"/>
              <w:bottom w:w="80" w:type="dxa"/>
              <w:end w:w="120" w:type="dxa"/>
            </w:tcMar>
            <w:vAlign w:val="center"/>
          </w:tcPr>
          <w:p>
            <w:pPr>
              <w:spacing w:after="0" w:line="257" w:lineRule="auto"/>
            </w:pPr>
            <w:r>
              <w:rPr>
                <w:rFonts w:ascii="Calibri" w:hAnsi="Calibri"/>
                <w:b w:val="0"/>
                <w:i w:val="0"/>
                <w:color w:val="111111"/>
                <w:sz w:val="16"/>
              </w:rPr>
              <w:t>Broader and heavier than a dedicated evaluator; specialized agent workflow views may require extension.</w:t>
            </w:r>
          </w:p>
        </w:tc>
      </w:tr>
      <w:tr>
        <w:trPr>
          <w:cantSplit/>
        </w:trPr>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6"/>
              </w:rPr>
              <w:t>PostgreSQL/Parquet + Grafana</w:t>
            </w:r>
          </w:p>
        </w:tc>
        <w:tc>
          <w:tcPr>
            <w:tcW w:type="dxa" w:w="4380"/>
            <w:tcMar>
              <w:top w:w="80" w:type="dxa"/>
              <w:start w:w="120" w:type="dxa"/>
              <w:bottom w:w="80" w:type="dxa"/>
              <w:end w:w="120" w:type="dxa"/>
            </w:tcMar>
            <w:vAlign w:val="center"/>
          </w:tcPr>
          <w:p>
            <w:pPr>
              <w:spacing w:after="0" w:line="257" w:lineRule="auto"/>
            </w:pPr>
            <w:r>
              <w:rPr>
                <w:rFonts w:ascii="Calibri" w:hAnsi="Calibri"/>
                <w:b w:val="0"/>
                <w:i w:val="0"/>
                <w:color w:val="111111"/>
                <w:sz w:val="16"/>
              </w:rPr>
              <w:t>Maximum portability and a minimal dependency surface; raw events remain fully owned.</w:t>
            </w:r>
          </w:p>
        </w:tc>
        <w:tc>
          <w:tcPr>
            <w:tcW w:type="dxa" w:w="3080"/>
            <w:tcMar>
              <w:top w:w="80" w:type="dxa"/>
              <w:start w:w="120" w:type="dxa"/>
              <w:bottom w:w="80" w:type="dxa"/>
              <w:end w:w="120" w:type="dxa"/>
            </w:tcMar>
            <w:vAlign w:val="center"/>
          </w:tcPr>
          <w:p>
            <w:pPr>
              <w:spacing w:after="0" w:line="257" w:lineRule="auto"/>
            </w:pPr>
            <w:r>
              <w:rPr>
                <w:rFonts w:ascii="Calibri" w:hAnsi="Calibri"/>
                <w:b w:val="0"/>
                <w:i w:val="0"/>
                <w:color w:val="111111"/>
                <w:sz w:val="16"/>
              </w:rPr>
              <w:t>Requires building experiment comparison, annotation, prompt/version, and trace-exploration UX.</w:t>
            </w:r>
          </w:p>
        </w:tc>
      </w:tr>
    </w:tbl>
    <w:p>
      <w:pPr>
        <w:spacing w:after="40"/>
      </w:pPr>
    </w:p>
    <w:p>
      <w:pPr>
        <w:pStyle w:val="Heading2"/>
        <w:keepNext/>
      </w:pPr>
      <w:r>
        <w:rPr>
          <w:rFonts w:ascii="Calibri" w:hAnsi="Calibri"/>
          <w:b/>
          <w:i w:val="0"/>
          <w:color w:val="2E74B5"/>
          <w:sz w:val="26"/>
        </w:rPr>
        <w:t>Closed, managed, and commercially controlled alternatives</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900"/>
        <w:gridCol w:w="4380"/>
        <w:gridCol w:w="3080"/>
      </w:tblGrid>
      <w:tr>
        <w:trPr>
          <w:tblHeader w:val="true"/>
          <w:cantSplit/>
        </w:trPr>
        <w:tc>
          <w:tcPr>
            <w:tcW w:type="dxa" w:w="19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Candidate</w:t>
            </w:r>
          </w:p>
        </w:tc>
        <w:tc>
          <w:tcPr>
            <w:tcW w:type="dxa" w:w="438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Where it may be stronger</w:t>
            </w:r>
          </w:p>
        </w:tc>
        <w:tc>
          <w:tcPr>
            <w:tcW w:type="dxa" w:w="308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Trade-off / recommended use</w:t>
            </w:r>
          </w:p>
        </w:tc>
      </w:tr>
      <w:tr>
        <w:trPr>
          <w:cantSplit/>
        </w:trPr>
        <w:tc>
          <w:tcPr>
            <w:tcW w:type="dxa" w:w="1900"/>
            <w:tcMar>
              <w:top w:w="80" w:type="dxa"/>
              <w:start w:w="120" w:type="dxa"/>
              <w:bottom w:w="80" w:type="dxa"/>
              <w:end w:w="120" w:type="dxa"/>
            </w:tcMar>
            <w:vAlign w:val="center"/>
          </w:tcPr>
          <w:p>
            <w:pPr>
              <w:spacing w:after="0" w:line="257" w:lineRule="auto"/>
            </w:pPr>
            <w:hyperlink r:id="rId39">
              <w:r>
                <w:rPr>
                  <w:rFonts w:ascii="Calibri" w:hAnsi="Calibri"/>
                  <w:color w:val="2E74B5"/>
                  <w:u w:val="single"/>
                  <w:sz w:val="16"/>
                  <w:szCs w:val="16"/>
                </w:rPr>
                <w:t>Braintrust</w:t>
              </w:r>
            </w:hyperlink>
          </w:p>
        </w:tc>
        <w:tc>
          <w:tcPr>
            <w:tcW w:type="dxa" w:w="4380"/>
            <w:tcMar>
              <w:top w:w="80" w:type="dxa"/>
              <w:start w:w="120" w:type="dxa"/>
              <w:bottom w:w="80" w:type="dxa"/>
              <w:end w:w="120" w:type="dxa"/>
            </w:tcMar>
            <w:vAlign w:val="center"/>
          </w:tcPr>
          <w:p>
            <w:pPr>
              <w:spacing w:after="0" w:line="257" w:lineRule="auto"/>
            </w:pPr>
            <w:r>
              <w:rPr>
                <w:rFonts w:ascii="Calibri" w:hAnsi="Calibri"/>
                <w:b w:val="0"/>
                <w:i w:val="0"/>
                <w:color w:val="111111"/>
                <w:sz w:val="16"/>
              </w:rPr>
              <w:t>Integrated datasets, experiments, playground, CI/production feedback, remote evals, and managed sandboxes.</w:t>
            </w:r>
          </w:p>
        </w:tc>
        <w:tc>
          <w:tcPr>
            <w:tcW w:type="dxa" w:w="3080"/>
            <w:tcMar>
              <w:top w:w="80" w:type="dxa"/>
              <w:start w:w="120" w:type="dxa"/>
              <w:bottom w:w="80" w:type="dxa"/>
              <w:end w:w="120" w:type="dxa"/>
            </w:tcMar>
            <w:vAlign w:val="center"/>
          </w:tcPr>
          <w:p>
            <w:pPr>
              <w:spacing w:after="0" w:line="257" w:lineRule="auto"/>
            </w:pPr>
            <w:r>
              <w:rPr>
                <w:rFonts w:ascii="Calibri" w:hAnsi="Calibri"/>
                <w:b w:val="0"/>
                <w:i w:val="0"/>
                <w:color w:val="111111"/>
                <w:sz w:val="16"/>
              </w:rPr>
              <w:t>Strongest managed bake-off candidate; require complete export and price the recurring platform dependency.</w:t>
            </w:r>
          </w:p>
        </w:tc>
      </w:tr>
      <w:tr>
        <w:trPr>
          <w:cantSplit/>
        </w:trPr>
        <w:tc>
          <w:tcPr>
            <w:tcW w:type="dxa" w:w="1900"/>
            <w:tcMar>
              <w:top w:w="80" w:type="dxa"/>
              <w:start w:w="120" w:type="dxa"/>
              <w:bottom w:w="80" w:type="dxa"/>
              <w:end w:w="120" w:type="dxa"/>
            </w:tcMar>
            <w:vAlign w:val="center"/>
          </w:tcPr>
          <w:p>
            <w:pPr>
              <w:spacing w:after="0" w:line="257" w:lineRule="auto"/>
            </w:pPr>
            <w:hyperlink r:id="rId40">
              <w:r>
                <w:rPr>
                  <w:rFonts w:ascii="Calibri" w:hAnsi="Calibri"/>
                  <w:color w:val="2E74B5"/>
                  <w:u w:val="single"/>
                  <w:sz w:val="16"/>
                  <w:szCs w:val="16"/>
                </w:rPr>
                <w:t>LangSmith</w:t>
              </w:r>
            </w:hyperlink>
          </w:p>
        </w:tc>
        <w:tc>
          <w:tcPr>
            <w:tcW w:type="dxa" w:w="4380"/>
            <w:tcMar>
              <w:top w:w="80" w:type="dxa"/>
              <w:start w:w="120" w:type="dxa"/>
              <w:bottom w:w="80" w:type="dxa"/>
              <w:end w:w="120" w:type="dxa"/>
            </w:tcMar>
            <w:vAlign w:val="center"/>
          </w:tcPr>
          <w:p>
            <w:pPr>
              <w:spacing w:after="0" w:line="257" w:lineRule="auto"/>
            </w:pPr>
            <w:r>
              <w:rPr>
                <w:rFonts w:ascii="Calibri" w:hAnsi="Calibri"/>
                <w:b w:val="0"/>
                <w:i w:val="0"/>
                <w:color w:val="111111"/>
                <w:sz w:val="16"/>
              </w:rPr>
              <w:t>Trajectory evaluation, datasets, offline/online evaluation, and excellent LangGraph/LangChain ergonomics.</w:t>
            </w:r>
          </w:p>
        </w:tc>
        <w:tc>
          <w:tcPr>
            <w:tcW w:type="dxa" w:w="3080"/>
            <w:tcMar>
              <w:top w:w="80" w:type="dxa"/>
              <w:start w:w="120" w:type="dxa"/>
              <w:bottom w:w="80" w:type="dxa"/>
              <w:end w:w="120" w:type="dxa"/>
            </w:tcMar>
            <w:vAlign w:val="center"/>
          </w:tcPr>
          <w:p>
            <w:pPr>
              <w:spacing w:after="0" w:line="257" w:lineRule="auto"/>
            </w:pPr>
            <w:r>
              <w:rPr>
                <w:rFonts w:ascii="Calibri" w:hAnsi="Calibri"/>
                <w:b w:val="0"/>
                <w:i w:val="0"/>
                <w:color w:val="111111"/>
                <w:sz w:val="16"/>
              </w:rPr>
              <w:t>Use when the agent stack becomes LangGraph-heavy; self-hosting is an enterprise feature.</w:t>
            </w:r>
          </w:p>
        </w:tc>
      </w:tr>
      <w:tr>
        <w:trPr>
          <w:cantSplit/>
        </w:trPr>
        <w:tc>
          <w:tcPr>
            <w:tcW w:type="dxa" w:w="1900"/>
            <w:tcMar>
              <w:top w:w="80" w:type="dxa"/>
              <w:start w:w="120" w:type="dxa"/>
              <w:bottom w:w="80" w:type="dxa"/>
              <w:end w:w="120" w:type="dxa"/>
            </w:tcMar>
            <w:vAlign w:val="center"/>
          </w:tcPr>
          <w:p>
            <w:pPr>
              <w:spacing w:after="0" w:line="257" w:lineRule="auto"/>
            </w:pPr>
            <w:hyperlink r:id="rId41">
              <w:r>
                <w:rPr>
                  <w:rFonts w:ascii="Calibri" w:hAnsi="Calibri"/>
                  <w:color w:val="2E74B5"/>
                  <w:u w:val="single"/>
                  <w:sz w:val="16"/>
                  <w:szCs w:val="16"/>
                </w:rPr>
                <w:t>Arize AX</w:t>
              </w:r>
            </w:hyperlink>
          </w:p>
        </w:tc>
        <w:tc>
          <w:tcPr>
            <w:tcW w:type="dxa" w:w="4380"/>
            <w:tcMar>
              <w:top w:w="80" w:type="dxa"/>
              <w:start w:w="120" w:type="dxa"/>
              <w:bottom w:w="80" w:type="dxa"/>
              <w:end w:w="120" w:type="dxa"/>
            </w:tcMar>
            <w:vAlign w:val="center"/>
          </w:tcPr>
          <w:p>
            <w:pPr>
              <w:spacing w:after="0" w:line="257" w:lineRule="auto"/>
            </w:pPr>
            <w:r>
              <w:rPr>
                <w:rFonts w:ascii="Calibri" w:hAnsi="Calibri"/>
                <w:b w:val="0"/>
                <w:i w:val="0"/>
                <w:color w:val="111111"/>
                <w:sz w:val="16"/>
              </w:rPr>
              <w:t>Enterprise production observability, online evaluation, session/trace evaluation, alerting, and governance.</w:t>
            </w:r>
          </w:p>
        </w:tc>
        <w:tc>
          <w:tcPr>
            <w:tcW w:type="dxa" w:w="3080"/>
            <w:tcMar>
              <w:top w:w="80" w:type="dxa"/>
              <w:start w:w="120" w:type="dxa"/>
              <w:bottom w:w="80" w:type="dxa"/>
              <w:end w:w="120" w:type="dxa"/>
            </w:tcMar>
            <w:vAlign w:val="center"/>
          </w:tcPr>
          <w:p>
            <w:pPr>
              <w:spacing w:after="0" w:line="257" w:lineRule="auto"/>
            </w:pPr>
            <w:r>
              <w:rPr>
                <w:rFonts w:ascii="Calibri" w:hAnsi="Calibri"/>
                <w:b w:val="0"/>
                <w:i w:val="0"/>
                <w:color w:val="111111"/>
                <w:sz w:val="16"/>
              </w:rPr>
              <w:t>Evaluate as a managed monitoring/evaluation layer, not as the canonical execution runner.</w:t>
            </w:r>
          </w:p>
        </w:tc>
      </w:tr>
      <w:tr>
        <w:trPr>
          <w:cantSplit/>
        </w:trPr>
        <w:tc>
          <w:tcPr>
            <w:tcW w:type="dxa" w:w="1900"/>
            <w:tcMar>
              <w:top w:w="80" w:type="dxa"/>
              <w:start w:w="120" w:type="dxa"/>
              <w:bottom w:w="80" w:type="dxa"/>
              <w:end w:w="120" w:type="dxa"/>
            </w:tcMar>
            <w:vAlign w:val="center"/>
          </w:tcPr>
          <w:p>
            <w:pPr>
              <w:spacing w:after="0" w:line="257" w:lineRule="auto"/>
            </w:pPr>
            <w:hyperlink r:id="rId42">
              <w:r>
                <w:rPr>
                  <w:rFonts w:ascii="Calibri" w:hAnsi="Calibri"/>
                  <w:color w:val="2E74B5"/>
                  <w:u w:val="single"/>
                  <w:sz w:val="16"/>
                  <w:szCs w:val="16"/>
                </w:rPr>
                <w:t>Weights &amp; Biases Weave</w:t>
              </w:r>
            </w:hyperlink>
          </w:p>
        </w:tc>
        <w:tc>
          <w:tcPr>
            <w:tcW w:type="dxa" w:w="4380"/>
            <w:tcMar>
              <w:top w:w="80" w:type="dxa"/>
              <w:start w:w="120" w:type="dxa"/>
              <w:bottom w:w="80" w:type="dxa"/>
              <w:end w:w="120" w:type="dxa"/>
            </w:tcMar>
            <w:vAlign w:val="center"/>
          </w:tcPr>
          <w:p>
            <w:pPr>
              <w:spacing w:after="0" w:line="257" w:lineRule="auto"/>
            </w:pPr>
            <w:r>
              <w:rPr>
                <w:rFonts w:ascii="Calibri" w:hAnsi="Calibri"/>
                <w:b w:val="0"/>
                <w:i w:val="0"/>
                <w:color w:val="111111"/>
                <w:sz w:val="16"/>
              </w:rPr>
              <w:t>Model/prompt/data versioning, traces, evaluations, feedback, leaderboards, and broader ML lineage.</w:t>
            </w:r>
          </w:p>
        </w:tc>
        <w:tc>
          <w:tcPr>
            <w:tcW w:type="dxa" w:w="3080"/>
            <w:tcMar>
              <w:top w:w="80" w:type="dxa"/>
              <w:start w:w="120" w:type="dxa"/>
              <w:bottom w:w="80" w:type="dxa"/>
              <w:end w:w="120" w:type="dxa"/>
            </w:tcMar>
            <w:vAlign w:val="center"/>
          </w:tcPr>
          <w:p>
            <w:pPr>
              <w:spacing w:after="0" w:line="257" w:lineRule="auto"/>
            </w:pPr>
            <w:r>
              <w:rPr>
                <w:rFonts w:ascii="Calibri" w:hAnsi="Calibri"/>
                <w:b w:val="0"/>
                <w:i w:val="0"/>
                <w:color w:val="111111"/>
                <w:sz w:val="16"/>
              </w:rPr>
              <w:t>Attractive for teams already on W&amp;B; retain evaluator-owned execution and portable raw events.</w:t>
            </w:r>
          </w:p>
        </w:tc>
      </w:tr>
      <w:tr>
        <w:trPr>
          <w:cantSplit/>
        </w:trPr>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6"/>
              </w:rPr>
              <w:t>Confident AI</w:t>
            </w:r>
          </w:p>
        </w:tc>
        <w:tc>
          <w:tcPr>
            <w:tcW w:type="dxa" w:w="4380"/>
            <w:tcMar>
              <w:top w:w="80" w:type="dxa"/>
              <w:start w:w="120" w:type="dxa"/>
              <w:bottom w:w="80" w:type="dxa"/>
              <w:end w:w="120" w:type="dxa"/>
            </w:tcMar>
            <w:vAlign w:val="center"/>
          </w:tcPr>
          <w:p>
            <w:pPr>
              <w:spacing w:after="0" w:line="257" w:lineRule="auto"/>
            </w:pPr>
            <w:r>
              <w:rPr>
                <w:rFonts w:ascii="Calibri" w:hAnsi="Calibri"/>
                <w:b w:val="0"/>
                <w:i w:val="0"/>
                <w:color w:val="111111"/>
                <w:sz w:val="16"/>
              </w:rPr>
              <w:t xml:space="preserve">Managed collaboration, annotation, and production workflows around </w:t>
            </w:r>
            <w:hyperlink r:id="rId37">
              <w:r>
                <w:rPr>
                  <w:rFonts w:ascii="Calibri" w:hAnsi="Calibri"/>
                  <w:color w:val="2E74B5"/>
                  <w:u w:val="single"/>
                  <w:sz w:val="16"/>
                  <w:szCs w:val="16"/>
                </w:rPr>
                <w:t>DeepEval</w:t>
              </w:r>
            </w:hyperlink>
            <w:r>
              <w:rPr>
                <w:rFonts w:ascii="Calibri" w:hAnsi="Calibri"/>
                <w:b w:val="0"/>
                <w:i w:val="0"/>
                <w:color w:val="111111"/>
                <w:sz w:val="16"/>
              </w:rPr>
              <w:t>.</w:t>
            </w:r>
          </w:p>
        </w:tc>
        <w:tc>
          <w:tcPr>
            <w:tcW w:type="dxa" w:w="3080"/>
            <w:tcMar>
              <w:top w:w="80" w:type="dxa"/>
              <w:start w:w="120" w:type="dxa"/>
              <w:bottom w:w="80" w:type="dxa"/>
              <w:end w:w="120" w:type="dxa"/>
            </w:tcMar>
            <w:vAlign w:val="center"/>
          </w:tcPr>
          <w:p>
            <w:pPr>
              <w:spacing w:after="0" w:line="257" w:lineRule="auto"/>
            </w:pPr>
            <w:r>
              <w:rPr>
                <w:rFonts w:ascii="Calibri" w:hAnsi="Calibri"/>
                <w:b w:val="0"/>
                <w:i w:val="0"/>
                <w:color w:val="111111"/>
                <w:sz w:val="16"/>
              </w:rPr>
              <w:t xml:space="preserve">Consider if </w:t>
            </w:r>
            <w:hyperlink r:id="rId37">
              <w:r>
                <w:rPr>
                  <w:rFonts w:ascii="Calibri" w:hAnsi="Calibri"/>
                  <w:color w:val="2E74B5"/>
                  <w:u w:val="single"/>
                  <w:sz w:val="16"/>
                  <w:szCs w:val="16"/>
                </w:rPr>
                <w:t>DeepEval</w:t>
              </w:r>
            </w:hyperlink>
            <w:r>
              <w:rPr>
                <w:rFonts w:ascii="Calibri" w:hAnsi="Calibri"/>
                <w:b w:val="0"/>
                <w:i w:val="0"/>
                <w:color w:val="111111"/>
                <w:sz w:val="16"/>
              </w:rPr>
              <w:t xml:space="preserve"> wins the scorer bake-off and managed operations are preferred.</w:t>
            </w:r>
          </w:p>
        </w:tc>
      </w:tr>
    </w:tbl>
    <w:p>
      <w:pPr>
        <w:spacing w:after="40"/>
      </w:pPr>
    </w:p>
    <w:p>
      <w:pPr>
        <w:pStyle w:val="Heading2"/>
        <w:keepNext/>
      </w:pPr>
      <w:r>
        <w:rPr>
          <w:rFonts w:ascii="Calibri" w:hAnsi="Calibri"/>
          <w:b/>
          <w:i w:val="0"/>
          <w:color w:val="2E74B5"/>
          <w:sz w:val="26"/>
        </w:rPr>
        <w:t>Build-versus-adopt boundary</w:t>
      </w:r>
    </w:p>
    <w:p>
      <w:pPr>
        <w:keepNext w:val="0"/>
        <w:spacing w:before="0" w:after="120" w:line="264" w:lineRule="auto"/>
      </w:pPr>
      <w:r>
        <w:rPr>
          <w:rFonts w:ascii="Calibri" w:hAnsi="Calibri"/>
          <w:b w:val="0"/>
          <w:i w:val="0"/>
          <w:color w:val="111111"/>
          <w:sz w:val="22"/>
        </w:rPr>
        <w:t>Build the differentiating control plane rather than a complete platform from scratch. Own TaskSpec, WorkflowSpec, ModelRef, DeploymentRef, handoff and replay contracts, model-routing policies, experiment manifests, normalized cost/cache/latency accounting, statistical analysis, and promotion gates. Reuse commodity runtimes, sandboxes, OTel instrumentation, storage engines, scorer libraries, and an interchangeable experiment UI.</w:t>
      </w:r>
    </w:p>
    <w:p>
      <w:pPr>
        <w:pStyle w:val="ListBullet"/>
        <w:spacing w:after="160" w:line="280" w:lineRule="auto"/>
        <w:ind w:left="720" w:hanging="360"/>
      </w:pPr>
      <w:r>
        <w:rPr>
          <w:rFonts w:ascii="Calibri" w:hAnsi="Calibri"/>
          <w:b w:val="0"/>
          <w:i w:val="0"/>
          <w:color w:val="111111"/>
          <w:sz w:val="22"/>
        </w:rPr>
        <w:t>The custom runner is mandatory as a narrow reference implementation even if Inspect wins. It proves the contracts are independent and covers tasks that do not map cleanly to Inspect.</w:t>
      </w:r>
    </w:p>
    <w:p>
      <w:pPr>
        <w:pStyle w:val="ListBullet"/>
        <w:spacing w:after="160" w:line="280" w:lineRule="auto"/>
        <w:ind w:left="720" w:hanging="360"/>
      </w:pPr>
      <w:r>
        <w:rPr>
          <w:rFonts w:ascii="Calibri" w:hAnsi="Calibri"/>
          <w:b w:val="0"/>
          <w:i w:val="0"/>
          <w:color w:val="111111"/>
          <w:sz w:val="22"/>
        </w:rPr>
        <w:t>No dashboard or managed platform is the source of truth. Immutable manifests, traces, artifacts, scores, and dataset versions must export without lossy transformation.</w:t>
      </w:r>
    </w:p>
    <w:p>
      <w:pPr>
        <w:pStyle w:val="ListBullet"/>
        <w:spacing w:after="160" w:line="280" w:lineRule="auto"/>
        <w:ind w:left="720" w:hanging="360"/>
      </w:pPr>
      <w:r>
        <w:rPr>
          <w:rFonts w:ascii="Calibri" w:hAnsi="Calibri"/>
          <w:b w:val="0"/>
          <w:i w:val="0"/>
          <w:color w:val="111111"/>
          <w:sz w:val="22"/>
        </w:rPr>
        <w:t>A platform may own convenience workflows—annotation queues, dashboards, alerts, prompt playgrounds—but not model identity, provider equivalence, or deployment-promotion logic.</w:t>
      </w:r>
    </w:p>
    <w:p>
      <w:pPr>
        <w:pStyle w:val="Heading2"/>
        <w:keepNext/>
      </w:pPr>
      <w:r>
        <w:rPr>
          <w:rFonts w:ascii="Calibri" w:hAnsi="Calibri"/>
          <w:b/>
          <w:i w:val="0"/>
          <w:color w:val="2E74B5"/>
          <w:sz w:val="26"/>
        </w:rPr>
        <w:t>Supporting infrastructure choices</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500"/>
        <w:gridCol w:w="2940"/>
        <w:gridCol w:w="2540"/>
        <w:gridCol w:w="2380"/>
      </w:tblGrid>
      <w:tr>
        <w:trPr>
          <w:tblHeader w:val="true"/>
          <w:cantSplit/>
        </w:trPr>
        <w:tc>
          <w:tcPr>
            <w:tcW w:type="dxa" w:w="15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Layer</w:t>
            </w:r>
          </w:p>
        </w:tc>
        <w:tc>
          <w:tcPr>
            <w:tcW w:type="dxa" w:w="294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Open / owned default</w:t>
            </w:r>
          </w:p>
        </w:tc>
        <w:tc>
          <w:tcPr>
            <w:tcW w:type="dxa" w:w="254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Managed accelerator</w:t>
            </w:r>
          </w:p>
        </w:tc>
        <w:tc>
          <w:tcPr>
            <w:tcW w:type="dxa" w:w="238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Decision note</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5"/>
              </w:rPr>
              <w:t>Provider gateway</w:t>
            </w:r>
          </w:p>
        </w:tc>
        <w:tc>
          <w:tcPr>
            <w:tcW w:type="dxa" w:w="2940"/>
            <w:tcMar>
              <w:top w:w="80" w:type="dxa"/>
              <w:start w:w="120" w:type="dxa"/>
              <w:bottom w:w="80" w:type="dxa"/>
              <w:end w:w="120" w:type="dxa"/>
            </w:tcMar>
            <w:vAlign w:val="center"/>
          </w:tcPr>
          <w:p>
            <w:pPr>
              <w:spacing w:after="0" w:line="257" w:lineRule="auto"/>
            </w:pPr>
            <w:r>
              <w:rPr>
                <w:rFonts w:ascii="Calibri" w:hAnsi="Calibri"/>
                <w:b w:val="0"/>
                <w:i w:val="0"/>
                <w:color w:val="111111"/>
                <w:sz w:val="15"/>
              </w:rPr>
              <w:t xml:space="preserve">Native-direct reference; qualify </w:t>
            </w:r>
            <w:hyperlink r:id="rId12">
              <w:r>
                <w:rPr>
                  <w:rFonts w:ascii="Calibri" w:hAnsi="Calibri"/>
                  <w:color w:val="2E74B5"/>
                  <w:u w:val="single"/>
                  <w:sz w:val="15"/>
                  <w:szCs w:val="15"/>
                </w:rPr>
                <w:t>Bifrost</w:t>
              </w:r>
            </w:hyperlink>
            <w:r>
              <w:rPr>
                <w:rFonts w:ascii="Calibri" w:hAnsi="Calibri"/>
                <w:b w:val="0"/>
                <w:i w:val="0"/>
                <w:color w:val="111111"/>
                <w:sz w:val="15"/>
              </w:rPr>
              <w:t xml:space="preserve"> and </w:t>
            </w:r>
            <w:hyperlink r:id="rId13">
              <w:r>
                <w:rPr>
                  <w:rFonts w:ascii="Calibri" w:hAnsi="Calibri"/>
                  <w:color w:val="2E74B5"/>
                  <w:u w:val="single"/>
                  <w:sz w:val="15"/>
                  <w:szCs w:val="15"/>
                </w:rPr>
                <w:t>Portkey</w:t>
              </w:r>
            </w:hyperlink>
          </w:p>
        </w:tc>
        <w:tc>
          <w:tcPr>
            <w:tcW w:type="dxa" w:w="2540"/>
            <w:tcMar>
              <w:top w:w="80" w:type="dxa"/>
              <w:start w:w="120" w:type="dxa"/>
              <w:bottom w:w="80" w:type="dxa"/>
              <w:end w:w="120" w:type="dxa"/>
            </w:tcMar>
            <w:vAlign w:val="center"/>
          </w:tcPr>
          <w:p>
            <w:pPr>
              <w:spacing w:after="0" w:line="257" w:lineRule="auto"/>
            </w:pPr>
            <w:hyperlink r:id="rId43">
              <w:r>
                <w:rPr>
                  <w:rFonts w:ascii="Calibri" w:hAnsi="Calibri"/>
                  <w:color w:val="2E74B5"/>
                  <w:u w:val="single"/>
                  <w:sz w:val="15"/>
                  <w:szCs w:val="15"/>
                </w:rPr>
                <w:t>Vercel AI Gateway</w:t>
              </w:r>
            </w:hyperlink>
            <w:r>
              <w:rPr>
                <w:rFonts w:ascii="Calibri" w:hAnsi="Calibri"/>
                <w:b w:val="0"/>
                <w:i w:val="0"/>
                <w:color w:val="111111"/>
                <w:sz w:val="15"/>
              </w:rPr>
              <w:t xml:space="preserve">, </w:t>
            </w:r>
            <w:hyperlink r:id="rId44">
              <w:r>
                <w:rPr>
                  <w:rFonts w:ascii="Calibri" w:hAnsi="Calibri"/>
                  <w:color w:val="2E74B5"/>
                  <w:u w:val="single"/>
                  <w:sz w:val="15"/>
                  <w:szCs w:val="15"/>
                </w:rPr>
                <w:t>Ramp Router</w:t>
              </w:r>
            </w:hyperlink>
            <w:r>
              <w:rPr>
                <w:rFonts w:ascii="Calibri" w:hAnsi="Calibri"/>
                <w:b w:val="0"/>
                <w:i w:val="0"/>
                <w:color w:val="111111"/>
                <w:sz w:val="15"/>
              </w:rPr>
              <w:t xml:space="preserve">, </w:t>
            </w:r>
            <w:hyperlink r:id="rId45">
              <w:r>
                <w:rPr>
                  <w:rFonts w:ascii="Calibri" w:hAnsi="Calibri"/>
                  <w:color w:val="2E74B5"/>
                  <w:u w:val="single"/>
                  <w:sz w:val="15"/>
                  <w:szCs w:val="15"/>
                </w:rPr>
                <w:t>OpenRouter</w:t>
              </w:r>
            </w:hyperlink>
            <w:r>
              <w:rPr>
                <w:rFonts w:ascii="Calibri" w:hAnsi="Calibri"/>
                <w:b w:val="0"/>
                <w:i w:val="0"/>
                <w:color w:val="111111"/>
                <w:sz w:val="15"/>
              </w:rPr>
              <w:t>, Cloudflare, Kong</w:t>
            </w:r>
          </w:p>
        </w:tc>
        <w:tc>
          <w:tcPr>
            <w:tcW w:type="dxa" w:w="2380"/>
            <w:tcMar>
              <w:top w:w="80" w:type="dxa"/>
              <w:start w:w="120" w:type="dxa"/>
              <w:bottom w:w="80" w:type="dxa"/>
              <w:end w:w="120" w:type="dxa"/>
            </w:tcMar>
            <w:vAlign w:val="center"/>
          </w:tcPr>
          <w:p>
            <w:pPr>
              <w:spacing w:after="0" w:line="257" w:lineRule="auto"/>
            </w:pPr>
            <w:hyperlink r:id="rId14">
              <w:r>
                <w:rPr>
                  <w:rFonts w:ascii="Calibri" w:hAnsi="Calibri"/>
                  <w:color w:val="2E74B5"/>
                  <w:u w:val="single"/>
                  <w:sz w:val="15"/>
                  <w:szCs w:val="15"/>
                </w:rPr>
                <w:t>LiteLLM</w:t>
              </w:r>
            </w:hyperlink>
            <w:r>
              <w:rPr>
                <w:rFonts w:ascii="Calibri" w:hAnsi="Calibri"/>
                <w:b w:val="0"/>
                <w:i w:val="0"/>
                <w:color w:val="111111"/>
                <w:sz w:val="15"/>
              </w:rPr>
              <w:t xml:space="preserve"> remains a breadth/reference adapter. Keep gateway choice experimental.</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5"/>
              </w:rPr>
              <w:t>Workflow runtime</w:t>
            </w:r>
          </w:p>
        </w:tc>
        <w:tc>
          <w:tcPr>
            <w:tcW w:type="dxa" w:w="2940"/>
            <w:tcMar>
              <w:top w:w="80" w:type="dxa"/>
              <w:start w:w="120" w:type="dxa"/>
              <w:bottom w:w="80" w:type="dxa"/>
              <w:end w:w="120" w:type="dxa"/>
            </w:tcMar>
            <w:vAlign w:val="center"/>
          </w:tcPr>
          <w:p>
            <w:pPr>
              <w:spacing w:after="0" w:line="257" w:lineRule="auto"/>
            </w:pPr>
            <w:r>
              <w:rPr>
                <w:rFonts w:ascii="Calibri" w:hAnsi="Calibri"/>
                <w:b w:val="0"/>
                <w:i w:val="0"/>
                <w:color w:val="111111"/>
                <w:sz w:val="15"/>
              </w:rPr>
              <w:t>Existing runtime; Temporal OSS when durable jobs are necessary</w:t>
            </w:r>
          </w:p>
        </w:tc>
        <w:tc>
          <w:tcPr>
            <w:tcW w:type="dxa" w:w="2540"/>
            <w:tcMar>
              <w:top w:w="80" w:type="dxa"/>
              <w:start w:w="120" w:type="dxa"/>
              <w:bottom w:w="80" w:type="dxa"/>
              <w:end w:w="120" w:type="dxa"/>
            </w:tcMar>
            <w:vAlign w:val="center"/>
          </w:tcPr>
          <w:p>
            <w:pPr>
              <w:spacing w:after="0" w:line="257" w:lineRule="auto"/>
            </w:pPr>
            <w:r>
              <w:rPr>
                <w:rFonts w:ascii="Calibri" w:hAnsi="Calibri"/>
                <w:b w:val="0"/>
                <w:i w:val="0"/>
                <w:color w:val="111111"/>
                <w:sz w:val="15"/>
              </w:rPr>
              <w:t>Temporal Cloud or managed agent platforms</w:t>
            </w:r>
          </w:p>
        </w:tc>
        <w:tc>
          <w:tcPr>
            <w:tcW w:type="dxa" w:w="2380"/>
            <w:tcMar>
              <w:top w:w="80" w:type="dxa"/>
              <w:start w:w="120" w:type="dxa"/>
              <w:bottom w:w="80" w:type="dxa"/>
              <w:end w:w="120" w:type="dxa"/>
            </w:tcMar>
            <w:vAlign w:val="center"/>
          </w:tcPr>
          <w:p>
            <w:pPr>
              <w:spacing w:after="0" w:line="257" w:lineRule="auto"/>
            </w:pPr>
            <w:r>
              <w:rPr>
                <w:rFonts w:ascii="Calibri" w:hAnsi="Calibri"/>
                <w:b w:val="0"/>
                <w:i w:val="0"/>
                <w:color w:val="111111"/>
                <w:sz w:val="15"/>
              </w:rPr>
              <w:t>Wrap arbitrary agents; do not require one graph framework.</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5"/>
              </w:rPr>
              <w:t>Search / scheduling</w:t>
            </w:r>
          </w:p>
        </w:tc>
        <w:tc>
          <w:tcPr>
            <w:tcW w:type="dxa" w:w="2940"/>
            <w:tcMar>
              <w:top w:w="80" w:type="dxa"/>
              <w:start w:w="120" w:type="dxa"/>
              <w:bottom w:w="80" w:type="dxa"/>
              <w:end w:w="120" w:type="dxa"/>
            </w:tcMar>
            <w:vAlign w:val="center"/>
          </w:tcPr>
          <w:p>
            <w:pPr>
              <w:spacing w:after="0" w:line="257" w:lineRule="auto"/>
            </w:pPr>
            <w:r>
              <w:rPr>
                <w:rFonts w:ascii="Calibri" w:hAnsi="Calibri"/>
                <w:b w:val="0"/>
                <w:i w:val="0"/>
                <w:color w:val="111111"/>
                <w:sz w:val="15"/>
              </w:rPr>
              <w:t xml:space="preserve">Optuna; </w:t>
            </w:r>
            <w:hyperlink r:id="rId33">
              <w:r>
                <w:rPr>
                  <w:rFonts w:ascii="Calibri" w:hAnsi="Calibri"/>
                  <w:color w:val="2E74B5"/>
                  <w:u w:val="single"/>
                  <w:sz w:val="15"/>
                  <w:szCs w:val="15"/>
                </w:rPr>
                <w:t>Ray Tune</w:t>
              </w:r>
            </w:hyperlink>
            <w:r>
              <w:rPr>
                <w:rFonts w:ascii="Calibri" w:hAnsi="Calibri"/>
                <w:b w:val="0"/>
                <w:i w:val="0"/>
                <w:color w:val="111111"/>
                <w:sz w:val="15"/>
              </w:rPr>
              <w:t>/ASHA</w:t>
            </w:r>
          </w:p>
        </w:tc>
        <w:tc>
          <w:tcPr>
            <w:tcW w:type="dxa" w:w="2540"/>
            <w:tcMar>
              <w:top w:w="80" w:type="dxa"/>
              <w:start w:w="120" w:type="dxa"/>
              <w:bottom w:w="80" w:type="dxa"/>
              <w:end w:w="120" w:type="dxa"/>
            </w:tcMar>
            <w:vAlign w:val="center"/>
          </w:tcPr>
          <w:p>
            <w:pPr>
              <w:spacing w:after="0" w:line="257" w:lineRule="auto"/>
            </w:pPr>
            <w:r>
              <w:rPr>
                <w:rFonts w:ascii="Calibri" w:hAnsi="Calibri"/>
                <w:b w:val="0"/>
                <w:i w:val="0"/>
                <w:color w:val="111111"/>
                <w:sz w:val="15"/>
              </w:rPr>
              <w:t>W&amp;B Sweeps or managed HPO</w:t>
            </w:r>
          </w:p>
        </w:tc>
        <w:tc>
          <w:tcPr>
            <w:tcW w:type="dxa" w:w="2380"/>
            <w:tcMar>
              <w:top w:w="80" w:type="dxa"/>
              <w:start w:w="120" w:type="dxa"/>
              <w:bottom w:w="80" w:type="dxa"/>
              <w:end w:w="120" w:type="dxa"/>
            </w:tcMar>
            <w:vAlign w:val="center"/>
          </w:tcPr>
          <w:p>
            <w:pPr>
              <w:spacing w:after="0" w:line="257" w:lineRule="auto"/>
            </w:pPr>
            <w:r>
              <w:rPr>
                <w:rFonts w:ascii="Calibri" w:hAnsi="Calibri"/>
                <w:b w:val="0"/>
                <w:i w:val="0"/>
                <w:color w:val="111111"/>
                <w:sz w:val="15"/>
              </w:rPr>
              <w:t>Use staged multi-objective search and early stopping.</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5"/>
              </w:rPr>
              <w:t>Results / analysis</w:t>
            </w:r>
          </w:p>
        </w:tc>
        <w:tc>
          <w:tcPr>
            <w:tcW w:type="dxa" w:w="2940"/>
            <w:tcMar>
              <w:top w:w="80" w:type="dxa"/>
              <w:start w:w="120" w:type="dxa"/>
              <w:bottom w:w="80" w:type="dxa"/>
              <w:end w:w="120" w:type="dxa"/>
            </w:tcMar>
            <w:vAlign w:val="center"/>
          </w:tcPr>
          <w:p>
            <w:pPr>
              <w:spacing w:after="0" w:line="257" w:lineRule="auto"/>
            </w:pPr>
            <w:r>
              <w:rPr>
                <w:rFonts w:ascii="Calibri" w:hAnsi="Calibri"/>
                <w:b w:val="0"/>
                <w:i w:val="0"/>
                <w:color w:val="111111"/>
                <w:sz w:val="15"/>
              </w:rPr>
              <w:t>PostgreSQL + Parquet/object storage + DuckDB; ClickHouse at volume</w:t>
            </w:r>
          </w:p>
        </w:tc>
        <w:tc>
          <w:tcPr>
            <w:tcW w:type="dxa" w:w="2540"/>
            <w:tcMar>
              <w:top w:w="80" w:type="dxa"/>
              <w:start w:w="120" w:type="dxa"/>
              <w:bottom w:w="80" w:type="dxa"/>
              <w:end w:w="120" w:type="dxa"/>
            </w:tcMar>
            <w:vAlign w:val="center"/>
          </w:tcPr>
          <w:p>
            <w:pPr>
              <w:spacing w:after="0" w:line="257" w:lineRule="auto"/>
            </w:pPr>
            <w:r>
              <w:rPr>
                <w:rFonts w:ascii="Calibri" w:hAnsi="Calibri"/>
                <w:b w:val="0"/>
                <w:i w:val="0"/>
                <w:color w:val="111111"/>
                <w:sz w:val="15"/>
              </w:rPr>
              <w:t>BigQuery, Snowflake, ClickHouse Cloud</w:t>
            </w:r>
          </w:p>
        </w:tc>
        <w:tc>
          <w:tcPr>
            <w:tcW w:type="dxa" w:w="2380"/>
            <w:tcMar>
              <w:top w:w="80" w:type="dxa"/>
              <w:start w:w="120" w:type="dxa"/>
              <w:bottom w:w="80" w:type="dxa"/>
              <w:end w:w="120" w:type="dxa"/>
            </w:tcMar>
            <w:vAlign w:val="center"/>
          </w:tcPr>
          <w:p>
            <w:pPr>
              <w:spacing w:after="0" w:line="257" w:lineRule="auto"/>
            </w:pPr>
            <w:r>
              <w:rPr>
                <w:rFonts w:ascii="Calibri" w:hAnsi="Calibri"/>
                <w:b w:val="0"/>
                <w:i w:val="0"/>
                <w:color w:val="111111"/>
                <w:sz w:val="15"/>
              </w:rPr>
              <w:t>Raw manifests and events remain the source of truth.</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5"/>
              </w:rPr>
              <w:t>Open inference</w:t>
            </w:r>
          </w:p>
        </w:tc>
        <w:tc>
          <w:tcPr>
            <w:tcW w:type="dxa" w:w="2940"/>
            <w:tcMar>
              <w:top w:w="80" w:type="dxa"/>
              <w:start w:w="120" w:type="dxa"/>
              <w:bottom w:w="80" w:type="dxa"/>
              <w:end w:w="120" w:type="dxa"/>
            </w:tcMar>
            <w:vAlign w:val="center"/>
          </w:tcPr>
          <w:p>
            <w:pPr>
              <w:spacing w:after="0" w:line="257" w:lineRule="auto"/>
            </w:pPr>
            <w:hyperlink r:id="rId19">
              <w:r>
                <w:rPr>
                  <w:rFonts w:ascii="Calibri" w:hAnsi="Calibri"/>
                  <w:color w:val="2E74B5"/>
                  <w:u w:val="single"/>
                  <w:sz w:val="15"/>
                  <w:szCs w:val="15"/>
                </w:rPr>
                <w:t>vLLM</w:t>
              </w:r>
            </w:hyperlink>
            <w:r>
              <w:rPr>
                <w:rFonts w:ascii="Calibri" w:hAnsi="Calibri"/>
                <w:b w:val="0"/>
                <w:i w:val="0"/>
                <w:color w:val="111111"/>
                <w:sz w:val="15"/>
              </w:rPr>
              <w:t>; optionally SGLang/TGI</w:t>
            </w:r>
          </w:p>
        </w:tc>
        <w:tc>
          <w:tcPr>
            <w:tcW w:type="dxa" w:w="2540"/>
            <w:tcMar>
              <w:top w:w="80" w:type="dxa"/>
              <w:start w:w="120" w:type="dxa"/>
              <w:bottom w:w="80" w:type="dxa"/>
              <w:end w:w="120" w:type="dxa"/>
            </w:tcMar>
            <w:vAlign w:val="center"/>
          </w:tcPr>
          <w:p>
            <w:pPr>
              <w:spacing w:after="0" w:line="257" w:lineRule="auto"/>
            </w:pPr>
            <w:r>
              <w:rPr>
                <w:rFonts w:ascii="Calibri" w:hAnsi="Calibri"/>
                <w:b w:val="0"/>
                <w:i w:val="0"/>
                <w:color w:val="111111"/>
                <w:sz w:val="15"/>
              </w:rPr>
              <w:t>Specialized hosts and hyperscaler endpoints</w:t>
            </w:r>
          </w:p>
        </w:tc>
        <w:tc>
          <w:tcPr>
            <w:tcW w:type="dxa" w:w="2380"/>
            <w:tcMar>
              <w:top w:w="80" w:type="dxa"/>
              <w:start w:w="120" w:type="dxa"/>
              <w:bottom w:w="80" w:type="dxa"/>
              <w:end w:w="120" w:type="dxa"/>
            </w:tcMar>
            <w:vAlign w:val="center"/>
          </w:tcPr>
          <w:p>
            <w:pPr>
              <w:spacing w:after="0" w:line="257" w:lineRule="auto"/>
            </w:pPr>
            <w:r>
              <w:rPr>
                <w:rFonts w:ascii="Calibri" w:hAnsi="Calibri"/>
                <w:b w:val="0"/>
                <w:i w:val="0"/>
                <w:color w:val="111111"/>
                <w:sz w:val="15"/>
              </w:rPr>
              <w:t>Pin engine, hardware, quantization, tokenizer, and template.</w:t>
            </w:r>
          </w:p>
        </w:tc>
      </w:tr>
    </w:tbl>
    <w:p>
      <w:pPr>
        <w:spacing w:after="40"/>
      </w:pPr>
    </w:p>
    <w:p>
      <w:pPr>
        <w:pStyle w:val="Heading2"/>
        <w:keepNext/>
      </w:pPr>
      <w:r>
        <w:rPr>
          <w:rFonts w:ascii="Calibri" w:hAnsi="Calibri"/>
          <w:b/>
          <w:i w:val="0"/>
          <w:color w:val="2E74B5"/>
          <w:sz w:val="26"/>
        </w:rPr>
        <w:t>Gateway recommendation after comparative review</w:t>
      </w:r>
    </w:p>
    <w:p>
      <w:pPr>
        <w:keepNext w:val="0"/>
        <w:spacing w:before="0" w:after="120" w:line="264" w:lineRule="auto"/>
      </w:pPr>
      <w:hyperlink r:id="rId14">
        <w:r>
          <w:rPr>
            <w:rFonts w:ascii="Calibri" w:hAnsi="Calibri"/>
            <w:color w:val="2E74B5"/>
            <w:u w:val="single"/>
            <w:sz w:val="22"/>
            <w:szCs w:val="22"/>
          </w:rPr>
          <w:t>LiteLLM</w:t>
        </w:r>
      </w:hyperlink>
      <w:r>
        <w:rPr>
          <w:rFonts w:ascii="Calibri" w:hAnsi="Calibri"/>
          <w:b w:val="0"/>
          <w:i w:val="0"/>
          <w:color w:val="111111"/>
          <w:sz w:val="22"/>
        </w:rPr>
        <w:t xml:space="preserve"> is no longer the recommended default gateway. Its in-process SDK, broad provider coverage, OpenAI-compatible proxy, spend controls, virtual keys, callbacks, routing, retries, and fallbacks make it excellent for rapid integration and coverage discovery. Those same translation and policy layers can, however, normalize provider-specific behavior, obscure unsupported fields, transform errors, retry requests, and add overhead. That is a poor default posture for a system whose first obligation is causal measurement.</w:t>
      </w:r>
    </w:p>
    <w:p>
      <w:pPr>
        <w:keepNext w:val="0"/>
        <w:spacing w:before="0" w:after="120" w:line="264" w:lineRule="auto"/>
      </w:pPr>
      <w:r>
        <w:rPr>
          <w:rFonts w:ascii="Calibri" w:hAnsi="Calibri"/>
          <w:b w:val="0"/>
          <w:i w:val="0"/>
          <w:color w:val="111111"/>
          <w:sz w:val="22"/>
        </w:rPr>
        <w:t xml:space="preserve">Use native-direct adapters as the reference and measurement authority. For an open-source production gateway, qualify </w:t>
      </w:r>
      <w:hyperlink r:id="rId12">
        <w:r>
          <w:rPr>
            <w:rFonts w:ascii="Calibri" w:hAnsi="Calibri"/>
            <w:color w:val="2E74B5"/>
            <w:u w:val="single"/>
            <w:sz w:val="22"/>
            <w:szCs w:val="22"/>
          </w:rPr>
          <w:t>Bifrost</w:t>
        </w:r>
      </w:hyperlink>
      <w:r>
        <w:rPr>
          <w:rFonts w:ascii="Calibri" w:hAnsi="Calibri"/>
          <w:b w:val="0"/>
          <w:i w:val="0"/>
          <w:color w:val="111111"/>
          <w:sz w:val="22"/>
        </w:rPr>
        <w:t xml:space="preserve"> first: it is Apache 2.0, implemented in Go, supports provider-compatible pass-through as well as an OpenAI-compatible surface, exposes routing/failover, cache, governance, Prometheus and OTLP telemetry, and documents a broad multimodal capability matrix. This is a qualification lead—not a preselected winner: its ecosystem is newer, provider coverage is smaller than </w:t>
      </w:r>
      <w:hyperlink r:id="rId14">
        <w:r>
          <w:rPr>
            <w:rFonts w:ascii="Calibri" w:hAnsi="Calibri"/>
            <w:color w:val="2E74B5"/>
            <w:u w:val="single"/>
            <w:sz w:val="22"/>
            <w:szCs w:val="22"/>
          </w:rPr>
          <w:t>LiteLLM</w:t>
        </w:r>
      </w:hyperlink>
      <w:r>
        <w:rPr>
          <w:rFonts w:ascii="Calibri" w:hAnsi="Calibri"/>
          <w:b w:val="0"/>
          <w:i w:val="0"/>
          <w:color w:val="111111"/>
          <w:sz w:val="22"/>
        </w:rPr>
        <w:t>’s, and vendor performance claims must be independently reproduced.</w:t>
      </w:r>
    </w:p>
    <w:p>
      <w:pPr>
        <w:keepNext w:val="0"/>
        <w:spacing w:before="0" w:after="120" w:line="264" w:lineRule="auto"/>
      </w:pPr>
      <w:r>
        <w:rPr>
          <w:rFonts w:ascii="Calibri" w:hAnsi="Calibri"/>
          <w:b w:val="0"/>
          <w:i w:val="0"/>
          <w:color w:val="111111"/>
          <w:sz w:val="22"/>
        </w:rPr>
        <w:t xml:space="preserve">Qualify </w:t>
      </w:r>
      <w:hyperlink r:id="rId13">
        <w:r>
          <w:rPr>
            <w:rFonts w:ascii="Calibri" w:hAnsi="Calibri"/>
            <w:color w:val="2E74B5"/>
            <w:u w:val="single"/>
            <w:sz w:val="22"/>
            <w:szCs w:val="22"/>
          </w:rPr>
          <w:t>Portkey</w:t>
        </w:r>
      </w:hyperlink>
      <w:r>
        <w:rPr>
          <w:rFonts w:ascii="Calibri" w:hAnsi="Calibri"/>
          <w:b w:val="0"/>
          <w:i w:val="0"/>
          <w:color w:val="111111"/>
          <w:sz w:val="22"/>
        </w:rPr>
        <w:t xml:space="preserve"> alongside it when policy, guardrails, budgets, conditional routing, canaries, and circuit breaking matter. Include one managed challenger—</w:t>
      </w:r>
      <w:hyperlink r:id="rId43">
        <w:r>
          <w:rPr>
            <w:rFonts w:ascii="Calibri" w:hAnsi="Calibri"/>
            <w:color w:val="2E74B5"/>
            <w:u w:val="single"/>
            <w:sz w:val="22"/>
            <w:szCs w:val="22"/>
          </w:rPr>
          <w:t>Vercel AI Gateway</w:t>
        </w:r>
      </w:hyperlink>
      <w:r>
        <w:rPr>
          <w:rFonts w:ascii="Calibri" w:hAnsi="Calibri"/>
          <w:b w:val="0"/>
          <w:i w:val="0"/>
          <w:color w:val="111111"/>
          <w:sz w:val="22"/>
        </w:rPr>
        <w:t xml:space="preserve"> for a straightforward managed routing layer, or </w:t>
      </w:r>
      <w:hyperlink r:id="rId44">
        <w:r>
          <w:rPr>
            <w:rFonts w:ascii="Calibri" w:hAnsi="Calibri"/>
            <w:color w:val="2E74B5"/>
            <w:u w:val="single"/>
            <w:sz w:val="22"/>
            <w:szCs w:val="22"/>
          </w:rPr>
          <w:t>Ramp Router</w:t>
        </w:r>
      </w:hyperlink>
      <w:r>
        <w:rPr>
          <w:rFonts w:ascii="Calibri" w:hAnsi="Calibri"/>
          <w:b w:val="0"/>
          <w:i w:val="0"/>
          <w:color w:val="111111"/>
          <w:sz w:val="22"/>
        </w:rPr>
        <w:t xml:space="preserve"> when adaptive, shadow, benchmark, and cost-aware routing are material. </w:t>
      </w:r>
      <w:hyperlink r:id="rId44">
        <w:r>
          <w:rPr>
            <w:rFonts w:ascii="Calibri" w:hAnsi="Calibri"/>
            <w:color w:val="2E74B5"/>
            <w:u w:val="single"/>
            <w:sz w:val="22"/>
            <w:szCs w:val="22"/>
          </w:rPr>
          <w:t>Ramp Router</w:t>
        </w:r>
      </w:hyperlink>
      <w:r>
        <w:rPr>
          <w:rFonts w:ascii="Calibri" w:hAnsi="Calibri"/>
          <w:b w:val="0"/>
          <w:i w:val="0"/>
          <w:color w:val="111111"/>
          <w:sz w:val="22"/>
        </w:rPr>
        <w:t xml:space="preserve"> is especially interesting but new, with several strategies still described as beta. Keep </w:t>
      </w:r>
      <w:hyperlink r:id="rId14">
        <w:r>
          <w:rPr>
            <w:rFonts w:ascii="Calibri" w:hAnsi="Calibri"/>
            <w:color w:val="2E74B5"/>
            <w:u w:val="single"/>
            <w:sz w:val="22"/>
            <w:szCs w:val="22"/>
          </w:rPr>
          <w:t>LiteLLM</w:t>
        </w:r>
      </w:hyperlink>
      <w:r>
        <w:rPr>
          <w:rFonts w:ascii="Calibri" w:hAnsi="Calibri"/>
          <w:b w:val="0"/>
          <w:i w:val="0"/>
          <w:color w:val="111111"/>
          <w:sz w:val="22"/>
        </w:rPr>
        <w:t xml:space="preserve"> as the breadth/reference adapter and use it when its incremental provider support saves integration work. Do not select any gateway until conformance, raw-export completeness, direct-versus-gateway overhead, security, operability, and migration tests pass.</w:t>
      </w:r>
    </w:p>
    <w:p>
      <w:pPr>
        <w:pStyle w:val="Heading2"/>
        <w:keepNext/>
      </w:pPr>
      <w:r>
        <w:rPr>
          <w:rFonts w:ascii="Calibri" w:hAnsi="Calibri"/>
          <w:b/>
          <w:i w:val="0"/>
          <w:color w:val="2E74B5"/>
          <w:sz w:val="26"/>
        </w:rPr>
        <w:t>Gateway alternatives for consideration</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370"/>
        <w:gridCol w:w="1900"/>
        <w:gridCol w:w="3210"/>
        <w:gridCol w:w="2880"/>
      </w:tblGrid>
      <w:tr>
        <w:trPr>
          <w:tblHeader w:val="true"/>
          <w:cantSplit/>
        </w:trPr>
        <w:tc>
          <w:tcPr>
            <w:tcW w:type="dxa" w:w="137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Candidate</w:t>
            </w:r>
          </w:p>
        </w:tc>
        <w:tc>
          <w:tcPr>
            <w:tcW w:type="dxa" w:w="19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Deployment / license</w:t>
            </w:r>
          </w:p>
        </w:tc>
        <w:tc>
          <w:tcPr>
            <w:tcW w:type="dxa" w:w="321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Strengths for this evaluator</w:t>
            </w:r>
          </w:p>
        </w:tc>
        <w:tc>
          <w:tcPr>
            <w:tcW w:type="dxa" w:w="288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Primary caution and disposition</w:t>
            </w:r>
          </w:p>
        </w:tc>
      </w:tr>
      <w:tr>
        <w:trPr>
          <w:cantSplit/>
        </w:trPr>
        <w:tc>
          <w:tcPr>
            <w:tcW w:type="dxa" w:w="1370"/>
            <w:tcMar>
              <w:top w:w="80" w:type="dxa"/>
              <w:start w:w="120" w:type="dxa"/>
              <w:bottom w:w="80" w:type="dxa"/>
              <w:end w:w="120" w:type="dxa"/>
            </w:tcMar>
            <w:vAlign w:val="center"/>
          </w:tcPr>
          <w:p>
            <w:pPr>
              <w:spacing w:after="0" w:line="257" w:lineRule="auto"/>
            </w:pPr>
            <w:hyperlink r:id="rId12">
              <w:r>
                <w:rPr>
                  <w:rFonts w:ascii="Calibri" w:hAnsi="Calibri"/>
                  <w:color w:val="2E74B5"/>
                  <w:u w:val="single"/>
                  <w:sz w:val="14"/>
                  <w:szCs w:val="14"/>
                </w:rPr>
                <w:t>Bifrost</w:t>
              </w:r>
            </w:hyperlink>
          </w:p>
        </w:tc>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4"/>
              </w:rPr>
              <w:t>Self-hosted Go gateway; Apache 2.0</w:t>
            </w:r>
          </w:p>
        </w:tc>
        <w:tc>
          <w:tcPr>
            <w:tcW w:type="dxa" w:w="3210"/>
            <w:tcMar>
              <w:top w:w="80" w:type="dxa"/>
              <w:start w:w="120" w:type="dxa"/>
              <w:bottom w:w="80" w:type="dxa"/>
              <w:end w:w="120" w:type="dxa"/>
            </w:tcMar>
            <w:vAlign w:val="center"/>
          </w:tcPr>
          <w:p>
            <w:pPr>
              <w:spacing w:after="0" w:line="257" w:lineRule="auto"/>
            </w:pPr>
            <w:r>
              <w:rPr>
                <w:rFonts w:ascii="Calibri" w:hAnsi="Calibri"/>
                <w:b w:val="0"/>
                <w:i w:val="0"/>
                <w:color w:val="111111"/>
                <w:sz w:val="14"/>
              </w:rPr>
              <w:t>Provider-compatible pass-through, OpenAI-compatible APIs, 20+ providers, routing/failover, semantic cache, virtual keys, governance, Prometheus and OTLP telemetry, and multimodal support.</w:t>
            </w:r>
          </w:p>
        </w:tc>
        <w:tc>
          <w:tcPr>
            <w:tcW w:type="dxa" w:w="2880"/>
            <w:tcMar>
              <w:top w:w="80" w:type="dxa"/>
              <w:start w:w="120" w:type="dxa"/>
              <w:bottom w:w="80" w:type="dxa"/>
              <w:end w:w="120" w:type="dxa"/>
            </w:tcMar>
            <w:vAlign w:val="center"/>
          </w:tcPr>
          <w:p>
            <w:pPr>
              <w:spacing w:after="0" w:line="257" w:lineRule="auto"/>
            </w:pPr>
            <w:r>
              <w:rPr>
                <w:rFonts w:ascii="Calibri" w:hAnsi="Calibri"/>
                <w:b w:val="0"/>
                <w:i w:val="0"/>
                <w:color w:val="111111"/>
                <w:sz w:val="14"/>
              </w:rPr>
              <w:t xml:space="preserve">Primary open-source production candidate to qualify. Newer ecosystem and narrower provider surface than </w:t>
            </w:r>
            <w:hyperlink r:id="rId14">
              <w:r>
                <w:rPr>
                  <w:rFonts w:ascii="Calibri" w:hAnsi="Calibri"/>
                  <w:color w:val="2E74B5"/>
                  <w:u w:val="single"/>
                  <w:sz w:val="14"/>
                  <w:szCs w:val="14"/>
                </w:rPr>
                <w:t>LiteLLM</w:t>
              </w:r>
            </w:hyperlink>
            <w:r>
              <w:rPr>
                <w:rFonts w:ascii="Calibri" w:hAnsi="Calibri"/>
                <w:b w:val="0"/>
                <w:i w:val="0"/>
                <w:color w:val="111111"/>
                <w:sz w:val="14"/>
              </w:rPr>
              <w:t>; independently verify feature and performance claims.</w:t>
            </w:r>
          </w:p>
        </w:tc>
      </w:tr>
      <w:tr>
        <w:trPr>
          <w:cantSplit/>
        </w:trPr>
        <w:tc>
          <w:tcPr>
            <w:tcW w:type="dxa" w:w="1370"/>
            <w:tcMar>
              <w:top w:w="80" w:type="dxa"/>
              <w:start w:w="120" w:type="dxa"/>
              <w:bottom w:w="80" w:type="dxa"/>
              <w:end w:w="120" w:type="dxa"/>
            </w:tcMar>
            <w:vAlign w:val="center"/>
          </w:tcPr>
          <w:p>
            <w:pPr>
              <w:spacing w:after="0" w:line="257" w:lineRule="auto"/>
            </w:pPr>
            <w:hyperlink r:id="rId13">
              <w:r>
                <w:rPr>
                  <w:rFonts w:ascii="Calibri" w:hAnsi="Calibri"/>
                  <w:color w:val="2E74B5"/>
                  <w:u w:val="single"/>
                  <w:sz w:val="14"/>
                  <w:szCs w:val="14"/>
                </w:rPr>
                <w:t>Portkey Gateway</w:t>
              </w:r>
            </w:hyperlink>
          </w:p>
        </w:tc>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4"/>
              </w:rPr>
              <w:t>MIT gateway plus managed/enterprise platform</w:t>
            </w:r>
          </w:p>
        </w:tc>
        <w:tc>
          <w:tcPr>
            <w:tcW w:type="dxa" w:w="3210"/>
            <w:tcMar>
              <w:top w:w="80" w:type="dxa"/>
              <w:start w:w="120" w:type="dxa"/>
              <w:bottom w:w="80" w:type="dxa"/>
              <w:end w:w="120" w:type="dxa"/>
            </w:tcMar>
            <w:vAlign w:val="center"/>
          </w:tcPr>
          <w:p>
            <w:pPr>
              <w:spacing w:after="0" w:line="257" w:lineRule="auto"/>
            </w:pPr>
            <w:r>
              <w:rPr>
                <w:rFonts w:ascii="Calibri" w:hAnsi="Calibri"/>
                <w:b w:val="0"/>
                <w:i w:val="0"/>
                <w:color w:val="111111"/>
                <w:sz w:val="14"/>
              </w:rPr>
              <w:t>Universal API, fallbacks, conditional routing, retries, circuit breaking, load balancing, canaries, caching, budgets, guardrails, MCP and OTel enrichment.</w:t>
            </w:r>
          </w:p>
        </w:tc>
        <w:tc>
          <w:tcPr>
            <w:tcW w:type="dxa" w:w="2880"/>
            <w:tcMar>
              <w:top w:w="80" w:type="dxa"/>
              <w:start w:w="120" w:type="dxa"/>
              <w:bottom w:w="80" w:type="dxa"/>
              <w:end w:w="120" w:type="dxa"/>
            </w:tcMar>
            <w:vAlign w:val="center"/>
          </w:tcPr>
          <w:p>
            <w:pPr>
              <w:spacing w:after="0" w:line="257" w:lineRule="auto"/>
            </w:pPr>
            <w:r>
              <w:rPr>
                <w:rFonts w:ascii="Calibri" w:hAnsi="Calibri"/>
                <w:b w:val="0"/>
                <w:i w:val="0"/>
                <w:color w:val="111111"/>
                <w:sz w:val="14"/>
              </w:rPr>
              <w:t>Open gateway and commercial control plane differ. Strong governance-oriented open-source contender.</w:t>
            </w:r>
          </w:p>
        </w:tc>
      </w:tr>
      <w:tr>
        <w:trPr>
          <w:cantSplit/>
        </w:trPr>
        <w:tc>
          <w:tcPr>
            <w:tcW w:type="dxa" w:w="1370"/>
            <w:tcMar>
              <w:top w:w="80" w:type="dxa"/>
              <w:start w:w="120" w:type="dxa"/>
              <w:bottom w:w="80" w:type="dxa"/>
              <w:end w:w="120" w:type="dxa"/>
            </w:tcMar>
            <w:vAlign w:val="center"/>
          </w:tcPr>
          <w:p>
            <w:pPr>
              <w:spacing w:after="0" w:line="257" w:lineRule="auto"/>
            </w:pPr>
            <w:hyperlink r:id="rId14">
              <w:r>
                <w:rPr>
                  <w:rFonts w:ascii="Calibri" w:hAnsi="Calibri"/>
                  <w:color w:val="2E74B5"/>
                  <w:u w:val="single"/>
                  <w:sz w:val="14"/>
                  <w:szCs w:val="14"/>
                </w:rPr>
                <w:t>LiteLLM</w:t>
              </w:r>
            </w:hyperlink>
          </w:p>
        </w:tc>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4"/>
              </w:rPr>
              <w:t>Self-hosted SDK or proxy; core MIT, separate enterprise directory</w:t>
            </w:r>
          </w:p>
        </w:tc>
        <w:tc>
          <w:tcPr>
            <w:tcW w:type="dxa" w:w="3210"/>
            <w:tcMar>
              <w:top w:w="80" w:type="dxa"/>
              <w:start w:w="120" w:type="dxa"/>
              <w:bottom w:w="80" w:type="dxa"/>
              <w:end w:w="120" w:type="dxa"/>
            </w:tcMar>
            <w:vAlign w:val="center"/>
          </w:tcPr>
          <w:p>
            <w:pPr>
              <w:spacing w:after="0" w:line="257" w:lineRule="auto"/>
            </w:pPr>
            <w:r>
              <w:rPr>
                <w:rFonts w:ascii="Calibri" w:hAnsi="Calibri"/>
                <w:b w:val="0"/>
                <w:i w:val="0"/>
                <w:color w:val="111111"/>
                <w:sz w:val="14"/>
              </w:rPr>
              <w:t>Very broad adapter coverage; Python embedding; routing, budgets, virtual keys, spend controls, and callback ecosystem.</w:t>
            </w:r>
          </w:p>
        </w:tc>
        <w:tc>
          <w:tcPr>
            <w:tcW w:type="dxa" w:w="2880"/>
            <w:tcMar>
              <w:top w:w="80" w:type="dxa"/>
              <w:start w:w="120" w:type="dxa"/>
              <w:bottom w:w="80" w:type="dxa"/>
              <w:end w:w="120" w:type="dxa"/>
            </w:tcMar>
            <w:vAlign w:val="center"/>
          </w:tcPr>
          <w:p>
            <w:pPr>
              <w:spacing w:after="0" w:line="257" w:lineRule="auto"/>
            </w:pPr>
            <w:r>
              <w:rPr>
                <w:rFonts w:ascii="Calibri" w:hAnsi="Calibri"/>
                <w:b w:val="0"/>
                <w:i w:val="0"/>
                <w:color w:val="111111"/>
                <w:sz w:val="14"/>
              </w:rPr>
              <w:t>Normalization and hidden policy can contaminate comparisons. Retain for breadth and rapid integration; do not make it the default or source of truth.</w:t>
            </w:r>
          </w:p>
        </w:tc>
      </w:tr>
      <w:tr>
        <w:trPr>
          <w:cantSplit/>
        </w:trPr>
        <w:tc>
          <w:tcPr>
            <w:tcW w:type="dxa" w:w="1370"/>
            <w:tcMar>
              <w:top w:w="80" w:type="dxa"/>
              <w:start w:w="120" w:type="dxa"/>
              <w:bottom w:w="80" w:type="dxa"/>
              <w:end w:w="120" w:type="dxa"/>
            </w:tcMar>
            <w:vAlign w:val="center"/>
          </w:tcPr>
          <w:p>
            <w:pPr>
              <w:spacing w:after="0" w:line="257" w:lineRule="auto"/>
            </w:pPr>
            <w:hyperlink r:id="rId43">
              <w:r>
                <w:rPr>
                  <w:rFonts w:ascii="Calibri" w:hAnsi="Calibri"/>
                  <w:color w:val="2E74B5"/>
                  <w:u w:val="single"/>
                  <w:sz w:val="14"/>
                  <w:szCs w:val="14"/>
                </w:rPr>
                <w:t>Vercel AI Gateway</w:t>
              </w:r>
            </w:hyperlink>
          </w:p>
        </w:tc>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4"/>
              </w:rPr>
              <w:t>Managed service; commercially controlled</w:t>
            </w:r>
          </w:p>
        </w:tc>
        <w:tc>
          <w:tcPr>
            <w:tcW w:type="dxa" w:w="3210"/>
            <w:tcMar>
              <w:top w:w="80" w:type="dxa"/>
              <w:start w:w="120" w:type="dxa"/>
              <w:bottom w:w="80" w:type="dxa"/>
              <w:end w:w="120" w:type="dxa"/>
            </w:tcMar>
            <w:vAlign w:val="center"/>
          </w:tcPr>
          <w:p>
            <w:pPr>
              <w:spacing w:after="0" w:line="257" w:lineRule="auto"/>
            </w:pPr>
            <w:r>
              <w:rPr>
                <w:rFonts w:ascii="Calibri" w:hAnsi="Calibri"/>
                <w:b w:val="0"/>
                <w:i w:val="0"/>
                <w:color w:val="111111"/>
                <w:sz w:val="14"/>
              </w:rPr>
              <w:t>Large multimodal catalog, single key/billing, BYOK, provider ordering/fallback, and latency/availability-aware routing.</w:t>
            </w:r>
          </w:p>
        </w:tc>
        <w:tc>
          <w:tcPr>
            <w:tcW w:type="dxa" w:w="2880"/>
            <w:tcMar>
              <w:top w:w="80" w:type="dxa"/>
              <w:start w:w="120" w:type="dxa"/>
              <w:bottom w:w="80" w:type="dxa"/>
              <w:end w:w="120" w:type="dxa"/>
            </w:tcMar>
            <w:vAlign w:val="center"/>
          </w:tcPr>
          <w:p>
            <w:pPr>
              <w:spacing w:after="0" w:line="257" w:lineRule="auto"/>
            </w:pPr>
            <w:r>
              <w:rPr>
                <w:rFonts w:ascii="Calibri" w:hAnsi="Calibri"/>
                <w:b w:val="0"/>
                <w:i w:val="0"/>
                <w:color w:val="111111"/>
                <w:sz w:val="14"/>
              </w:rPr>
              <w:t>Managed routing can hide serving-path differences. Good managed benchmark; pin provider and disable dynamic routing for measurement.</w:t>
            </w:r>
          </w:p>
        </w:tc>
      </w:tr>
      <w:tr>
        <w:trPr>
          <w:cantSplit/>
        </w:trPr>
        <w:tc>
          <w:tcPr>
            <w:tcW w:type="dxa" w:w="1370"/>
            <w:tcMar>
              <w:top w:w="80" w:type="dxa"/>
              <w:start w:w="120" w:type="dxa"/>
              <w:bottom w:w="80" w:type="dxa"/>
              <w:end w:w="120" w:type="dxa"/>
            </w:tcMar>
            <w:vAlign w:val="center"/>
          </w:tcPr>
          <w:p>
            <w:pPr>
              <w:spacing w:after="0" w:line="257" w:lineRule="auto"/>
            </w:pPr>
            <w:hyperlink r:id="rId44">
              <w:r>
                <w:rPr>
                  <w:rFonts w:ascii="Calibri" w:hAnsi="Calibri"/>
                  <w:color w:val="2E74B5"/>
                  <w:u w:val="single"/>
                  <w:sz w:val="14"/>
                  <w:szCs w:val="14"/>
                </w:rPr>
                <w:t>Ramp Router</w:t>
              </w:r>
            </w:hyperlink>
          </w:p>
        </w:tc>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4"/>
              </w:rPr>
              <w:t>Managed service; launched August 2026</w:t>
            </w:r>
          </w:p>
        </w:tc>
        <w:tc>
          <w:tcPr>
            <w:tcW w:type="dxa" w:w="3210"/>
            <w:tcMar>
              <w:top w:w="80" w:type="dxa"/>
              <w:start w:w="120" w:type="dxa"/>
              <w:bottom w:w="80" w:type="dxa"/>
              <w:end w:w="120" w:type="dxa"/>
            </w:tcMar>
            <w:vAlign w:val="center"/>
          </w:tcPr>
          <w:p>
            <w:pPr>
              <w:spacing w:after="0" w:line="257" w:lineRule="auto"/>
            </w:pPr>
            <w:r>
              <w:rPr>
                <w:rFonts w:ascii="Calibri" w:hAnsi="Calibri"/>
                <w:b w:val="0"/>
                <w:i w:val="0"/>
                <w:color w:val="111111"/>
                <w:sz w:val="14"/>
              </w:rPr>
              <w:t>Responses-compatible API, explicit fallbacks, cost/Flex routing, shadow models, benchmark aliases, model escalation, and request-level cost/latency logs.</w:t>
            </w:r>
          </w:p>
        </w:tc>
        <w:tc>
          <w:tcPr>
            <w:tcW w:type="dxa" w:w="2880"/>
            <w:tcMar>
              <w:top w:w="80" w:type="dxa"/>
              <w:start w:w="120" w:type="dxa"/>
              <w:bottom w:w="80" w:type="dxa"/>
              <w:end w:w="120" w:type="dxa"/>
            </w:tcMar>
            <w:vAlign w:val="center"/>
          </w:tcPr>
          <w:p>
            <w:pPr>
              <w:spacing w:after="0" w:line="257" w:lineRule="auto"/>
            </w:pPr>
            <w:r>
              <w:rPr>
                <w:rFonts w:ascii="Calibri" w:hAnsi="Calibri"/>
                <w:b w:val="0"/>
                <w:i w:val="0"/>
                <w:color w:val="111111"/>
                <w:sz w:val="14"/>
              </w:rPr>
              <w:t>Very new; several strategies are beta, and retention terms require review. Experimental challenger, especially for adaptive routing.</w:t>
            </w:r>
          </w:p>
        </w:tc>
      </w:tr>
      <w:tr>
        <w:trPr>
          <w:cantSplit/>
        </w:trPr>
        <w:tc>
          <w:tcPr>
            <w:tcW w:type="dxa" w:w="1370"/>
            <w:tcMar>
              <w:top w:w="80" w:type="dxa"/>
              <w:start w:w="120" w:type="dxa"/>
              <w:bottom w:w="80" w:type="dxa"/>
              <w:end w:w="120" w:type="dxa"/>
            </w:tcMar>
            <w:vAlign w:val="center"/>
          </w:tcPr>
          <w:p>
            <w:pPr>
              <w:spacing w:after="0" w:line="257" w:lineRule="auto"/>
            </w:pPr>
            <w:hyperlink r:id="rId45">
              <w:r>
                <w:rPr>
                  <w:rFonts w:ascii="Calibri" w:hAnsi="Calibri"/>
                  <w:color w:val="2E74B5"/>
                  <w:u w:val="single"/>
                  <w:sz w:val="14"/>
                  <w:szCs w:val="14"/>
                </w:rPr>
                <w:t>OpenRouter</w:t>
              </w:r>
            </w:hyperlink>
          </w:p>
        </w:tc>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4"/>
              </w:rPr>
              <w:t>Managed aggregator with shared capacity and BYOK</w:t>
            </w:r>
          </w:p>
        </w:tc>
        <w:tc>
          <w:tcPr>
            <w:tcW w:type="dxa" w:w="3210"/>
            <w:tcMar>
              <w:top w:w="80" w:type="dxa"/>
              <w:start w:w="120" w:type="dxa"/>
              <w:bottom w:w="80" w:type="dxa"/>
              <w:end w:w="120" w:type="dxa"/>
            </w:tcMar>
            <w:vAlign w:val="center"/>
          </w:tcPr>
          <w:p>
            <w:pPr>
              <w:spacing w:after="0" w:line="257" w:lineRule="auto"/>
            </w:pPr>
            <w:r>
              <w:rPr>
                <w:rFonts w:ascii="Calibri" w:hAnsi="Calibri"/>
                <w:b w:val="0"/>
                <w:i w:val="0"/>
                <w:color w:val="111111"/>
                <w:sz w:val="14"/>
              </w:rPr>
              <w:t>Very broad model/provider access; configurable price, latency, throughput, privacy/ZDR filters, and automatic provider/model fallbacks.</w:t>
            </w:r>
          </w:p>
        </w:tc>
        <w:tc>
          <w:tcPr>
            <w:tcW w:type="dxa" w:w="2880"/>
            <w:tcMar>
              <w:top w:w="80" w:type="dxa"/>
              <w:start w:w="120" w:type="dxa"/>
              <w:bottom w:w="80" w:type="dxa"/>
              <w:end w:w="120" w:type="dxa"/>
            </w:tcMar>
            <w:vAlign w:val="center"/>
          </w:tcPr>
          <w:p>
            <w:pPr>
              <w:spacing w:after="0" w:line="257" w:lineRule="auto"/>
            </w:pPr>
            <w:r>
              <w:rPr>
                <w:rFonts w:ascii="Calibri" w:hAnsi="Calibri"/>
                <w:b w:val="0"/>
                <w:i w:val="0"/>
                <w:color w:val="111111"/>
                <w:sz w:val="14"/>
              </w:rPr>
              <w:t>Provider may vary unless pinned; credit and BYOK fees apply. Excellent discovery lane; native-provider confirmation is mandatory.</w:t>
            </w:r>
          </w:p>
        </w:tc>
      </w:tr>
      <w:tr>
        <w:trPr>
          <w:cantSplit/>
        </w:trPr>
        <w:tc>
          <w:tcPr>
            <w:tcW w:type="dxa" w:w="1370"/>
            <w:tcMar>
              <w:top w:w="80" w:type="dxa"/>
              <w:start w:w="120" w:type="dxa"/>
              <w:bottom w:w="80" w:type="dxa"/>
              <w:end w:w="120" w:type="dxa"/>
            </w:tcMar>
            <w:vAlign w:val="center"/>
          </w:tcPr>
          <w:p>
            <w:pPr>
              <w:spacing w:after="0" w:line="257" w:lineRule="auto"/>
            </w:pPr>
            <w:hyperlink r:id="rId46">
              <w:r>
                <w:rPr>
                  <w:rFonts w:ascii="Calibri" w:hAnsi="Calibri"/>
                  <w:color w:val="2E74B5"/>
                  <w:u w:val="single"/>
                  <w:sz w:val="14"/>
                  <w:szCs w:val="14"/>
                </w:rPr>
                <w:t>Cloudflare AI Gateway</w:t>
              </w:r>
            </w:hyperlink>
          </w:p>
        </w:tc>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4"/>
              </w:rPr>
              <w:t>Managed edge service</w:t>
            </w:r>
          </w:p>
        </w:tc>
        <w:tc>
          <w:tcPr>
            <w:tcW w:type="dxa" w:w="3210"/>
            <w:tcMar>
              <w:top w:w="80" w:type="dxa"/>
              <w:start w:w="120" w:type="dxa"/>
              <w:bottom w:w="80" w:type="dxa"/>
              <w:end w:w="120" w:type="dxa"/>
            </w:tcMar>
            <w:vAlign w:val="center"/>
          </w:tcPr>
          <w:p>
            <w:pPr>
              <w:spacing w:after="0" w:line="257" w:lineRule="auto"/>
            </w:pPr>
            <w:r>
              <w:rPr>
                <w:rFonts w:ascii="Calibri" w:hAnsi="Calibri"/>
                <w:b w:val="0"/>
                <w:i w:val="0"/>
                <w:color w:val="111111"/>
                <w:sz w:val="14"/>
              </w:rPr>
              <w:t>Analytics, logging, caching, rate limits, retries/fallbacks, unified billing, and broad third-party provider access.</w:t>
            </w:r>
          </w:p>
        </w:tc>
        <w:tc>
          <w:tcPr>
            <w:tcW w:type="dxa" w:w="2880"/>
            <w:tcMar>
              <w:top w:w="80" w:type="dxa"/>
              <w:start w:w="120" w:type="dxa"/>
              <w:bottom w:w="80" w:type="dxa"/>
              <w:end w:w="120" w:type="dxa"/>
            </w:tcMar>
            <w:vAlign w:val="center"/>
          </w:tcPr>
          <w:p>
            <w:pPr>
              <w:spacing w:after="0" w:line="257" w:lineRule="auto"/>
            </w:pPr>
            <w:r>
              <w:rPr>
                <w:rFonts w:ascii="Calibri" w:hAnsi="Calibri"/>
                <w:b w:val="0"/>
                <w:i w:val="0"/>
                <w:color w:val="111111"/>
                <w:sz w:val="14"/>
              </w:rPr>
              <w:t>Best fit for teams already using Cloudflare; caching and edge behavior must be isolated from model/provider experiments.</w:t>
            </w:r>
          </w:p>
        </w:tc>
      </w:tr>
      <w:tr>
        <w:trPr>
          <w:cantSplit/>
        </w:trPr>
        <w:tc>
          <w:tcPr>
            <w:tcW w:type="dxa" w:w="1370"/>
            <w:tcMar>
              <w:top w:w="80" w:type="dxa"/>
              <w:start w:w="120" w:type="dxa"/>
              <w:bottom w:w="80" w:type="dxa"/>
              <w:end w:w="120" w:type="dxa"/>
            </w:tcMar>
            <w:vAlign w:val="center"/>
          </w:tcPr>
          <w:p>
            <w:pPr>
              <w:spacing w:after="0" w:line="257" w:lineRule="auto"/>
            </w:pPr>
            <w:hyperlink r:id="rId47">
              <w:r>
                <w:rPr>
                  <w:rFonts w:ascii="Calibri" w:hAnsi="Calibri"/>
                  <w:color w:val="2E74B5"/>
                  <w:u w:val="single"/>
                  <w:sz w:val="14"/>
                  <w:szCs w:val="14"/>
                </w:rPr>
                <w:t>Kong AI Gateway</w:t>
              </w:r>
            </w:hyperlink>
          </w:p>
        </w:tc>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4"/>
              </w:rPr>
              <w:t>Self-managed or Konnect commercial stack</w:t>
            </w:r>
          </w:p>
        </w:tc>
        <w:tc>
          <w:tcPr>
            <w:tcW w:type="dxa" w:w="3210"/>
            <w:tcMar>
              <w:top w:w="80" w:type="dxa"/>
              <w:start w:w="120" w:type="dxa"/>
              <w:bottom w:w="80" w:type="dxa"/>
              <w:end w:w="120" w:type="dxa"/>
            </w:tcMar>
            <w:vAlign w:val="center"/>
          </w:tcPr>
          <w:p>
            <w:pPr>
              <w:spacing w:after="0" w:line="257" w:lineRule="auto"/>
            </w:pPr>
            <w:r>
              <w:rPr>
                <w:rFonts w:ascii="Calibri" w:hAnsi="Calibri"/>
                <w:b w:val="0"/>
                <w:i w:val="0"/>
                <w:color w:val="111111"/>
                <w:sz w:val="14"/>
              </w:rPr>
              <w:t>Enterprise auth, policy, data governance, LLM/MCP/A2A traffic, OTel, semantic caching, and multiple load-balancing algorithms.</w:t>
            </w:r>
          </w:p>
        </w:tc>
        <w:tc>
          <w:tcPr>
            <w:tcW w:type="dxa" w:w="2880"/>
            <w:tcMar>
              <w:top w:w="80" w:type="dxa"/>
              <w:start w:w="120" w:type="dxa"/>
              <w:bottom w:w="80" w:type="dxa"/>
              <w:end w:w="120" w:type="dxa"/>
            </w:tcMar>
            <w:vAlign w:val="center"/>
          </w:tcPr>
          <w:p>
            <w:pPr>
              <w:spacing w:after="0" w:line="257" w:lineRule="auto"/>
            </w:pPr>
            <w:r>
              <w:rPr>
                <w:rFonts w:ascii="Calibri" w:hAnsi="Calibri"/>
                <w:b w:val="0"/>
                <w:i w:val="0"/>
                <w:color w:val="111111"/>
                <w:sz w:val="14"/>
              </w:rPr>
              <w:t>Operationally heavier and advanced functionality may be commercial. Strong when Kong is already the enterprise gateway.</w:t>
            </w:r>
          </w:p>
        </w:tc>
      </w:tr>
      <w:tr>
        <w:trPr>
          <w:cantSplit/>
        </w:trPr>
        <w:tc>
          <w:tcPr>
            <w:tcW w:type="dxa" w:w="1370"/>
            <w:tcMar>
              <w:top w:w="80" w:type="dxa"/>
              <w:start w:w="120" w:type="dxa"/>
              <w:bottom w:w="80" w:type="dxa"/>
              <w:end w:w="120" w:type="dxa"/>
            </w:tcMar>
            <w:vAlign w:val="center"/>
          </w:tcPr>
          <w:p>
            <w:pPr>
              <w:spacing w:after="0" w:line="257" w:lineRule="auto"/>
            </w:pPr>
            <w:hyperlink r:id="rId48">
              <w:r>
                <w:rPr>
                  <w:rFonts w:ascii="Calibri" w:hAnsi="Calibri"/>
                  <w:color w:val="2E74B5"/>
                  <w:u w:val="single"/>
                  <w:sz w:val="14"/>
                  <w:szCs w:val="14"/>
                </w:rPr>
                <w:t>TensorZero</w:t>
              </w:r>
            </w:hyperlink>
          </w:p>
        </w:tc>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4"/>
              </w:rPr>
              <w:t>Self-hosted; Apache 2.0</w:t>
            </w:r>
          </w:p>
        </w:tc>
        <w:tc>
          <w:tcPr>
            <w:tcW w:type="dxa" w:w="3210"/>
            <w:tcMar>
              <w:top w:w="80" w:type="dxa"/>
              <w:start w:w="120" w:type="dxa"/>
              <w:bottom w:w="80" w:type="dxa"/>
              <w:end w:w="120" w:type="dxa"/>
            </w:tcMar>
            <w:vAlign w:val="center"/>
          </w:tcPr>
          <w:p>
            <w:pPr>
              <w:spacing w:after="0" w:line="257" w:lineRule="auto"/>
            </w:pPr>
            <w:r>
              <w:rPr>
                <w:rFonts w:ascii="Calibri" w:hAnsi="Calibri"/>
                <w:b w:val="0"/>
                <w:i w:val="0"/>
                <w:color w:val="111111"/>
                <w:sz w:val="14"/>
              </w:rPr>
              <w:t>Gateway plus observability, evaluation, experimentation, A/B testing, fallbacks, and optimization in one open platform.</w:t>
            </w:r>
          </w:p>
        </w:tc>
        <w:tc>
          <w:tcPr>
            <w:tcW w:type="dxa" w:w="2880"/>
            <w:tcMar>
              <w:top w:w="80" w:type="dxa"/>
              <w:start w:w="120" w:type="dxa"/>
              <w:bottom w:w="80" w:type="dxa"/>
              <w:end w:w="120" w:type="dxa"/>
            </w:tcMar>
            <w:vAlign w:val="center"/>
          </w:tcPr>
          <w:p>
            <w:pPr>
              <w:spacing w:after="0" w:line="257" w:lineRule="auto"/>
            </w:pPr>
            <w:r>
              <w:rPr>
                <w:rFonts w:ascii="Calibri" w:hAnsi="Calibri"/>
                <w:b w:val="0"/>
                <w:i w:val="0"/>
                <w:color w:val="111111"/>
                <w:sz w:val="14"/>
              </w:rPr>
              <w:t>Its broader platform opinion may overlap the evaluator control plane. Assess as an architectural alternative, not only a proxy.</w:t>
            </w:r>
          </w:p>
        </w:tc>
      </w:tr>
      <w:tr>
        <w:trPr>
          <w:cantSplit/>
        </w:trPr>
        <w:tc>
          <w:tcPr>
            <w:tcW w:type="dxa" w:w="1370"/>
            <w:tcMar>
              <w:top w:w="80" w:type="dxa"/>
              <w:start w:w="120" w:type="dxa"/>
              <w:bottom w:w="80" w:type="dxa"/>
              <w:end w:w="120" w:type="dxa"/>
            </w:tcMar>
            <w:vAlign w:val="center"/>
          </w:tcPr>
          <w:p>
            <w:pPr>
              <w:spacing w:after="0" w:line="257" w:lineRule="auto"/>
            </w:pPr>
            <w:hyperlink r:id="rId49">
              <w:r>
                <w:rPr>
                  <w:rFonts w:ascii="Calibri" w:hAnsi="Calibri"/>
                  <w:color w:val="2E74B5"/>
                  <w:u w:val="single"/>
                  <w:sz w:val="14"/>
                  <w:szCs w:val="14"/>
                </w:rPr>
                <w:t>Helicone AI Gateway</w:t>
              </w:r>
            </w:hyperlink>
          </w:p>
        </w:tc>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4"/>
              </w:rPr>
              <w:t>Open-source Rust gateway; Apache 2.0</w:t>
            </w:r>
          </w:p>
        </w:tc>
        <w:tc>
          <w:tcPr>
            <w:tcW w:type="dxa" w:w="3210"/>
            <w:tcMar>
              <w:top w:w="80" w:type="dxa"/>
              <w:start w:w="120" w:type="dxa"/>
              <w:bottom w:w="80" w:type="dxa"/>
              <w:end w:w="120" w:type="dxa"/>
            </w:tcMar>
            <w:vAlign w:val="center"/>
          </w:tcPr>
          <w:p>
            <w:pPr>
              <w:spacing w:after="0" w:line="257" w:lineRule="auto"/>
            </w:pPr>
            <w:r>
              <w:rPr>
                <w:rFonts w:ascii="Calibri" w:hAnsi="Calibri"/>
                <w:b w:val="0"/>
                <w:i w:val="0"/>
                <w:color w:val="111111"/>
                <w:sz w:val="14"/>
              </w:rPr>
              <w:t>Lightweight routing/fallback option paired with a mature observability product.</w:t>
            </w:r>
          </w:p>
        </w:tc>
        <w:tc>
          <w:tcPr>
            <w:tcW w:type="dxa" w:w="2880"/>
            <w:tcMar>
              <w:top w:w="80" w:type="dxa"/>
              <w:start w:w="120" w:type="dxa"/>
              <w:bottom w:w="80" w:type="dxa"/>
              <w:end w:w="120" w:type="dxa"/>
            </w:tcMar>
            <w:vAlign w:val="center"/>
          </w:tcPr>
          <w:p>
            <w:pPr>
              <w:spacing w:after="0" w:line="257" w:lineRule="auto"/>
            </w:pPr>
            <w:r>
              <w:rPr>
                <w:rFonts w:ascii="Calibri" w:hAnsi="Calibri"/>
                <w:b w:val="0"/>
                <w:i w:val="0"/>
                <w:color w:val="111111"/>
                <w:sz w:val="14"/>
              </w:rPr>
              <w:t>Confirm provider and feature parity for reasoning, structured output, multimodality, and native cache controls.</w:t>
            </w:r>
          </w:p>
        </w:tc>
      </w:tr>
    </w:tbl>
    <w:p>
      <w:pPr>
        <w:spacing w:after="40"/>
      </w:pPr>
    </w:p>
    <w:p>
      <w:pPr>
        <w:pStyle w:val="Heading2"/>
        <w:keepNext/>
      </w:pPr>
      <w:r>
        <w:rPr>
          <w:rFonts w:ascii="Calibri" w:hAnsi="Calibri"/>
          <w:b/>
          <w:i w:val="0"/>
          <w:color w:val="2E74B5"/>
          <w:sz w:val="26"/>
        </w:rPr>
        <w:t>Gateway conformance and benchmark protocol</w:t>
      </w:r>
    </w:p>
    <w:p>
      <w:pPr>
        <w:pStyle w:val="ListNumber"/>
        <w:numPr>
          <w:ilvl w:val="0"/>
          <w:numId w:val="18"/>
        </w:numPr>
        <w:spacing w:after="160" w:line="280" w:lineRule="auto"/>
        <w:ind w:left="720" w:hanging="360"/>
      </w:pPr>
      <w:r>
        <w:rPr>
          <w:rFonts w:ascii="Calibri" w:hAnsi="Calibri"/>
          <w:b w:val="0"/>
          <w:i w:val="0"/>
          <w:color w:val="111111"/>
          <w:sz w:val="22"/>
        </w:rPr>
        <w:t>Implement one evaluator-owned ProviderGateway interface with three modes: native direct, in-process adapter, and HTTP proxy. Require the same canonical request and normalized response envelope from each mode.</w:t>
      </w:r>
    </w:p>
    <w:p>
      <w:pPr>
        <w:pStyle w:val="ListNumber"/>
        <w:numPr>
          <w:ilvl w:val="0"/>
          <w:numId w:val="18"/>
        </w:numPr>
        <w:spacing w:after="160" w:line="280" w:lineRule="auto"/>
        <w:ind w:left="720" w:hanging="360"/>
      </w:pPr>
      <w:r>
        <w:rPr>
          <w:rFonts w:ascii="Calibri" w:hAnsi="Calibri"/>
          <w:b w:val="0"/>
          <w:i w:val="0"/>
          <w:color w:val="111111"/>
          <w:sz w:val="22"/>
        </w:rPr>
        <w:t>Keep logical model routing outside the gateway. The workflow optimizer emits a ModelRef; the gateway may select only an allowed DeploymentRef unless a separately declared experiment explicitly delegates model choice.</w:t>
      </w:r>
    </w:p>
    <w:p>
      <w:pPr>
        <w:pStyle w:val="ListNumber"/>
        <w:numPr>
          <w:ilvl w:val="0"/>
          <w:numId w:val="18"/>
        </w:numPr>
        <w:spacing w:after="160" w:line="280" w:lineRule="auto"/>
        <w:ind w:left="720" w:hanging="360"/>
      </w:pPr>
      <w:r>
        <w:rPr>
          <w:rFonts w:ascii="Calibri" w:hAnsi="Calibri"/>
          <w:b w:val="0"/>
          <w:i w:val="0"/>
          <w:color w:val="111111"/>
          <w:sz w:val="22"/>
        </w:rPr>
        <w:t>Run capability fixtures for streaming, tools, JSON schema, reasoning controls, multimodality, batches, cancellation, rate-limit metadata, cache controls, and provider-native escape hatches. Mark unsupported, emulated, translated, or degraded behavior explicitly.</w:t>
      </w:r>
    </w:p>
    <w:p>
      <w:pPr>
        <w:pStyle w:val="ListNumber"/>
        <w:numPr>
          <w:ilvl w:val="0"/>
          <w:numId w:val="18"/>
        </w:numPr>
        <w:spacing w:after="160" w:line="280" w:lineRule="auto"/>
        <w:ind w:left="720" w:hanging="360"/>
      </w:pPr>
      <w:r>
        <w:rPr>
          <w:rFonts w:ascii="Calibri" w:hAnsi="Calibri"/>
          <w:b w:val="0"/>
          <w:i w:val="0"/>
          <w:color w:val="111111"/>
          <w:sz w:val="22"/>
        </w:rPr>
        <w:t>Define a deterministic evaluation mode: pin model and provider; disable automatic model/provider routing, fallbacks, retries, semantic caching, prompt mutation, guardrails, and content filtering unless separately tested.</w:t>
      </w:r>
    </w:p>
    <w:p>
      <w:pPr>
        <w:pStyle w:val="ListNumber"/>
        <w:numPr>
          <w:ilvl w:val="0"/>
          <w:numId w:val="18"/>
        </w:numPr>
        <w:spacing w:after="160" w:line="280" w:lineRule="auto"/>
        <w:ind w:left="720" w:hanging="360"/>
      </w:pPr>
      <w:r>
        <w:rPr>
          <w:rFonts w:ascii="Calibri" w:hAnsi="Calibri"/>
          <w:b w:val="0"/>
          <w:i w:val="0"/>
          <w:color w:val="111111"/>
          <w:sz w:val="22"/>
        </w:rPr>
        <w:t>Preserve raw provider request/response metadata, selected route, all attempted routes, retry reasons, gateway version/config hash, gateway queue time, and incremental cost. A gateway-reported total never replaces provider telemetry.</w:t>
      </w:r>
    </w:p>
    <w:p>
      <w:pPr>
        <w:pStyle w:val="ListNumber"/>
        <w:numPr>
          <w:ilvl w:val="0"/>
          <w:numId w:val="18"/>
        </w:numPr>
        <w:spacing w:after="160" w:line="280" w:lineRule="auto"/>
        <w:ind w:left="720" w:hanging="360"/>
      </w:pPr>
      <w:r>
        <w:rPr>
          <w:rFonts w:ascii="Calibri" w:hAnsi="Calibri"/>
          <w:b w:val="0"/>
          <w:i w:val="0"/>
          <w:color w:val="111111"/>
          <w:sz w:val="22"/>
        </w:rPr>
        <w:t>Benchmark direct versus gateway on paired requests under cold, warm, steady-concurrency, burst, long-context, streaming, and failure-injection conditions. Report added p50/p95/p99 TTFT and end-to-end latency, throughput, error transformation, and cost variance.</w:t>
      </w:r>
    </w:p>
    <w:p>
      <w:pPr>
        <w:pStyle w:val="ListNumber"/>
        <w:numPr>
          <w:ilvl w:val="0"/>
          <w:numId w:val="18"/>
        </w:numPr>
        <w:spacing w:after="160" w:line="280" w:lineRule="auto"/>
        <w:ind w:left="720" w:hanging="360"/>
      </w:pPr>
      <w:r>
        <w:rPr>
          <w:rFonts w:ascii="Calibri" w:hAnsi="Calibri"/>
          <w:b w:val="0"/>
          <w:i w:val="0"/>
          <w:color w:val="111111"/>
          <w:sz w:val="22"/>
        </w:rPr>
        <w:t>Test cache identity and continuity explicitly. Distinguish provider prefix/KV cache, gateway exact-response cache, semantic cache, and application/tool cache; prohibit shared benchmark cache namespaces.</w:t>
      </w:r>
    </w:p>
    <w:p>
      <w:pPr>
        <w:pStyle w:val="ListNumber"/>
        <w:numPr>
          <w:ilvl w:val="0"/>
          <w:numId w:val="18"/>
        </w:numPr>
        <w:spacing w:after="160" w:line="280" w:lineRule="auto"/>
        <w:ind w:left="720" w:hanging="360"/>
      </w:pPr>
      <w:r>
        <w:rPr>
          <w:rFonts w:ascii="Calibri" w:hAnsi="Calibri"/>
          <w:b w:val="0"/>
          <w:i w:val="0"/>
          <w:color w:val="111111"/>
          <w:sz w:val="22"/>
        </w:rPr>
        <w:t>Promote a gateway only if provider capability equivalence holds, overhead stays within the declared SLO budget, raw export is complete, and switching to another gateway or native direct requires no TaskSpec or scorer changes.</w:t>
      </w:r>
    </w:p>
    <w:p>
      <w:pPr>
        <w:pStyle w:val="Heading2"/>
        <w:keepNext/>
      </w:pPr>
      <w:r>
        <w:rPr>
          <w:rFonts w:ascii="Calibri" w:hAnsi="Calibri"/>
          <w:b/>
          <w:i w:val="0"/>
          <w:color w:val="2E74B5"/>
          <w:sz w:val="26"/>
        </w:rPr>
        <w:t>Why this mix</w:t>
      </w:r>
    </w:p>
    <w:p>
      <w:pPr>
        <w:keepNext w:val="0"/>
        <w:spacing w:before="0" w:after="120" w:line="264" w:lineRule="auto"/>
      </w:pPr>
      <w:r>
        <w:rPr>
          <w:rFonts w:ascii="Calibri" w:hAnsi="Calibri"/>
          <w:b w:val="0"/>
          <w:i w:val="0"/>
          <w:color w:val="111111"/>
          <w:sz w:val="22"/>
        </w:rPr>
        <w:t xml:space="preserve">No single platform should own task definitions, execution, traces, scoring, and routing decisions. The open core keeps experiments reproducible and portable; commercial systems can accelerate collaboration, annotation, managed retention, enterprise access controls, online evaluation, and polished analysis. </w:t>
      </w:r>
      <w:hyperlink r:id="rId39">
        <w:r>
          <w:rPr>
            <w:rFonts w:ascii="Calibri" w:hAnsi="Calibri"/>
            <w:color w:val="2E74B5"/>
            <w:u w:val="single"/>
            <w:sz w:val="22"/>
            <w:szCs w:val="22"/>
          </w:rPr>
          <w:t>Braintrust</w:t>
        </w:r>
      </w:hyperlink>
      <w:r>
        <w:rPr>
          <w:rFonts w:ascii="Calibri" w:hAnsi="Calibri"/>
          <w:b w:val="0"/>
          <w:i w:val="0"/>
          <w:color w:val="111111"/>
          <w:sz w:val="22"/>
        </w:rPr>
        <w:t xml:space="preserve"> is the leading managed bake-off candidate, while </w:t>
      </w:r>
      <w:hyperlink r:id="rId40">
        <w:r>
          <w:rPr>
            <w:rFonts w:ascii="Calibri" w:hAnsi="Calibri"/>
            <w:color w:val="2E74B5"/>
            <w:u w:val="single"/>
            <w:sz w:val="22"/>
            <w:szCs w:val="22"/>
          </w:rPr>
          <w:t>LangSmith</w:t>
        </w:r>
      </w:hyperlink>
      <w:r>
        <w:rPr>
          <w:rFonts w:ascii="Calibri" w:hAnsi="Calibri"/>
          <w:b w:val="0"/>
          <w:i w:val="0"/>
          <w:color w:val="111111"/>
          <w:sz w:val="22"/>
        </w:rPr>
        <w:t xml:space="preserve"> becomes especially attractive for a LangGraph-heavy runtime. </w:t>
      </w:r>
      <w:hyperlink r:id="rId31">
        <w:r>
          <w:rPr>
            <w:rFonts w:ascii="Calibri" w:hAnsi="Calibri"/>
            <w:color w:val="2E74B5"/>
            <w:u w:val="single"/>
            <w:sz w:val="22"/>
            <w:szCs w:val="22"/>
          </w:rPr>
          <w:t>Langfuse</w:t>
        </w:r>
      </w:hyperlink>
      <w:r>
        <w:rPr>
          <w:rFonts w:ascii="Calibri" w:hAnsi="Calibri"/>
          <w:b w:val="0"/>
          <w:i w:val="0"/>
          <w:color w:val="111111"/>
          <w:sz w:val="22"/>
        </w:rPr>
        <w:t xml:space="preserve"> and </w:t>
      </w:r>
      <w:hyperlink r:id="rId35">
        <w:r>
          <w:rPr>
            <w:rFonts w:ascii="Calibri" w:hAnsi="Calibri"/>
            <w:color w:val="2E74B5"/>
            <w:u w:val="single"/>
            <w:sz w:val="22"/>
            <w:szCs w:val="22"/>
          </w:rPr>
          <w:t>Opik</w:t>
        </w:r>
      </w:hyperlink>
      <w:r>
        <w:rPr>
          <w:rFonts w:ascii="Calibri" w:hAnsi="Calibri"/>
          <w:b w:val="0"/>
          <w:i w:val="0"/>
          <w:color w:val="111111"/>
          <w:sz w:val="22"/>
        </w:rPr>
        <w:t xml:space="preserve"> are the strongest initial self-hosted UI candidates; </w:t>
      </w:r>
      <w:hyperlink r:id="rId30">
        <w:r>
          <w:rPr>
            <w:rFonts w:ascii="Calibri" w:hAnsi="Calibri"/>
            <w:color w:val="2E74B5"/>
            <w:u w:val="single"/>
            <w:sz w:val="22"/>
            <w:szCs w:val="22"/>
          </w:rPr>
          <w:t>Phoenix</w:t>
        </w:r>
      </w:hyperlink>
      <w:r>
        <w:rPr>
          <w:rFonts w:ascii="Calibri" w:hAnsi="Calibri"/>
          <w:b w:val="0"/>
          <w:i w:val="0"/>
          <w:color w:val="111111"/>
          <w:sz w:val="22"/>
        </w:rPr>
        <w:t xml:space="preserve"> remains technically strong where ELv2 is acceptable.</w:t>
      </w:r>
    </w:p>
    <w:p>
      <w:pPr>
        <w:pStyle w:val="Heading2"/>
        <w:keepNext/>
      </w:pPr>
      <w:r>
        <w:rPr>
          <w:rFonts w:ascii="Calibri" w:hAnsi="Calibri"/>
          <w:b/>
          <w:i w:val="0"/>
          <w:color w:val="2E74B5"/>
          <w:sz w:val="26"/>
        </w:rPr>
        <w:t>Selection proof of concept</w:t>
      </w:r>
    </w:p>
    <w:p>
      <w:pPr>
        <w:pStyle w:val="ListBullet"/>
        <w:spacing w:after="160" w:line="280" w:lineRule="auto"/>
        <w:ind w:left="720" w:hanging="360"/>
      </w:pPr>
      <w:r>
        <w:rPr>
          <w:rFonts w:ascii="Calibri" w:hAnsi="Calibri"/>
          <w:b w:val="0"/>
          <w:i w:val="0"/>
          <w:color w:val="111111"/>
          <w:sz w:val="22"/>
        </w:rPr>
        <w:t xml:space="preserve">Implement the same ten-task pilot through three EvalRunner paths: </w:t>
      </w:r>
      <w:hyperlink r:id="rId11">
        <w:r>
          <w:rPr>
            <w:rFonts w:ascii="Calibri" w:hAnsi="Calibri"/>
            <w:color w:val="2E74B5"/>
            <w:u w:val="single"/>
            <w:sz w:val="22"/>
            <w:szCs w:val="22"/>
          </w:rPr>
          <w:t>Inspect AI</w:t>
        </w:r>
      </w:hyperlink>
      <w:r>
        <w:rPr>
          <w:rFonts w:ascii="Calibri" w:hAnsi="Calibri"/>
          <w:b w:val="0"/>
          <w:i w:val="0"/>
          <w:color w:val="111111"/>
          <w:sz w:val="22"/>
        </w:rPr>
        <w:t xml:space="preserve">, the thin custom runner, and the leading managed candidate—initially </w:t>
      </w:r>
      <w:hyperlink r:id="rId39">
        <w:r>
          <w:rPr>
            <w:rFonts w:ascii="Calibri" w:hAnsi="Calibri"/>
            <w:color w:val="2E74B5"/>
            <w:u w:val="single"/>
            <w:sz w:val="22"/>
            <w:szCs w:val="22"/>
          </w:rPr>
          <w:t>Braintrust</w:t>
        </w:r>
      </w:hyperlink>
      <w:r>
        <w:rPr>
          <w:rFonts w:ascii="Calibri" w:hAnsi="Calibri"/>
          <w:b w:val="0"/>
          <w:i w:val="0"/>
          <w:color w:val="111111"/>
          <w:sz w:val="22"/>
        </w:rPr>
        <w:t>.</w:t>
      </w:r>
    </w:p>
    <w:p>
      <w:pPr>
        <w:pStyle w:val="ListBullet"/>
        <w:spacing w:after="160" w:line="280" w:lineRule="auto"/>
        <w:ind w:left="720" w:hanging="360"/>
      </w:pPr>
      <w:r>
        <w:rPr>
          <w:rFonts w:ascii="Calibri" w:hAnsi="Calibri"/>
          <w:b w:val="0"/>
          <w:i w:val="0"/>
          <w:color w:val="111111"/>
          <w:sz w:val="22"/>
        </w:rPr>
        <w:t xml:space="preserve">Run a parallel ProviderGateway bake-off on the same pinned model/provider pair: native direct, </w:t>
      </w:r>
      <w:hyperlink r:id="rId12">
        <w:r>
          <w:rPr>
            <w:rFonts w:ascii="Calibri" w:hAnsi="Calibri"/>
            <w:color w:val="2E74B5"/>
            <w:u w:val="single"/>
            <w:sz w:val="22"/>
            <w:szCs w:val="22"/>
          </w:rPr>
          <w:t>Bifrost</w:t>
        </w:r>
      </w:hyperlink>
      <w:r>
        <w:rPr>
          <w:rFonts w:ascii="Calibri" w:hAnsi="Calibri"/>
          <w:b w:val="0"/>
          <w:i w:val="0"/>
          <w:color w:val="111111"/>
          <w:sz w:val="22"/>
        </w:rPr>
        <w:t xml:space="preserve">, </w:t>
      </w:r>
      <w:hyperlink r:id="rId13">
        <w:r>
          <w:rPr>
            <w:rFonts w:ascii="Calibri" w:hAnsi="Calibri"/>
            <w:color w:val="2E74B5"/>
            <w:u w:val="single"/>
            <w:sz w:val="22"/>
            <w:szCs w:val="22"/>
          </w:rPr>
          <w:t>Portkey</w:t>
        </w:r>
      </w:hyperlink>
      <w:r>
        <w:rPr>
          <w:rFonts w:ascii="Calibri" w:hAnsi="Calibri"/>
          <w:b w:val="0"/>
          <w:i w:val="0"/>
          <w:color w:val="111111"/>
          <w:sz w:val="22"/>
        </w:rPr>
        <w:t xml:space="preserve">, and one managed challenger—initially </w:t>
      </w:r>
      <w:hyperlink r:id="rId43">
        <w:r>
          <w:rPr>
            <w:rFonts w:ascii="Calibri" w:hAnsi="Calibri"/>
            <w:color w:val="2E74B5"/>
            <w:u w:val="single"/>
            <w:sz w:val="22"/>
            <w:szCs w:val="22"/>
          </w:rPr>
          <w:t>Vercel AI Gateway</w:t>
        </w:r>
      </w:hyperlink>
      <w:r>
        <w:rPr>
          <w:rFonts w:ascii="Calibri" w:hAnsi="Calibri"/>
          <w:b w:val="0"/>
          <w:i w:val="0"/>
          <w:color w:val="111111"/>
          <w:sz w:val="22"/>
        </w:rPr>
        <w:t xml:space="preserve"> or </w:t>
      </w:r>
      <w:hyperlink r:id="rId44">
        <w:r>
          <w:rPr>
            <w:rFonts w:ascii="Calibri" w:hAnsi="Calibri"/>
            <w:color w:val="2E74B5"/>
            <w:u w:val="single"/>
            <w:sz w:val="22"/>
            <w:szCs w:val="22"/>
          </w:rPr>
          <w:t>Ramp Router</w:t>
        </w:r>
      </w:hyperlink>
      <w:r>
        <w:rPr>
          <w:rFonts w:ascii="Calibri" w:hAnsi="Calibri"/>
          <w:b w:val="0"/>
          <w:i w:val="0"/>
          <w:color w:val="111111"/>
          <w:sz w:val="22"/>
        </w:rPr>
        <w:t xml:space="preserve">. Add </w:t>
      </w:r>
      <w:hyperlink r:id="rId14">
        <w:r>
          <w:rPr>
            <w:rFonts w:ascii="Calibri" w:hAnsi="Calibri"/>
            <w:color w:val="2E74B5"/>
            <w:u w:val="single"/>
            <w:sz w:val="22"/>
            <w:szCs w:val="22"/>
          </w:rPr>
          <w:t>LiteLLM</w:t>
        </w:r>
      </w:hyperlink>
      <w:r>
        <w:rPr>
          <w:rFonts w:ascii="Calibri" w:hAnsi="Calibri"/>
          <w:b w:val="0"/>
          <w:i w:val="0"/>
          <w:color w:val="111111"/>
          <w:sz w:val="22"/>
        </w:rPr>
        <w:t xml:space="preserve"> when breadth or an unsupported provider is material. Measure conformance before performance.</w:t>
      </w:r>
    </w:p>
    <w:p>
      <w:pPr>
        <w:pStyle w:val="ListBullet"/>
        <w:spacing w:after="160" w:line="280" w:lineRule="auto"/>
        <w:ind w:left="720" w:hanging="360"/>
      </w:pPr>
      <w:r>
        <w:rPr>
          <w:rFonts w:ascii="Calibri" w:hAnsi="Calibri"/>
          <w:b w:val="0"/>
          <w:i w:val="0"/>
          <w:color w:val="111111"/>
          <w:sz w:val="22"/>
        </w:rPr>
        <w:t xml:space="preserve">Use </w:t>
      </w:r>
      <w:hyperlink r:id="rId45">
        <w:r>
          <w:rPr>
            <w:rFonts w:ascii="Calibri" w:hAnsi="Calibri"/>
            <w:color w:val="2E74B5"/>
            <w:u w:val="single"/>
            <w:sz w:val="22"/>
            <w:szCs w:val="22"/>
          </w:rPr>
          <w:t>OpenRouter</w:t>
        </w:r>
      </w:hyperlink>
      <w:r>
        <w:rPr>
          <w:rFonts w:ascii="Calibri" w:hAnsi="Calibri"/>
          <w:b w:val="0"/>
          <w:i w:val="0"/>
          <w:color w:val="111111"/>
          <w:sz w:val="22"/>
        </w:rPr>
        <w:t xml:space="preserve"> as a breadth and discovery lane when helpful, but require native-provider confirmation before selecting a production deployment or publishing provider-level conclusions.</w:t>
      </w:r>
    </w:p>
    <w:p>
      <w:pPr>
        <w:pStyle w:val="ListBullet"/>
        <w:spacing w:after="160" w:line="280" w:lineRule="auto"/>
        <w:ind w:left="720" w:hanging="360"/>
      </w:pPr>
      <w:r>
        <w:rPr>
          <w:rFonts w:ascii="Calibri" w:hAnsi="Calibri"/>
          <w:b w:val="0"/>
          <w:i w:val="0"/>
          <w:color w:val="111111"/>
          <w:sz w:val="22"/>
        </w:rPr>
        <w:t>Compare adapter effort, trajectory visibility, scorer flexibility, export completeness, self-hosting/security fit, collaboration workflow, and recurring cost.</w:t>
      </w:r>
    </w:p>
    <w:p>
      <w:pPr>
        <w:pStyle w:val="ListBullet"/>
        <w:spacing w:after="160" w:line="280" w:lineRule="auto"/>
        <w:ind w:left="720" w:hanging="360"/>
      </w:pPr>
      <w:r>
        <w:rPr>
          <w:rFonts w:ascii="Calibri" w:hAnsi="Calibri"/>
          <w:b w:val="0"/>
          <w:i w:val="0"/>
          <w:color w:val="111111"/>
          <w:sz w:val="22"/>
        </w:rPr>
        <w:t>Score each candidate on sandbox strength, arbitrary-agent compatibility, model/provider neutrality, trace portability, workflow-switching support, license, self-hostability, reproducibility, extension effort, and migration cost.</w:t>
      </w:r>
    </w:p>
    <w:p>
      <w:pPr>
        <w:pStyle w:val="ListBullet"/>
        <w:spacing w:after="160" w:line="280" w:lineRule="auto"/>
        <w:ind w:left="720" w:hanging="360"/>
      </w:pPr>
      <w:r>
        <w:rPr>
          <w:rFonts w:ascii="Calibri" w:hAnsi="Calibri"/>
          <w:b w:val="0"/>
          <w:i w:val="0"/>
          <w:color w:val="111111"/>
          <w:sz w:val="22"/>
        </w:rPr>
        <w:t>Reject any platform that cannot export complete raw traces, scorer outputs, dataset versions, and experiment metadata without lossy transformation.</w:t>
      </w:r>
    </w:p>
    <w:p>
      <w:pPr>
        <w:pStyle w:val="Heading1"/>
        <w:keepNext/>
      </w:pPr>
      <w:r>
        <w:rPr>
          <w:rFonts w:ascii="Calibri" w:hAnsi="Calibri"/>
          <w:b/>
          <w:i w:val="0"/>
          <w:color w:val="2E74B5"/>
          <w:sz w:val="32"/>
        </w:rPr>
        <w:t>9. Multimodal change: from text artifacts to asynchronous media</w:t>
      </w:r>
    </w:p>
    <w:tbl>
      <w:tblPr>
        <w:tblW w:type="dxa" w:w="9360"/>
        <w:jc w:val="left"/>
        <w:tblLayout w:type="fixed"/>
        <w:tblLook w:firstColumn="1" w:firstRow="1" w:lastColumn="0" w:lastRow="0" w:noHBand="0" w:noVBand="1" w:val="04A0"/>
        <w:tblInd w:w="120" w:type="dxa"/>
        <w:tblBorders>
          <w:top w:val="single" w:sz="0" w:space="0" w:color="EEF3F8"/>
          <w:left w:val="single" w:sz="0" w:space="0" w:color="EEF3F8"/>
          <w:bottom w:val="single" w:sz="0" w:space="0" w:color="EEF3F8"/>
          <w:right w:val="single" w:sz="0" w:space="0" w:color="EEF3F8"/>
          <w:insideH w:val="single" w:sz="0" w:space="0" w:color="EEF3F8"/>
          <w:insideV w:val="single" w:sz="0" w:space="0" w:color="EEF3F8"/>
        </w:tblBorders>
      </w:tblPr>
      <w:tblGrid>
        <w:gridCol w:w="9360"/>
      </w:tblGrid>
      <w:tr>
        <w:trPr>
          <w:cantSplit/>
        </w:trPr>
        <w:tc>
          <w:tcPr>
            <w:tcW w:type="dxa" w:w="9360"/>
            <w:tcMar>
              <w:top w:w="80" w:type="dxa"/>
              <w:start w:w="120" w:type="dxa"/>
              <w:bottom w:w="80" w:type="dxa"/>
              <w:end w:w="120" w:type="dxa"/>
            </w:tcMar>
            <w:vAlign w:val="center"/>
            <w:shd w:fill="EEF3F8"/>
          </w:tcPr>
          <w:p>
            <w:pPr>
              <w:spacing w:after="0" w:line="269" w:lineRule="auto"/>
            </w:pPr>
            <w:r>
              <w:rPr>
                <w:rFonts w:ascii="Calibri" w:hAnsi="Calibri"/>
                <w:b/>
                <w:i w:val="0"/>
                <w:color w:val="1F4D78"/>
                <w:sz w:val="19"/>
              </w:rPr>
              <w:t xml:space="preserve">CHANGE FROM TODAY  </w:t>
            </w:r>
            <w:r>
              <w:rPr>
                <w:rFonts w:ascii="Calibri" w:hAnsi="Calibri"/>
                <w:b w:val="0"/>
                <w:i w:val="0"/>
                <w:color w:val="111111"/>
                <w:sz w:val="21"/>
              </w:rPr>
              <w:t xml:space="preserve">Today: Current evaluation centers on files, text, and workflow outputs with directly inspectable structure.  Change: Add asynchronous media jobs, immutable artifact manifests, temporal/identity/design scorers, calibrated </w:t>
            </w:r>
            <w:hyperlink r:id="rId25">
              <w:r>
                <w:rPr>
                  <w:rFonts w:ascii="Calibri" w:hAnsi="Calibri"/>
                  <w:color w:val="2E74B5"/>
                  <w:u w:val="single"/>
                  <w:sz w:val="21"/>
                  <w:szCs w:val="21"/>
                </w:rPr>
                <w:t>G-Eval</w:t>
              </w:r>
            </w:hyperlink>
            <w:r>
              <w:rPr>
                <w:rFonts w:ascii="Calibri" w:hAnsi="Calibri"/>
                <w:b w:val="0"/>
                <w:i w:val="0"/>
                <w:color w:val="111111"/>
                <w:sz w:val="21"/>
              </w:rPr>
              <w:t>-style judgment, and blinded pairwise human preference.  Proof: A video candidate is selected on acceptable-clip rate and dimension-level evidence, with subjective judgment calibrated and never substituted for temporal or identity checks.</w:t>
            </w:r>
          </w:p>
        </w:tc>
      </w:tr>
    </w:tbl>
    <w:p>
      <w:pPr>
        <w:spacing w:after="60"/>
      </w:pP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after="0" w:line="269" w:lineRule="auto"/>
            </w:pPr>
            <w:r>
              <w:rPr>
                <w:rFonts w:ascii="Calibri" w:hAnsi="Calibri"/>
                <w:b/>
                <w:i w:val="0"/>
                <w:color w:val="0B2545"/>
                <w:sz w:val="19"/>
              </w:rPr>
              <w:t xml:space="preserve">APPLICABILITY  </w:t>
            </w:r>
            <w:r>
              <w:rPr>
                <w:rFonts w:ascii="Calibri" w:hAnsi="Calibri"/>
                <w:b w:val="0"/>
                <w:i w:val="0"/>
                <w:color w:val="111111"/>
                <w:sz w:val="21"/>
              </w:rPr>
              <w:t>The control-plane design applies to video generation, but the evaluator must add an asynchronous media adapter, a canonical video artifact manifest, a layered vision-and-human scorer bundle, repeated sampling, and cost-per-acceptable-output reporting. No single embedding metric or multimodal judge should be the source of truth.</w:t>
            </w:r>
          </w:p>
        </w:tc>
      </w:tr>
    </w:tbl>
    <w:p>
      <w:pPr>
        <w:spacing w:after="60"/>
      </w:pPr>
    </w:p>
    <w:p>
      <w:pPr>
        <w:pStyle w:val="Heading2"/>
        <w:keepNext/>
      </w:pPr>
      <w:r>
        <w:rPr>
          <w:rFonts w:ascii="Calibri" w:hAnsi="Calibri"/>
          <w:b/>
          <w:i w:val="0"/>
          <w:color w:val="2E74B5"/>
          <w:sz w:val="26"/>
        </w:rPr>
        <w:t>Where video fits in the workflow model</w:t>
      </w:r>
    </w:p>
    <w:p>
      <w:pPr>
        <w:keepNext w:val="0"/>
        <w:spacing w:before="0" w:after="120" w:line="264" w:lineRule="auto"/>
      </w:pPr>
      <w:r>
        <w:rPr>
          <w:rFonts w:ascii="Calibri" w:hAnsi="Calibri"/>
          <w:b w:val="0"/>
          <w:i w:val="0"/>
          <w:color w:val="111111"/>
          <w:sz w:val="22"/>
        </w:rPr>
        <w:t>A video system can be evaluated as one generator call or as a heterogeneous agentic workflow: prompt decomposition → script or shot plan → character/reference design → keyframe or storyboard generation → video generation → editing, interpolation, upscaling, audio, and quality control. Each step may bind a different ModelRef or provider. The evaluator should compare this composition against simpler same-model and fewer-step controls after charging every generation, rejected candidate, handoff, and post-processing operation.</w:t>
      </w:r>
    </w:p>
    <w:p>
      <w:pPr>
        <w:pStyle w:val="ListBullet"/>
        <w:spacing w:after="160" w:line="280" w:lineRule="auto"/>
        <w:ind w:left="720" w:hanging="360"/>
      </w:pPr>
      <w:r>
        <w:rPr>
          <w:rFonts w:ascii="Calibri" w:hAnsi="Calibri"/>
          <w:b w:val="0"/>
          <w:i w:val="0"/>
          <w:color w:val="111111"/>
          <w:sz w:val="22"/>
        </w:rPr>
        <w:t>Separate text-to-video, image-to-video, reference-character video, video editing, and long-form multi-shot generation into distinct task families; their inputs and valid success criteria differ materially.</w:t>
      </w:r>
    </w:p>
    <w:p>
      <w:pPr>
        <w:pStyle w:val="ListBullet"/>
        <w:spacing w:after="160" w:line="280" w:lineRule="auto"/>
        <w:ind w:left="720" w:hanging="360"/>
      </w:pPr>
      <w:r>
        <w:rPr>
          <w:rFonts w:ascii="Calibri" w:hAnsi="Calibri"/>
          <w:b w:val="0"/>
          <w:i w:val="0"/>
          <w:color w:val="111111"/>
          <w:sz w:val="22"/>
        </w:rPr>
        <w:t>Measure pass@1 and cost per acceptable clip alongside best-of-N. A system that finds one strong clip after eight attempts is not equivalent to one that succeeds on the first attempt.</w:t>
      </w:r>
    </w:p>
    <w:p>
      <w:pPr>
        <w:pStyle w:val="ListBullet"/>
        <w:spacing w:after="160" w:line="280" w:lineRule="auto"/>
        <w:ind w:left="720" w:hanging="360"/>
      </w:pPr>
      <w:r>
        <w:rPr>
          <w:rFonts w:ascii="Calibri" w:hAnsi="Calibri"/>
          <w:b w:val="0"/>
          <w:i w:val="0"/>
          <w:color w:val="111111"/>
          <w:sz w:val="22"/>
        </w:rPr>
        <w:t>Treat duration, resolution, aspect ratio, frame rate, codec, audio, safety settings, and post-processing as controlled experimental factors rather than incidental output properties.</w:t>
      </w:r>
    </w:p>
    <w:p>
      <w:pPr>
        <w:pStyle w:val="Heading2"/>
        <w:keepNext/>
      </w:pPr>
      <w:r>
        <w:rPr>
          <w:rFonts w:ascii="Calibri" w:hAnsi="Calibri"/>
          <w:b/>
          <w:i w:val="0"/>
          <w:color w:val="2E74B5"/>
          <w:sz w:val="26"/>
        </w:rPr>
        <w:t>Asynchronous adapter and canonical artifact contract</w:t>
      </w:r>
    </w:p>
    <w:tbl>
      <w:tblPr>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9360"/>
      </w:tblGrid>
      <w:tr>
        <w:trPr>
          <w:cantSplit/>
        </w:trPr>
        <w:tc>
          <w:tcPr>
            <w:tcW w:type="dxa" w:w="9360"/>
            <w:tcMar>
              <w:top w:w="80" w:type="dxa"/>
              <w:start w:w="120" w:type="dxa"/>
              <w:bottom w:w="80" w:type="dxa"/>
              <w:end w:w="120" w:type="dxa"/>
            </w:tcMar>
            <w:vAlign w:val="center"/>
            <w:shd w:fill="F7F8FA"/>
          </w:tcPr>
          <w:p>
            <w:pPr>
              <w:spacing w:after="0" w:line="240" w:lineRule="auto"/>
            </w:pPr>
            <w:r>
              <w:rPr>
                <w:rFonts w:ascii="Menlo" w:hAnsi="Menlo"/>
                <w:b w:val="0"/>
                <w:i w:val="0"/>
                <w:color w:val="263238"/>
                <w:sz w:val="16"/>
              </w:rPr>
              <w:t>VideoGenerationRequest:</w:t>
              <w:br/>
            </w:r>
            <w:r>
              <w:rPr>
                <w:rFonts w:ascii="Menlo" w:hAnsi="Menlo"/>
                <w:b w:val="0"/>
                <w:i w:val="0"/>
                <w:color w:val="263238"/>
                <w:sz w:val="16"/>
              </w:rPr>
              <w:t xml:space="preserve">  prompt, negative_prompt, reference_assets[]</w:t>
              <w:br/>
            </w:r>
            <w:r>
              <w:rPr>
                <w:rFonts w:ascii="Menlo" w:hAnsi="Menlo"/>
                <w:b w:val="0"/>
                <w:i w:val="0"/>
                <w:color w:val="263238"/>
                <w:sz w:val="16"/>
              </w:rPr>
              <w:t xml:space="preserve">  duration_s, width, height, fps, audio_mode</w:t>
              <w:br/>
            </w:r>
            <w:r>
              <w:rPr>
                <w:rFonts w:ascii="Menlo" w:hAnsi="Menlo"/>
                <w:b w:val="0"/>
                <w:i w:val="0"/>
                <w:color w:val="263238"/>
                <w:sz w:val="16"/>
              </w:rPr>
              <w:t xml:space="preserve">  seed?, model_ref, deployment_ref, native_controls{}</w:t>
              <w:br/>
            </w:r>
            <w:r>
              <w:rPr>
                <w:rFonts w:ascii="Menlo" w:hAnsi="Menlo"/>
                <w:b w:val="0"/>
                <w:i w:val="0"/>
                <w:color w:val="263238"/>
                <w:sz w:val="16"/>
              </w:rPr>
              <w:br/>
            </w:r>
            <w:r>
              <w:rPr>
                <w:rFonts w:ascii="Menlo" w:hAnsi="Menlo"/>
                <w:b w:val="0"/>
                <w:i w:val="0"/>
                <w:color w:val="263238"/>
                <w:sz w:val="16"/>
              </w:rPr>
              <w:t>VideoGenerationJob:</w:t>
              <w:br/>
            </w:r>
            <w:r>
              <w:rPr>
                <w:rFonts w:ascii="Menlo" w:hAnsi="Menlo"/>
                <w:b w:val="0"/>
                <w:i w:val="0"/>
                <w:color w:val="263238"/>
                <w:sz w:val="16"/>
              </w:rPr>
              <w:t xml:space="preserve">  submit_at, provider_job_id, status_events[]</w:t>
              <w:br/>
            </w:r>
            <w:r>
              <w:rPr>
                <w:rFonts w:ascii="Menlo" w:hAnsi="Menlo"/>
                <w:b w:val="0"/>
                <w:i w:val="0"/>
                <w:color w:val="263238"/>
                <w:sz w:val="16"/>
              </w:rPr>
              <w:t xml:space="preserve">  queue_ms, generation_ms, moderation_ms, transfer_ms</w:t>
              <w:br/>
            </w:r>
            <w:r>
              <w:rPr>
                <w:rFonts w:ascii="Menlo" w:hAnsi="Menlo"/>
                <w:b w:val="0"/>
                <w:i w:val="0"/>
                <w:color w:val="263238"/>
                <w:sz w:val="16"/>
              </w:rPr>
              <w:t xml:space="preserve">  retries[], failure_reason?, provider_metadata{}</w:t>
              <w:br/>
            </w:r>
            <w:r>
              <w:rPr>
                <w:rFonts w:ascii="Menlo" w:hAnsi="Menlo"/>
                <w:b w:val="0"/>
                <w:i w:val="0"/>
                <w:color w:val="263238"/>
                <w:sz w:val="16"/>
              </w:rPr>
              <w:br/>
            </w:r>
            <w:r>
              <w:rPr>
                <w:rFonts w:ascii="Menlo" w:hAnsi="Menlo"/>
                <w:b w:val="0"/>
                <w:i w:val="0"/>
                <w:color w:val="263238"/>
                <w:sz w:val="16"/>
              </w:rPr>
              <w:t>VideoArtifact:</w:t>
              <w:br/>
            </w:r>
            <w:r>
              <w:rPr>
                <w:rFonts w:ascii="Menlo" w:hAnsi="Menlo"/>
                <w:b w:val="0"/>
                <w:i w:val="0"/>
                <w:color w:val="263238"/>
                <w:sz w:val="16"/>
              </w:rPr>
              <w:t xml:space="preserve">  source_hash, codec, duration_s, width, height, fps</w:t>
              <w:br/>
            </w:r>
            <w:r>
              <w:rPr>
                <w:rFonts w:ascii="Menlo" w:hAnsi="Menlo"/>
                <w:b w:val="0"/>
                <w:i w:val="0"/>
                <w:color w:val="263238"/>
                <w:sz w:val="16"/>
              </w:rPr>
              <w:t xml:space="preserve">  frame_hashes[], audio_hash?, derived_assets[]</w:t>
              <w:br/>
            </w:r>
            <w:r>
              <w:rPr>
                <w:rFonts w:ascii="Menlo" w:hAnsi="Menlo"/>
                <w:b w:val="0"/>
                <w:i w:val="0"/>
                <w:color w:val="263238"/>
                <w:sz w:val="16"/>
              </w:rPr>
              <w:t xml:space="preserve">  generation_steps[], postprocessing[], landed_cost</w:t>
              <w:br/>
            </w:r>
            <w:r>
              <w:rPr>
                <w:rFonts w:ascii="Menlo" w:hAnsi="Menlo"/>
                <w:b w:val="0"/>
                <w:i w:val="0"/>
                <w:color w:val="263238"/>
                <w:sz w:val="16"/>
              </w:rPr>
              <w:t xml:space="preserve">  artifact_uri, retention_policy, rights_metadata</w:t>
            </w:r>
          </w:p>
        </w:tc>
      </w:tr>
    </w:tbl>
    <w:p>
      <w:pPr>
        <w:spacing w:after="40"/>
      </w:pPr>
    </w:p>
    <w:p>
      <w:pPr>
        <w:keepNext w:val="0"/>
        <w:spacing w:before="0" w:after="120" w:line="264" w:lineRule="auto"/>
      </w:pPr>
      <w:r>
        <w:rPr>
          <w:rFonts w:ascii="Calibri" w:hAnsi="Calibri"/>
          <w:b w:val="0"/>
          <w:i w:val="0"/>
          <w:color w:val="111111"/>
          <w:sz w:val="22"/>
        </w:rPr>
        <w:t>The provider interface should implement submit_generation, poll or receive_webhook, cancel_generation, and fetch_artifacts. Preserve provider-native parameters under a namespaced escape hatch and mark any translated, ignored, or emulated field. Gateway support is optional: native-direct adapters remain required because video APIs expose materially different controls, queue semantics, moderation behavior, and artifact lifecycles.</w:t>
      </w:r>
    </w:p>
    <w:p>
      <w:pPr>
        <w:pStyle w:val="Heading2"/>
        <w:keepNext/>
      </w:pPr>
      <w:r>
        <w:rPr>
          <w:rFonts w:ascii="Calibri" w:hAnsi="Calibri"/>
          <w:b/>
          <w:i w:val="0"/>
          <w:color w:val="2E74B5"/>
          <w:sz w:val="26"/>
        </w:rPr>
        <w:t>Video scorer bundle and precedence</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420"/>
        <w:gridCol w:w="3350"/>
        <w:gridCol w:w="2550"/>
        <w:gridCol w:w="2040"/>
      </w:tblGrid>
      <w:tr>
        <w:trPr>
          <w:tblHeader w:val="true"/>
          <w:cantSplit/>
        </w:trPr>
        <w:tc>
          <w:tcPr>
            <w:tcW w:type="dxa" w:w="142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Dimension</w:t>
            </w:r>
          </w:p>
        </w:tc>
        <w:tc>
          <w:tcPr>
            <w:tcW w:type="dxa" w:w="33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Automated evidence</w:t>
            </w:r>
          </w:p>
        </w:tc>
        <w:tc>
          <w:tcPr>
            <w:tcW w:type="dxa" w:w="25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Human role</w:t>
            </w:r>
          </w:p>
        </w:tc>
        <w:tc>
          <w:tcPr>
            <w:tcW w:type="dxa" w:w="204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Failure to avoid</w:t>
            </w:r>
          </w:p>
        </w:tc>
      </w:tr>
      <w:tr>
        <w:trPr>
          <w:cantSplit/>
        </w:trPr>
        <w:tc>
          <w:tcPr>
            <w:tcW w:type="dxa" w:w="1420"/>
            <w:tcMar>
              <w:top w:w="80" w:type="dxa"/>
              <w:start w:w="120" w:type="dxa"/>
              <w:bottom w:w="80" w:type="dxa"/>
              <w:end w:w="120" w:type="dxa"/>
            </w:tcMar>
            <w:vAlign w:val="center"/>
          </w:tcPr>
          <w:p>
            <w:pPr>
              <w:spacing w:after="0" w:line="257" w:lineRule="auto"/>
            </w:pPr>
            <w:r>
              <w:rPr>
                <w:rFonts w:ascii="Calibri" w:hAnsi="Calibri"/>
                <w:b w:val="0"/>
                <w:i w:val="0"/>
                <w:color w:val="111111"/>
                <w:sz w:val="15"/>
              </w:rPr>
              <w:t>Artifact integrity</w:t>
            </w:r>
          </w:p>
        </w:tc>
        <w:tc>
          <w:tcPr>
            <w:tcW w:type="dxa" w:w="3350"/>
            <w:tcMar>
              <w:top w:w="80" w:type="dxa"/>
              <w:start w:w="120" w:type="dxa"/>
              <w:bottom w:w="80" w:type="dxa"/>
              <w:end w:w="120" w:type="dxa"/>
            </w:tcMar>
            <w:vAlign w:val="center"/>
          </w:tcPr>
          <w:p>
            <w:pPr>
              <w:spacing w:after="0" w:line="257" w:lineRule="auto"/>
            </w:pPr>
            <w:r>
              <w:rPr>
                <w:rFonts w:ascii="Calibri" w:hAnsi="Calibri"/>
                <w:b w:val="0"/>
                <w:i w:val="0"/>
                <w:color w:val="111111"/>
                <w:sz w:val="15"/>
              </w:rPr>
              <w:t>Decode success, requested duration/resolution/fps, corrupt or missing frames, black/frozen frames, audio presence.</w:t>
            </w:r>
          </w:p>
        </w:tc>
        <w:tc>
          <w:tcPr>
            <w:tcW w:type="dxa" w:w="2550"/>
            <w:tcMar>
              <w:top w:w="80" w:type="dxa"/>
              <w:start w:w="120" w:type="dxa"/>
              <w:bottom w:w="80" w:type="dxa"/>
              <w:end w:w="120" w:type="dxa"/>
            </w:tcMar>
            <w:vAlign w:val="center"/>
          </w:tcPr>
          <w:p>
            <w:pPr>
              <w:spacing w:after="0" w:line="257" w:lineRule="auto"/>
            </w:pPr>
            <w:r>
              <w:rPr>
                <w:rFonts w:ascii="Calibri" w:hAnsi="Calibri"/>
                <w:b w:val="0"/>
                <w:i w:val="0"/>
                <w:color w:val="111111"/>
                <w:sz w:val="15"/>
              </w:rPr>
              <w:t>Review ambiguous boundary cases only.</w:t>
            </w:r>
          </w:p>
        </w:tc>
        <w:tc>
          <w:tcPr>
            <w:tcW w:type="dxa" w:w="2040"/>
            <w:tcMar>
              <w:top w:w="80" w:type="dxa"/>
              <w:start w:w="120" w:type="dxa"/>
              <w:bottom w:w="80" w:type="dxa"/>
              <w:end w:w="120" w:type="dxa"/>
            </w:tcMar>
            <w:vAlign w:val="center"/>
          </w:tcPr>
          <w:p>
            <w:pPr>
              <w:spacing w:after="0" w:line="257" w:lineRule="auto"/>
            </w:pPr>
            <w:r>
              <w:rPr>
                <w:rFonts w:ascii="Calibri" w:hAnsi="Calibri"/>
                <w:b w:val="0"/>
                <w:i w:val="0"/>
                <w:color w:val="111111"/>
                <w:sz w:val="15"/>
              </w:rPr>
              <w:t>Scoring a malformed output as visually acceptable.</w:t>
            </w:r>
          </w:p>
        </w:tc>
      </w:tr>
      <w:tr>
        <w:trPr>
          <w:cantSplit/>
        </w:trPr>
        <w:tc>
          <w:tcPr>
            <w:tcW w:type="dxa" w:w="1420"/>
            <w:tcMar>
              <w:top w:w="80" w:type="dxa"/>
              <w:start w:w="120" w:type="dxa"/>
              <w:bottom w:w="80" w:type="dxa"/>
              <w:end w:w="120" w:type="dxa"/>
            </w:tcMar>
            <w:vAlign w:val="center"/>
          </w:tcPr>
          <w:p>
            <w:pPr>
              <w:spacing w:after="0" w:line="257" w:lineRule="auto"/>
            </w:pPr>
            <w:r>
              <w:rPr>
                <w:rFonts w:ascii="Calibri" w:hAnsi="Calibri"/>
                <w:b w:val="0"/>
                <w:i w:val="0"/>
                <w:color w:val="111111"/>
                <w:sz w:val="15"/>
              </w:rPr>
              <w:t>Character / subject consistency</w:t>
            </w:r>
          </w:p>
        </w:tc>
        <w:tc>
          <w:tcPr>
            <w:tcW w:type="dxa" w:w="3350"/>
            <w:tcMar>
              <w:top w:w="80" w:type="dxa"/>
              <w:start w:w="120" w:type="dxa"/>
              <w:bottom w:w="80" w:type="dxa"/>
              <w:end w:w="120" w:type="dxa"/>
            </w:tcMar>
            <w:vAlign w:val="center"/>
          </w:tcPr>
          <w:p>
            <w:pPr>
              <w:spacing w:after="0" w:line="257" w:lineRule="auto"/>
            </w:pPr>
            <w:r>
              <w:rPr>
                <w:rFonts w:ascii="Calibri" w:hAnsi="Calibri"/>
                <w:b w:val="0"/>
                <w:i w:val="0"/>
                <w:color w:val="111111"/>
                <w:sz w:val="15"/>
              </w:rPr>
              <w:t>Detection, segmentation, tracking, DINO/identity embeddings, reference similarity, landmark and attribute persistence.</w:t>
            </w:r>
          </w:p>
        </w:tc>
        <w:tc>
          <w:tcPr>
            <w:tcW w:type="dxa" w:w="2550"/>
            <w:tcMar>
              <w:top w:w="80" w:type="dxa"/>
              <w:start w:w="120" w:type="dxa"/>
              <w:bottom w:w="80" w:type="dxa"/>
              <w:end w:w="120" w:type="dxa"/>
            </w:tcMar>
            <w:vAlign w:val="center"/>
          </w:tcPr>
          <w:p>
            <w:pPr>
              <w:spacing w:after="0" w:line="257" w:lineRule="auto"/>
            </w:pPr>
            <w:r>
              <w:rPr>
                <w:rFonts w:ascii="Calibri" w:hAnsi="Calibri"/>
                <w:b w:val="0"/>
                <w:i w:val="0"/>
                <w:color w:val="111111"/>
                <w:sz w:val="15"/>
              </w:rPr>
              <w:t>Judge material identity, clothing, anatomy, and cross-shot drift.</w:t>
            </w:r>
          </w:p>
        </w:tc>
        <w:tc>
          <w:tcPr>
            <w:tcW w:type="dxa" w:w="2040"/>
            <w:tcMar>
              <w:top w:w="80" w:type="dxa"/>
              <w:start w:w="120" w:type="dxa"/>
              <w:bottom w:w="80" w:type="dxa"/>
              <w:end w:w="120" w:type="dxa"/>
            </w:tcMar>
            <w:vAlign w:val="center"/>
          </w:tcPr>
          <w:p>
            <w:pPr>
              <w:spacing w:after="0" w:line="257" w:lineRule="auto"/>
            </w:pPr>
            <w:r>
              <w:rPr>
                <w:rFonts w:ascii="Calibri" w:hAnsi="Calibri"/>
                <w:b w:val="0"/>
                <w:i w:val="0"/>
                <w:color w:val="111111"/>
                <w:sz w:val="15"/>
              </w:rPr>
              <w:t>Rewarding a static or barely visible subject.</w:t>
            </w:r>
          </w:p>
        </w:tc>
      </w:tr>
      <w:tr>
        <w:trPr>
          <w:cantSplit/>
        </w:trPr>
        <w:tc>
          <w:tcPr>
            <w:tcW w:type="dxa" w:w="1420"/>
            <w:tcMar>
              <w:top w:w="80" w:type="dxa"/>
              <w:start w:w="120" w:type="dxa"/>
              <w:bottom w:w="80" w:type="dxa"/>
              <w:end w:w="120" w:type="dxa"/>
            </w:tcMar>
            <w:vAlign w:val="center"/>
          </w:tcPr>
          <w:p>
            <w:pPr>
              <w:spacing w:after="0" w:line="257" w:lineRule="auto"/>
            </w:pPr>
            <w:r>
              <w:rPr>
                <w:rFonts w:ascii="Calibri" w:hAnsi="Calibri"/>
                <w:b w:val="0"/>
                <w:i w:val="0"/>
                <w:color w:val="111111"/>
                <w:sz w:val="15"/>
              </w:rPr>
              <w:t>Temporal consistency</w:t>
            </w:r>
          </w:p>
        </w:tc>
        <w:tc>
          <w:tcPr>
            <w:tcW w:type="dxa" w:w="3350"/>
            <w:tcMar>
              <w:top w:w="80" w:type="dxa"/>
              <w:start w:w="120" w:type="dxa"/>
              <w:bottom w:w="80" w:type="dxa"/>
              <w:end w:w="120" w:type="dxa"/>
            </w:tcMar>
            <w:vAlign w:val="center"/>
          </w:tcPr>
          <w:p>
            <w:pPr>
              <w:spacing w:after="0" w:line="257" w:lineRule="auto"/>
            </w:pPr>
            <w:r>
              <w:rPr>
                <w:rFonts w:ascii="Calibri" w:hAnsi="Calibri"/>
                <w:b w:val="0"/>
                <w:i w:val="0"/>
                <w:color w:val="111111"/>
                <w:sz w:val="15"/>
              </w:rPr>
              <w:t>Optical flow, track continuity, flicker, geometry/texture drift, background stability, motion smoothness.</w:t>
            </w:r>
          </w:p>
        </w:tc>
        <w:tc>
          <w:tcPr>
            <w:tcW w:type="dxa" w:w="2550"/>
            <w:tcMar>
              <w:top w:w="80" w:type="dxa"/>
              <w:start w:w="120" w:type="dxa"/>
              <w:bottom w:w="80" w:type="dxa"/>
              <w:end w:w="120" w:type="dxa"/>
            </w:tcMar>
            <w:vAlign w:val="center"/>
          </w:tcPr>
          <w:p>
            <w:pPr>
              <w:spacing w:after="0" w:line="257" w:lineRule="auto"/>
            </w:pPr>
            <w:r>
              <w:rPr>
                <w:rFonts w:ascii="Calibri" w:hAnsi="Calibri"/>
                <w:b w:val="0"/>
                <w:i w:val="0"/>
                <w:color w:val="111111"/>
                <w:sz w:val="15"/>
              </w:rPr>
              <w:t>Assess perceptual coherence and intentional cuts or effects.</w:t>
            </w:r>
          </w:p>
        </w:tc>
        <w:tc>
          <w:tcPr>
            <w:tcW w:type="dxa" w:w="2040"/>
            <w:tcMar>
              <w:top w:w="80" w:type="dxa"/>
              <w:start w:w="120" w:type="dxa"/>
              <w:bottom w:w="80" w:type="dxa"/>
              <w:end w:w="120" w:type="dxa"/>
            </w:tcMar>
            <w:vAlign w:val="center"/>
          </w:tcPr>
          <w:p>
            <w:pPr>
              <w:spacing w:after="0" w:line="257" w:lineRule="auto"/>
            </w:pPr>
            <w:r>
              <w:rPr>
                <w:rFonts w:ascii="Calibri" w:hAnsi="Calibri"/>
                <w:b w:val="0"/>
                <w:i w:val="0"/>
                <w:color w:val="111111"/>
                <w:sz w:val="15"/>
              </w:rPr>
              <w:t>Penalizing desired motion or rewarding frozen video.</w:t>
            </w:r>
          </w:p>
        </w:tc>
      </w:tr>
      <w:tr>
        <w:trPr>
          <w:cantSplit/>
        </w:trPr>
        <w:tc>
          <w:tcPr>
            <w:tcW w:type="dxa" w:w="1420"/>
            <w:tcMar>
              <w:top w:w="80" w:type="dxa"/>
              <w:start w:w="120" w:type="dxa"/>
              <w:bottom w:w="80" w:type="dxa"/>
              <w:end w:w="120" w:type="dxa"/>
            </w:tcMar>
            <w:vAlign w:val="center"/>
          </w:tcPr>
          <w:p>
            <w:pPr>
              <w:spacing w:after="0" w:line="257" w:lineRule="auto"/>
            </w:pPr>
            <w:r>
              <w:rPr>
                <w:rFonts w:ascii="Calibri" w:hAnsi="Calibri"/>
                <w:b w:val="0"/>
                <w:i w:val="0"/>
                <w:color w:val="111111"/>
                <w:sz w:val="15"/>
              </w:rPr>
              <w:t>Prompt adherence</w:t>
            </w:r>
          </w:p>
        </w:tc>
        <w:tc>
          <w:tcPr>
            <w:tcW w:type="dxa" w:w="3350"/>
            <w:tcMar>
              <w:top w:w="80" w:type="dxa"/>
              <w:start w:w="120" w:type="dxa"/>
              <w:bottom w:w="80" w:type="dxa"/>
              <w:end w:w="120" w:type="dxa"/>
            </w:tcMar>
            <w:vAlign w:val="center"/>
          </w:tcPr>
          <w:p>
            <w:pPr>
              <w:spacing w:after="0" w:line="257" w:lineRule="auto"/>
            </w:pPr>
            <w:r>
              <w:rPr>
                <w:rFonts w:ascii="Calibri" w:hAnsi="Calibri"/>
                <w:b w:val="0"/>
                <w:i w:val="0"/>
                <w:color w:val="111111"/>
                <w:sz w:val="15"/>
              </w:rPr>
              <w:t>Atomic VQA assertions, object/action detection, tracking, counts, spatial and temporal relations, whole-video VLM grading.</w:t>
            </w:r>
          </w:p>
        </w:tc>
        <w:tc>
          <w:tcPr>
            <w:tcW w:type="dxa" w:w="2550"/>
            <w:tcMar>
              <w:top w:w="80" w:type="dxa"/>
              <w:start w:w="120" w:type="dxa"/>
              <w:bottom w:w="80" w:type="dxa"/>
              <w:end w:w="120" w:type="dxa"/>
            </w:tcMar>
            <w:vAlign w:val="center"/>
          </w:tcPr>
          <w:p>
            <w:pPr>
              <w:spacing w:after="0" w:line="257" w:lineRule="auto"/>
            </w:pPr>
            <w:r>
              <w:rPr>
                <w:rFonts w:ascii="Calibri" w:hAnsi="Calibri"/>
                <w:b w:val="0"/>
                <w:i w:val="0"/>
                <w:color w:val="111111"/>
                <w:sz w:val="15"/>
              </w:rPr>
              <w:t>Resolve ambiguity and high-impact semantic errors.</w:t>
            </w:r>
          </w:p>
        </w:tc>
        <w:tc>
          <w:tcPr>
            <w:tcW w:type="dxa" w:w="2040"/>
            <w:tcMar>
              <w:top w:w="80" w:type="dxa"/>
              <w:start w:w="120" w:type="dxa"/>
              <w:bottom w:w="80" w:type="dxa"/>
              <w:end w:w="120" w:type="dxa"/>
            </w:tcMar>
            <w:vAlign w:val="center"/>
          </w:tcPr>
          <w:p>
            <w:pPr>
              <w:spacing w:after="0" w:line="257" w:lineRule="auto"/>
            </w:pPr>
            <w:r>
              <w:rPr>
                <w:rFonts w:ascii="Calibri" w:hAnsi="Calibri"/>
                <w:b w:val="0"/>
                <w:i w:val="0"/>
                <w:color w:val="111111"/>
                <w:sz w:val="15"/>
              </w:rPr>
              <w:t>Using one global video-text similarity score.</w:t>
            </w:r>
          </w:p>
        </w:tc>
      </w:tr>
      <w:tr>
        <w:trPr>
          <w:cantSplit/>
        </w:trPr>
        <w:tc>
          <w:tcPr>
            <w:tcW w:type="dxa" w:w="1420"/>
            <w:tcMar>
              <w:top w:w="80" w:type="dxa"/>
              <w:start w:w="120" w:type="dxa"/>
              <w:bottom w:w="80" w:type="dxa"/>
              <w:end w:w="120" w:type="dxa"/>
            </w:tcMar>
            <w:vAlign w:val="center"/>
          </w:tcPr>
          <w:p>
            <w:pPr>
              <w:spacing w:after="0" w:line="257" w:lineRule="auto"/>
            </w:pPr>
            <w:r>
              <w:rPr>
                <w:rFonts w:ascii="Calibri" w:hAnsi="Calibri"/>
                <w:b w:val="0"/>
                <w:i w:val="0"/>
                <w:color w:val="111111"/>
                <w:sz w:val="15"/>
              </w:rPr>
              <w:t>Technical quality</w:t>
            </w:r>
          </w:p>
        </w:tc>
        <w:tc>
          <w:tcPr>
            <w:tcW w:type="dxa" w:w="3350"/>
            <w:tcMar>
              <w:top w:w="80" w:type="dxa"/>
              <w:start w:w="120" w:type="dxa"/>
              <w:bottom w:w="80" w:type="dxa"/>
              <w:end w:w="120" w:type="dxa"/>
            </w:tcMar>
            <w:vAlign w:val="center"/>
          </w:tcPr>
          <w:p>
            <w:pPr>
              <w:spacing w:after="0" w:line="257" w:lineRule="auto"/>
            </w:pPr>
            <w:r>
              <w:rPr>
                <w:rFonts w:ascii="Calibri" w:hAnsi="Calibri"/>
                <w:b w:val="0"/>
                <w:i w:val="0"/>
                <w:color w:val="111111"/>
                <w:sz w:val="15"/>
              </w:rPr>
              <w:t>Blur, noise, compression, exposure, aliasing, warping, anatomy and artifact detectors.</w:t>
            </w:r>
          </w:p>
        </w:tc>
        <w:tc>
          <w:tcPr>
            <w:tcW w:type="dxa" w:w="2550"/>
            <w:tcMar>
              <w:top w:w="80" w:type="dxa"/>
              <w:start w:w="120" w:type="dxa"/>
              <w:bottom w:w="80" w:type="dxa"/>
              <w:end w:w="120" w:type="dxa"/>
            </w:tcMar>
            <w:vAlign w:val="center"/>
          </w:tcPr>
          <w:p>
            <w:pPr>
              <w:spacing w:after="0" w:line="257" w:lineRule="auto"/>
            </w:pPr>
            <w:r>
              <w:rPr>
                <w:rFonts w:ascii="Calibri" w:hAnsi="Calibri"/>
                <w:b w:val="0"/>
                <w:i w:val="0"/>
                <w:color w:val="111111"/>
                <w:sz w:val="15"/>
              </w:rPr>
              <w:t>Audit false positives and severity.</w:t>
            </w:r>
          </w:p>
        </w:tc>
        <w:tc>
          <w:tcPr>
            <w:tcW w:type="dxa" w:w="2040"/>
            <w:tcMar>
              <w:top w:w="80" w:type="dxa"/>
              <w:start w:w="120" w:type="dxa"/>
              <w:bottom w:w="80" w:type="dxa"/>
              <w:end w:w="120" w:type="dxa"/>
            </w:tcMar>
            <w:vAlign w:val="center"/>
          </w:tcPr>
          <w:p>
            <w:pPr>
              <w:spacing w:after="0" w:line="257" w:lineRule="auto"/>
            </w:pPr>
            <w:r>
              <w:rPr>
                <w:rFonts w:ascii="Calibri" w:hAnsi="Calibri"/>
                <w:b w:val="0"/>
                <w:i w:val="0"/>
                <w:color w:val="111111"/>
                <w:sz w:val="15"/>
              </w:rPr>
              <w:t>Conflating aesthetics with absence of defects.</w:t>
            </w:r>
          </w:p>
        </w:tc>
      </w:tr>
      <w:tr>
        <w:trPr>
          <w:cantSplit/>
        </w:trPr>
        <w:tc>
          <w:tcPr>
            <w:tcW w:type="dxa" w:w="1420"/>
            <w:tcMar>
              <w:top w:w="80" w:type="dxa"/>
              <w:start w:w="120" w:type="dxa"/>
              <w:bottom w:w="80" w:type="dxa"/>
              <w:end w:w="120" w:type="dxa"/>
            </w:tcMar>
            <w:vAlign w:val="center"/>
          </w:tcPr>
          <w:p>
            <w:pPr>
              <w:spacing w:after="0" w:line="257" w:lineRule="auto"/>
            </w:pPr>
            <w:r>
              <w:rPr>
                <w:rFonts w:ascii="Calibri" w:hAnsi="Calibri"/>
                <w:b w:val="0"/>
                <w:i w:val="0"/>
                <w:color w:val="111111"/>
                <w:sz w:val="15"/>
              </w:rPr>
              <w:t>Design / aesthetic quality</w:t>
            </w:r>
          </w:p>
        </w:tc>
        <w:tc>
          <w:tcPr>
            <w:tcW w:type="dxa" w:w="3350"/>
            <w:tcMar>
              <w:top w:w="80" w:type="dxa"/>
              <w:start w:w="120" w:type="dxa"/>
              <w:bottom w:w="80" w:type="dxa"/>
              <w:end w:w="120" w:type="dxa"/>
            </w:tcMar>
            <w:vAlign w:val="center"/>
          </w:tcPr>
          <w:p>
            <w:pPr>
              <w:spacing w:after="0" w:line="257" w:lineRule="auto"/>
            </w:pPr>
            <w:r>
              <w:rPr>
                <w:rFonts w:ascii="Calibri" w:hAnsi="Calibri"/>
                <w:b w:val="0"/>
                <w:i w:val="0"/>
                <w:color w:val="111111"/>
                <w:sz w:val="15"/>
              </w:rPr>
              <w:t>Human-aligned preference or aesthetic models as triage signals.</w:t>
            </w:r>
          </w:p>
        </w:tc>
        <w:tc>
          <w:tcPr>
            <w:tcW w:type="dxa" w:w="2550"/>
            <w:tcMar>
              <w:top w:w="80" w:type="dxa"/>
              <w:start w:w="120" w:type="dxa"/>
              <w:bottom w:w="80" w:type="dxa"/>
              <w:end w:w="120" w:type="dxa"/>
            </w:tcMar>
            <w:vAlign w:val="center"/>
          </w:tcPr>
          <w:p>
            <w:pPr>
              <w:spacing w:after="0" w:line="257" w:lineRule="auto"/>
            </w:pPr>
            <w:r>
              <w:rPr>
                <w:rFonts w:ascii="Calibri" w:hAnsi="Calibri"/>
                <w:b w:val="0"/>
                <w:i w:val="0"/>
                <w:color w:val="111111"/>
                <w:sz w:val="15"/>
              </w:rPr>
              <w:t xml:space="preserve">Blinded </w:t>
            </w:r>
            <w:hyperlink r:id="rId25">
              <w:r>
                <w:rPr>
                  <w:rFonts w:ascii="Calibri" w:hAnsi="Calibri"/>
                  <w:color w:val="2E74B5"/>
                  <w:u w:val="single"/>
                  <w:sz w:val="15"/>
                  <w:szCs w:val="15"/>
                </w:rPr>
                <w:t>G-Eval</w:t>
              </w:r>
            </w:hyperlink>
            <w:r>
              <w:rPr>
                <w:rFonts w:ascii="Calibri" w:hAnsi="Calibri"/>
                <w:b w:val="0"/>
                <w:i w:val="0"/>
                <w:color w:val="111111"/>
                <w:sz w:val="15"/>
              </w:rPr>
              <w:t>-style multimodal pairwise rubric with anchors and adjudication.</w:t>
            </w:r>
          </w:p>
        </w:tc>
        <w:tc>
          <w:tcPr>
            <w:tcW w:type="dxa" w:w="2040"/>
            <w:tcMar>
              <w:top w:w="80" w:type="dxa"/>
              <w:start w:w="120" w:type="dxa"/>
              <w:bottom w:w="80" w:type="dxa"/>
              <w:end w:w="120" w:type="dxa"/>
            </w:tcMar>
            <w:vAlign w:val="center"/>
          </w:tcPr>
          <w:p>
            <w:pPr>
              <w:spacing w:after="0" w:line="257" w:lineRule="auto"/>
            </w:pPr>
            <w:r>
              <w:rPr>
                <w:rFonts w:ascii="Calibri" w:hAnsi="Calibri"/>
                <w:b w:val="0"/>
                <w:i w:val="0"/>
                <w:color w:val="111111"/>
                <w:sz w:val="15"/>
              </w:rPr>
              <w:t>Claiming one universal objective aesthetic score.</w:t>
            </w:r>
          </w:p>
        </w:tc>
      </w:tr>
      <w:tr>
        <w:trPr>
          <w:cantSplit/>
        </w:trPr>
        <w:tc>
          <w:tcPr>
            <w:tcW w:type="dxa" w:w="1420"/>
            <w:tcMar>
              <w:top w:w="80" w:type="dxa"/>
              <w:start w:w="120" w:type="dxa"/>
              <w:bottom w:w="80" w:type="dxa"/>
              <w:end w:w="120" w:type="dxa"/>
            </w:tcMar>
            <w:vAlign w:val="center"/>
          </w:tcPr>
          <w:p>
            <w:pPr>
              <w:spacing w:after="0" w:line="257" w:lineRule="auto"/>
            </w:pPr>
            <w:r>
              <w:rPr>
                <w:rFonts w:ascii="Calibri" w:hAnsi="Calibri"/>
                <w:b w:val="0"/>
                <w:i w:val="0"/>
                <w:color w:val="111111"/>
                <w:sz w:val="15"/>
              </w:rPr>
              <w:t>Physics / commonsense</w:t>
            </w:r>
          </w:p>
        </w:tc>
        <w:tc>
          <w:tcPr>
            <w:tcW w:type="dxa" w:w="3350"/>
            <w:tcMar>
              <w:top w:w="80" w:type="dxa"/>
              <w:start w:w="120" w:type="dxa"/>
              <w:bottom w:w="80" w:type="dxa"/>
              <w:end w:w="120" w:type="dxa"/>
            </w:tcMar>
            <w:vAlign w:val="center"/>
          </w:tcPr>
          <w:p>
            <w:pPr>
              <w:spacing w:after="0" w:line="257" w:lineRule="auto"/>
            </w:pPr>
            <w:r>
              <w:rPr>
                <w:rFonts w:ascii="Calibri" w:hAnsi="Calibri"/>
                <w:b w:val="0"/>
                <w:i w:val="0"/>
                <w:color w:val="111111"/>
                <w:sz w:val="15"/>
              </w:rPr>
              <w:t>VLM questions and specialist anomaly detectors for gravity, collisions, anatomy, permanence and causality.</w:t>
            </w:r>
          </w:p>
        </w:tc>
        <w:tc>
          <w:tcPr>
            <w:tcW w:type="dxa" w:w="2550"/>
            <w:tcMar>
              <w:top w:w="80" w:type="dxa"/>
              <w:start w:w="120" w:type="dxa"/>
              <w:bottom w:w="80" w:type="dxa"/>
              <w:end w:w="120" w:type="dxa"/>
            </w:tcMar>
            <w:vAlign w:val="center"/>
          </w:tcPr>
          <w:p>
            <w:pPr>
              <w:spacing w:after="0" w:line="257" w:lineRule="auto"/>
            </w:pPr>
            <w:r>
              <w:rPr>
                <w:rFonts w:ascii="Calibri" w:hAnsi="Calibri"/>
                <w:b w:val="0"/>
                <w:i w:val="0"/>
                <w:color w:val="111111"/>
                <w:sz w:val="15"/>
              </w:rPr>
              <w:t>Review novel or uncertain scenarios.</w:t>
            </w:r>
          </w:p>
        </w:tc>
        <w:tc>
          <w:tcPr>
            <w:tcW w:type="dxa" w:w="2040"/>
            <w:tcMar>
              <w:top w:w="80" w:type="dxa"/>
              <w:start w:w="120" w:type="dxa"/>
              <w:bottom w:w="80" w:type="dxa"/>
              <w:end w:w="120" w:type="dxa"/>
            </w:tcMar>
            <w:vAlign w:val="center"/>
          </w:tcPr>
          <w:p>
            <w:pPr>
              <w:spacing w:after="0" w:line="257" w:lineRule="auto"/>
            </w:pPr>
            <w:r>
              <w:rPr>
                <w:rFonts w:ascii="Calibri" w:hAnsi="Calibri"/>
                <w:b w:val="0"/>
                <w:i w:val="0"/>
                <w:color w:val="111111"/>
                <w:sz w:val="15"/>
              </w:rPr>
              <w:t>Treating plausible single frames as coherent events.</w:t>
            </w:r>
          </w:p>
        </w:tc>
      </w:tr>
    </w:tbl>
    <w:p>
      <w:pPr>
        <w:spacing w:after="40"/>
      </w:pPr>
    </w:p>
    <w:p>
      <w:pPr>
        <w:keepNext w:val="0"/>
        <w:spacing w:before="0" w:after="120" w:line="264" w:lineRule="auto"/>
      </w:pPr>
      <w:hyperlink r:id="rId50">
        <w:r>
          <w:rPr>
            <w:rFonts w:ascii="Calibri" w:hAnsi="Calibri"/>
            <w:color w:val="2E74B5"/>
            <w:u w:val="single"/>
            <w:sz w:val="22"/>
            <w:szCs w:val="22"/>
          </w:rPr>
          <w:t>VBench</w:t>
        </w:r>
      </w:hyperlink>
      <w:r>
        <w:rPr>
          <w:rFonts w:ascii="Calibri" w:hAnsi="Calibri"/>
          <w:b w:val="0"/>
          <w:i w:val="0"/>
          <w:color w:val="111111"/>
          <w:sz w:val="22"/>
        </w:rPr>
        <w:t xml:space="preserve"> already decomposes generated-video quality into subject and background consistency, temporal flicker, motion smoothness, frame quality, aesthetics, and video-condition alignment. </w:t>
      </w:r>
      <w:hyperlink r:id="rId51">
        <w:r>
          <w:rPr>
            <w:rFonts w:ascii="Calibri" w:hAnsi="Calibri"/>
            <w:color w:val="2E74B5"/>
            <w:u w:val="single"/>
            <w:sz w:val="22"/>
            <w:szCs w:val="22"/>
          </w:rPr>
          <w:t>EvalCrafter</w:t>
        </w:r>
      </w:hyperlink>
      <w:r>
        <w:rPr>
          <w:rFonts w:ascii="Calibri" w:hAnsi="Calibri"/>
          <w:b w:val="0"/>
          <w:i w:val="0"/>
          <w:color w:val="111111"/>
          <w:sz w:val="22"/>
        </w:rPr>
        <w:t xml:space="preserve"> combines visual, content, motion, temporal, and text-video metrics and aligns their aggregation to human opinions rather than relying on a simple mean. </w:t>
      </w:r>
      <w:hyperlink r:id="rId52">
        <w:r>
          <w:rPr>
            <w:rFonts w:ascii="Calibri" w:hAnsi="Calibri"/>
            <w:color w:val="2E74B5"/>
            <w:u w:val="single"/>
            <w:sz w:val="22"/>
            <w:szCs w:val="22"/>
          </w:rPr>
          <w:t>T2V-CompBench</w:t>
        </w:r>
      </w:hyperlink>
      <w:r>
        <w:rPr>
          <w:rFonts w:ascii="Calibri" w:hAnsi="Calibri"/>
          <w:b w:val="0"/>
          <w:i w:val="0"/>
          <w:color w:val="111111"/>
          <w:sz w:val="22"/>
        </w:rPr>
        <w:t xml:space="preserve"> adds compositional tests for attributes, counts, spatial relationships, actions, motion binding, and interactions, validated against human ratings.</w:t>
      </w:r>
    </w:p>
    <w:p>
      <w:pPr>
        <w:pStyle w:val="Heading2"/>
        <w:keepNext/>
      </w:pPr>
      <w:r>
        <w:rPr>
          <w:rFonts w:ascii="Calibri" w:hAnsi="Calibri"/>
          <w:b/>
          <w:i w:val="0"/>
          <w:color w:val="2E74B5"/>
          <w:sz w:val="26"/>
        </w:rPr>
        <w:t>Character and temporal consistency protocol</w:t>
      </w:r>
    </w:p>
    <w:p>
      <w:pPr>
        <w:pStyle w:val="ListNumber"/>
        <w:numPr>
          <w:ilvl w:val="0"/>
          <w:numId w:val="19"/>
        </w:numPr>
        <w:spacing w:after="160" w:line="280" w:lineRule="auto"/>
        <w:ind w:left="720" w:hanging="360"/>
      </w:pPr>
      <w:r>
        <w:rPr>
          <w:rFonts w:ascii="Calibri" w:hAnsi="Calibri"/>
          <w:b w:val="0"/>
          <w:i w:val="0"/>
          <w:color w:val="111111"/>
          <w:sz w:val="22"/>
        </w:rPr>
        <w:t>Declare the identity target. For text-only prompts, measure internal consistency; for reference-conditioned generation, score reference fidelity separately from within-clip and cross-shot identity persistence.</w:t>
      </w:r>
    </w:p>
    <w:p>
      <w:pPr>
        <w:pStyle w:val="ListNumber"/>
        <w:numPr>
          <w:ilvl w:val="0"/>
          <w:numId w:val="19"/>
        </w:numPr>
        <w:spacing w:after="160" w:line="280" w:lineRule="auto"/>
        <w:ind w:left="720" w:hanging="360"/>
      </w:pPr>
      <w:r>
        <w:rPr>
          <w:rFonts w:ascii="Calibri" w:hAnsi="Calibri"/>
          <w:b w:val="0"/>
          <w:i w:val="0"/>
          <w:color w:val="111111"/>
          <w:sz w:val="22"/>
        </w:rPr>
        <w:t>Detect and track each subject before comparing embeddings. Condition scores on visibility, scale, pose, and occlusion; report track loss, identity switches, attribute drift, geometry drift, and recovery after occlusion.</w:t>
      </w:r>
    </w:p>
    <w:p>
      <w:pPr>
        <w:pStyle w:val="ListNumber"/>
        <w:numPr>
          <w:ilvl w:val="0"/>
          <w:numId w:val="19"/>
        </w:numPr>
        <w:spacing w:after="160" w:line="280" w:lineRule="auto"/>
        <w:ind w:left="720" w:hanging="360"/>
      </w:pPr>
      <w:r>
        <w:rPr>
          <w:rFonts w:ascii="Calibri" w:hAnsi="Calibri"/>
          <w:b w:val="0"/>
          <w:i w:val="0"/>
          <w:color w:val="111111"/>
          <w:sz w:val="22"/>
        </w:rPr>
        <w:t>Evaluate hard slices: profiles, fast motion, close-ups, wide shots, multiple similar subjects, reflections, changing light, clothing details, object handoffs, scene cuts, and re-entry after absence.</w:t>
      </w:r>
    </w:p>
    <w:p>
      <w:pPr>
        <w:pStyle w:val="ListNumber"/>
        <w:numPr>
          <w:ilvl w:val="0"/>
          <w:numId w:val="19"/>
        </w:numPr>
        <w:spacing w:after="160" w:line="280" w:lineRule="auto"/>
        <w:ind w:left="720" w:hanging="360"/>
      </w:pPr>
      <w:r>
        <w:rPr>
          <w:rFonts w:ascii="Calibri" w:hAnsi="Calibri"/>
          <w:b w:val="0"/>
          <w:i w:val="0"/>
          <w:color w:val="111111"/>
          <w:sz w:val="22"/>
        </w:rPr>
        <w:t>Pair consistency with a dynamic-degree requirement. A static clip can score well on naive frame similarity while failing the requested action or camera movement.</w:t>
      </w:r>
    </w:p>
    <w:p>
      <w:pPr>
        <w:pStyle w:val="ListNumber"/>
        <w:numPr>
          <w:ilvl w:val="0"/>
          <w:numId w:val="19"/>
        </w:numPr>
        <w:spacing w:after="160" w:line="280" w:lineRule="auto"/>
        <w:ind w:left="720" w:hanging="360"/>
      </w:pPr>
      <w:r>
        <w:rPr>
          <w:rFonts w:ascii="Calibri" w:hAnsi="Calibri"/>
          <w:b w:val="0"/>
          <w:i w:val="0"/>
          <w:color w:val="111111"/>
          <w:sz w:val="22"/>
        </w:rPr>
        <w:t>For long or multi-shot video, compute within-shot, transition, and cross-shot scores separately; retain a timeline of localized failures rather than only a clip average.</w:t>
      </w:r>
    </w:p>
    <w:p>
      <w:pPr>
        <w:pStyle w:val="Heading2"/>
        <w:keepNext/>
      </w:pPr>
      <w:r>
        <w:rPr>
          <w:rFonts w:ascii="Calibri" w:hAnsi="Calibri"/>
          <w:b/>
          <w:i w:val="0"/>
          <w:color w:val="2E74B5"/>
          <w:sz w:val="26"/>
        </w:rPr>
        <w:t>Prompt adherence as temporal assertions</w:t>
      </w:r>
    </w:p>
    <w:p>
      <w:pPr>
        <w:keepNext w:val="0"/>
        <w:spacing w:before="0" w:after="120" w:line="264" w:lineRule="auto"/>
      </w:pPr>
      <w:r>
        <w:rPr>
          <w:rFonts w:ascii="Calibri" w:hAnsi="Calibri"/>
          <w:b w:val="0"/>
          <w:i w:val="0"/>
          <w:color w:val="111111"/>
          <w:sz w:val="22"/>
        </w:rPr>
        <w:t>Compile each prompt into versioned, reviewable assertions covering entities, attributes, counts, action, setting, spatial relationships, temporal order, camera behavior, style, dialogue or on-screen text, and prohibited content. Each assertion returns satisfied, violated, uncertain, or not measurable with time-coded evidence. Evaluate both sampled frames and the whole clip because frame averaging misses action order and interactions.</w:t>
      </w:r>
    </w:p>
    <w:tbl>
      <w:tblPr>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9360"/>
      </w:tblGrid>
      <w:tr>
        <w:trPr>
          <w:cantSplit/>
        </w:trPr>
        <w:tc>
          <w:tcPr>
            <w:tcW w:type="dxa" w:w="9360"/>
            <w:tcMar>
              <w:top w:w="80" w:type="dxa"/>
              <w:start w:w="120" w:type="dxa"/>
              <w:bottom w:w="80" w:type="dxa"/>
              <w:end w:w="120" w:type="dxa"/>
            </w:tcMar>
            <w:vAlign w:val="center"/>
            <w:shd w:fill="F7F8FA"/>
          </w:tcPr>
          <w:p>
            <w:pPr>
              <w:spacing w:after="0" w:line="240" w:lineRule="auto"/>
            </w:pPr>
            <w:r>
              <w:rPr>
                <w:rFonts w:ascii="Menlo" w:hAnsi="Menlo"/>
                <w:b w:val="0"/>
                <w:i w:val="0"/>
                <w:color w:val="263238"/>
                <w:sz w:val="16"/>
              </w:rPr>
              <w:t>entities: [woman, red_bicycle]</w:t>
              <w:br/>
            </w:r>
            <w:r>
              <w:rPr>
                <w:rFonts w:ascii="Menlo" w:hAnsi="Menlo"/>
                <w:b w:val="0"/>
                <w:i w:val="0"/>
                <w:color w:val="263238"/>
                <w:sz w:val="16"/>
              </w:rPr>
              <w:t>attributes: [yellow_coat]</w:t>
              <w:br/>
            </w:r>
            <w:r>
              <w:rPr>
                <w:rFonts w:ascii="Menlo" w:hAnsi="Menlo"/>
                <w:b w:val="0"/>
                <w:i w:val="0"/>
                <w:color w:val="263238"/>
                <w:sz w:val="16"/>
              </w:rPr>
              <w:t>setting: rainy_tokyo_street</w:t>
              <w:br/>
            </w:r>
            <w:r>
              <w:rPr>
                <w:rFonts w:ascii="Menlo" w:hAnsi="Menlo"/>
                <w:b w:val="0"/>
                <w:i w:val="0"/>
                <w:color w:val="263238"/>
                <w:sz w:val="16"/>
              </w:rPr>
              <w:t>temporal:</w:t>
              <w:br/>
            </w:r>
            <w:r>
              <w:rPr>
                <w:rFonts w:ascii="Menlo" w:hAnsi="Menlo"/>
                <w:b w:val="0"/>
                <w:i w:val="0"/>
                <w:color w:val="263238"/>
                <w:sz w:val="16"/>
              </w:rPr>
              <w:t xml:space="preserve">  - starts_with: wide_shot</w:t>
              <w:br/>
            </w:r>
            <w:r>
              <w:rPr>
                <w:rFonts w:ascii="Menlo" w:hAnsi="Menlo"/>
                <w:b w:val="0"/>
                <w:i w:val="0"/>
                <w:color w:val="263238"/>
                <w:sz w:val="16"/>
              </w:rPr>
              <w:t xml:space="preserve">  - action: rides_bicycle</w:t>
              <w:br/>
            </w:r>
            <w:r>
              <w:rPr>
                <w:rFonts w:ascii="Menlo" w:hAnsi="Menlo"/>
                <w:b w:val="0"/>
                <w:i w:val="0"/>
                <w:color w:val="263238"/>
                <w:sz w:val="16"/>
              </w:rPr>
              <w:t xml:space="preserve">  - camera: tracks_alongside</w:t>
              <w:br/>
            </w:r>
            <w:r>
              <w:rPr>
                <w:rFonts w:ascii="Menlo" w:hAnsi="Menlo"/>
                <w:b w:val="0"/>
                <w:i w:val="0"/>
                <w:color w:val="263238"/>
                <w:sz w:val="16"/>
              </w:rPr>
              <w:t xml:space="preserve">  - ends_with: close_up</w:t>
              <w:br/>
            </w:r>
            <w:r>
              <w:rPr>
                <w:rFonts w:ascii="Menlo" w:hAnsi="Menlo"/>
                <w:b w:val="0"/>
                <w:i w:val="0"/>
                <w:color w:val="263238"/>
                <w:sz w:val="16"/>
              </w:rPr>
              <w:t>style: cinematic_neo_noir</w:t>
              <w:br/>
            </w:r>
            <w:r>
              <w:rPr>
                <w:rFonts w:ascii="Menlo" w:hAnsi="Menlo"/>
                <w:b w:val="0"/>
                <w:i w:val="0"/>
                <w:color w:val="263238"/>
                <w:sz w:val="16"/>
              </w:rPr>
              <w:t>prohibited: [visible_text, additional_riders]</w:t>
            </w:r>
          </w:p>
        </w:tc>
      </w:tr>
    </w:tbl>
    <w:p>
      <w:pPr>
        <w:spacing w:after="40"/>
      </w:pPr>
    </w:p>
    <w:p>
      <w:pPr>
        <w:pStyle w:val="Heading2"/>
        <w:keepNext/>
      </w:pPr>
      <w:r>
        <w:rPr>
          <w:rFonts w:ascii="Calibri" w:hAnsi="Calibri"/>
          <w:b/>
          <w:i w:val="0"/>
          <w:color w:val="2E74B5"/>
          <w:sz w:val="26"/>
        </w:rPr>
        <w:t>Human-calibrated design quality</w:t>
      </w:r>
    </w:p>
    <w:p>
      <w:pPr>
        <w:keepNext w:val="0"/>
        <w:spacing w:before="0" w:after="120" w:line="264" w:lineRule="auto"/>
      </w:pPr>
      <w:r>
        <w:rPr>
          <w:rFonts w:ascii="Calibri" w:hAnsi="Calibri"/>
          <w:b w:val="0"/>
          <w:i w:val="0"/>
          <w:color w:val="111111"/>
          <w:sz w:val="22"/>
        </w:rPr>
        <w:t xml:space="preserve">Overall design quality remains use-case dependent. Define separate rubrics for advertising, cinematic narrative, product demonstration, instruction, social content, animation, and other intended outputs. Useful dimensions include composition and hierarchy, lighting and color, camera choice, stylistic coherence, editing and pacing, emotional or commercial effectiveness, originality, and audience/channel fit. </w:t>
      </w:r>
      <w:hyperlink r:id="rId53">
        <w:r>
          <w:rPr>
            <w:rFonts w:ascii="Calibri" w:hAnsi="Calibri"/>
            <w:color w:val="2E74B5"/>
            <w:u w:val="single"/>
            <w:sz w:val="22"/>
            <w:szCs w:val="22"/>
          </w:rPr>
          <w:t>VGA-Bench</w:t>
        </w:r>
      </w:hyperlink>
      <w:r>
        <w:rPr>
          <w:rFonts w:ascii="Calibri" w:hAnsi="Calibri"/>
          <w:b w:val="0"/>
          <w:i w:val="0"/>
          <w:color w:val="111111"/>
          <w:sz w:val="22"/>
        </w:rPr>
        <w:t xml:space="preserve"> similarly separates aesthetic, tagging, and generation-quality dimensions and develops assessors from human-labeled videos.</w:t>
      </w:r>
    </w:p>
    <w:p>
      <w:pPr>
        <w:pStyle w:val="ListNumber"/>
        <w:numPr>
          <w:ilvl w:val="0"/>
          <w:numId w:val="20"/>
        </w:numPr>
        <w:spacing w:after="160" w:line="280" w:lineRule="auto"/>
        <w:ind w:left="720" w:hanging="360"/>
      </w:pPr>
      <w:r>
        <w:rPr>
          <w:rFonts w:ascii="Calibri" w:hAnsi="Calibri"/>
          <w:b w:val="0"/>
          <w:i w:val="0"/>
          <w:color w:val="111111"/>
          <w:sz w:val="22"/>
        </w:rPr>
        <w:t xml:space="preserve">Use a multimodal </w:t>
      </w:r>
      <w:hyperlink r:id="rId25">
        <w:r>
          <w:rPr>
            <w:rFonts w:ascii="Calibri" w:hAnsi="Calibri"/>
            <w:color w:val="2E74B5"/>
            <w:u w:val="single"/>
            <w:sz w:val="22"/>
            <w:szCs w:val="22"/>
          </w:rPr>
          <w:t>G-Eval</w:t>
        </w:r>
      </w:hyperlink>
      <w:r>
        <w:rPr>
          <w:rFonts w:ascii="Calibri" w:hAnsi="Calibri"/>
          <w:b w:val="0"/>
          <w:i w:val="0"/>
          <w:color w:val="111111"/>
          <w:sz w:val="22"/>
        </w:rPr>
        <w:t>-style judge for residual aesthetic and brand criteria when it can inspect the required frames or clip evidence. Supply a frozen, task-family-specific rubric and request pairwise preference with time-coded evidence; do not ask it to determine objective integrity, factual prompt assertions, or safety compliance.</w:t>
      </w:r>
    </w:p>
    <w:p>
      <w:pPr>
        <w:pStyle w:val="ListNumber"/>
        <w:numPr>
          <w:ilvl w:val="0"/>
          <w:numId w:val="20"/>
        </w:numPr>
        <w:spacing w:after="160" w:line="280" w:lineRule="auto"/>
        <w:ind w:left="720" w:hanging="360"/>
      </w:pPr>
      <w:r>
        <w:rPr>
          <w:rFonts w:ascii="Calibri" w:hAnsi="Calibri"/>
          <w:b w:val="0"/>
          <w:i w:val="0"/>
          <w:color w:val="111111"/>
          <w:sz w:val="22"/>
        </w:rPr>
        <w:t>Prefer blinded, randomized pairwise comparisons over unanchored absolute ratings. Include ties and “both unacceptable.”</w:t>
      </w:r>
    </w:p>
    <w:p>
      <w:pPr>
        <w:pStyle w:val="ListNumber"/>
        <w:numPr>
          <w:ilvl w:val="0"/>
          <w:numId w:val="20"/>
        </w:numPr>
        <w:spacing w:after="160" w:line="280" w:lineRule="auto"/>
        <w:ind w:left="720" w:hanging="360"/>
      </w:pPr>
      <w:r>
        <w:rPr>
          <w:rFonts w:ascii="Calibri" w:hAnsi="Calibri"/>
          <w:b w:val="0"/>
          <w:i w:val="0"/>
          <w:color w:val="111111"/>
          <w:sz w:val="22"/>
        </w:rPr>
        <w:t>Use at least a stratified multi-rater calibration set; measure agreement, position bias, slice-specific false passes, and judge-model drift. Adjudicate consequential disagreement.</w:t>
      </w:r>
    </w:p>
    <w:p>
      <w:pPr>
        <w:pStyle w:val="ListNumber"/>
        <w:numPr>
          <w:ilvl w:val="0"/>
          <w:numId w:val="20"/>
        </w:numPr>
        <w:spacing w:after="160" w:line="280" w:lineRule="auto"/>
        <w:ind w:left="720" w:hanging="360"/>
      </w:pPr>
      <w:r>
        <w:rPr>
          <w:rFonts w:ascii="Calibri" w:hAnsi="Calibri"/>
          <w:b w:val="0"/>
          <w:i w:val="0"/>
          <w:color w:val="111111"/>
          <w:sz w:val="22"/>
        </w:rPr>
        <w:t>Fit a Bradley–Terry, Thurstone, or comparable preference model within each task family. Do not pool incompatible aesthetic intents into a universal ranking.</w:t>
      </w:r>
    </w:p>
    <w:p>
      <w:pPr>
        <w:pStyle w:val="ListNumber"/>
        <w:numPr>
          <w:ilvl w:val="0"/>
          <w:numId w:val="20"/>
        </w:numPr>
        <w:spacing w:after="160" w:line="280" w:lineRule="auto"/>
        <w:ind w:left="720" w:hanging="360"/>
      </w:pPr>
      <w:r>
        <w:rPr>
          <w:rFonts w:ascii="Calibri" w:hAnsi="Calibri"/>
          <w:b w:val="0"/>
          <w:i w:val="0"/>
          <w:color w:val="111111"/>
          <w:sz w:val="22"/>
        </w:rPr>
        <w:t>Use automated aesthetic or multimodal graders for triage and active sampling, then continuously audit them against fresh human labels. Keep the human-approved holdout sequestered from optimizer feedback.</w:t>
      </w:r>
    </w:p>
    <w:p>
      <w:pPr>
        <w:pStyle w:val="Heading2"/>
        <w:keepNext/>
      </w:pPr>
      <w:r>
        <w:rPr>
          <w:rFonts w:ascii="Calibri" w:hAnsi="Calibri"/>
          <w:b/>
          <w:i w:val="0"/>
          <w:color w:val="2E74B5"/>
          <w:sz w:val="26"/>
        </w:rPr>
        <w:t>Video experiment design and decision policy</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600"/>
        <w:gridCol w:w="5000"/>
        <w:gridCol w:w="2760"/>
      </w:tblGrid>
      <w:tr>
        <w:trPr>
          <w:tblHeader w:val="true"/>
          <w:cantSplit/>
        </w:trPr>
        <w:tc>
          <w:tcPr>
            <w:tcW w:type="dxa" w:w="16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Phase</w:t>
            </w:r>
          </w:p>
        </w:tc>
        <w:tc>
          <w:tcPr>
            <w:tcW w:type="dxa" w:w="50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Video-specific work</w:t>
            </w:r>
          </w:p>
        </w:tc>
        <w:tc>
          <w:tcPr>
            <w:tcW w:type="dxa" w:w="276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Exit condition</w:t>
            </w:r>
          </w:p>
        </w:tc>
      </w:tr>
      <w:tr>
        <w:trPr>
          <w:cantSplit/>
        </w:trPr>
        <w:tc>
          <w:tcPr>
            <w:tcW w:type="dxa" w:w="1600"/>
            <w:tcMar>
              <w:top w:w="80" w:type="dxa"/>
              <w:start w:w="120" w:type="dxa"/>
              <w:bottom w:w="80" w:type="dxa"/>
              <w:end w:w="120" w:type="dxa"/>
            </w:tcMar>
            <w:vAlign w:val="center"/>
          </w:tcPr>
          <w:p>
            <w:pPr>
              <w:spacing w:after="0" w:line="257" w:lineRule="auto"/>
            </w:pPr>
            <w:r>
              <w:rPr>
                <w:rFonts w:ascii="Calibri" w:hAnsi="Calibri"/>
                <w:b w:val="0"/>
                <w:i w:val="0"/>
                <w:color w:val="111111"/>
                <w:sz w:val="16"/>
              </w:rPr>
              <w:t>0 — Foundation</w:t>
            </w:r>
          </w:p>
        </w:tc>
        <w:tc>
          <w:tcPr>
            <w:tcW w:type="dxa" w:w="5000"/>
            <w:tcMar>
              <w:top w:w="80" w:type="dxa"/>
              <w:start w:w="120" w:type="dxa"/>
              <w:bottom w:w="80" w:type="dxa"/>
              <w:end w:w="120" w:type="dxa"/>
            </w:tcMar>
            <w:vAlign w:val="center"/>
          </w:tcPr>
          <w:p>
            <w:pPr>
              <w:spacing w:after="0" w:line="257" w:lineRule="auto"/>
            </w:pPr>
            <w:r>
              <w:rPr>
                <w:rFonts w:ascii="Calibri" w:hAnsi="Calibri"/>
                <w:b w:val="0"/>
                <w:i w:val="0"/>
                <w:color w:val="111111"/>
                <w:sz w:val="16"/>
              </w:rPr>
              <w:t>Freeze media/job schemas, prompt assertion compiler, prompt slices, artifact storage, deterministic integrity checks, and human rubric.</w:t>
            </w:r>
          </w:p>
        </w:tc>
        <w:tc>
          <w:tcPr>
            <w:tcW w:type="dxa" w:w="2760"/>
            <w:tcMar>
              <w:top w:w="80" w:type="dxa"/>
              <w:start w:w="120" w:type="dxa"/>
              <w:bottom w:w="80" w:type="dxa"/>
              <w:end w:w="120" w:type="dxa"/>
            </w:tcMar>
            <w:vAlign w:val="center"/>
          </w:tcPr>
          <w:p>
            <w:pPr>
              <w:spacing w:after="0" w:line="257" w:lineRule="auto"/>
            </w:pPr>
            <w:r>
              <w:rPr>
                <w:rFonts w:ascii="Calibri" w:hAnsi="Calibri"/>
                <w:b w:val="0"/>
                <w:i w:val="0"/>
                <w:color w:val="111111"/>
                <w:sz w:val="16"/>
              </w:rPr>
              <w:t>Artifacts replay and rescore without regeneration; scorers meet calibration thresholds.</w:t>
            </w:r>
          </w:p>
        </w:tc>
      </w:tr>
      <w:tr>
        <w:trPr>
          <w:cantSplit/>
        </w:trPr>
        <w:tc>
          <w:tcPr>
            <w:tcW w:type="dxa" w:w="1600"/>
            <w:tcMar>
              <w:top w:w="80" w:type="dxa"/>
              <w:start w:w="120" w:type="dxa"/>
              <w:bottom w:w="80" w:type="dxa"/>
              <w:end w:w="120" w:type="dxa"/>
            </w:tcMar>
            <w:vAlign w:val="center"/>
          </w:tcPr>
          <w:p>
            <w:pPr>
              <w:spacing w:after="0" w:line="257" w:lineRule="auto"/>
            </w:pPr>
            <w:r>
              <w:rPr>
                <w:rFonts w:ascii="Calibri" w:hAnsi="Calibri"/>
                <w:b w:val="0"/>
                <w:i w:val="0"/>
                <w:color w:val="111111"/>
                <w:sz w:val="16"/>
              </w:rPr>
              <w:t>1 — Model/workflow</w:t>
            </w:r>
          </w:p>
        </w:tc>
        <w:tc>
          <w:tcPr>
            <w:tcW w:type="dxa" w:w="5000"/>
            <w:tcMar>
              <w:top w:w="80" w:type="dxa"/>
              <w:start w:w="120" w:type="dxa"/>
              <w:bottom w:w="80" w:type="dxa"/>
              <w:end w:w="120" w:type="dxa"/>
            </w:tcMar>
            <w:vAlign w:val="center"/>
          </w:tcPr>
          <w:p>
            <w:pPr>
              <w:spacing w:after="0" w:line="257" w:lineRule="auto"/>
            </w:pPr>
            <w:r>
              <w:rPr>
                <w:rFonts w:ascii="Calibri" w:hAnsi="Calibri"/>
                <w:b w:val="0"/>
                <w:i w:val="0"/>
                <w:color w:val="111111"/>
                <w:sz w:val="16"/>
              </w:rPr>
              <w:t>Compare generator models and multi-step compositions under fixed provider, output format, attempts, and post-processing.</w:t>
            </w:r>
          </w:p>
        </w:tc>
        <w:tc>
          <w:tcPr>
            <w:tcW w:type="dxa" w:w="2760"/>
            <w:tcMar>
              <w:top w:w="80" w:type="dxa"/>
              <w:start w:w="120" w:type="dxa"/>
              <w:bottom w:w="80" w:type="dxa"/>
              <w:end w:w="120" w:type="dxa"/>
            </w:tcMar>
            <w:vAlign w:val="center"/>
          </w:tcPr>
          <w:p>
            <w:pPr>
              <w:spacing w:after="0" w:line="257" w:lineRule="auto"/>
            </w:pPr>
            <w:r>
              <w:rPr>
                <w:rFonts w:ascii="Calibri" w:hAnsi="Calibri"/>
                <w:b w:val="0"/>
                <w:i w:val="0"/>
                <w:color w:val="111111"/>
                <w:sz w:val="16"/>
              </w:rPr>
              <w:t>Quality-gated Pareto set with same-model/fewer-step controls and uncertainty.</w:t>
            </w:r>
          </w:p>
        </w:tc>
      </w:tr>
      <w:tr>
        <w:trPr>
          <w:cantSplit/>
        </w:trPr>
        <w:tc>
          <w:tcPr>
            <w:tcW w:type="dxa" w:w="1600"/>
            <w:tcMar>
              <w:top w:w="80" w:type="dxa"/>
              <w:start w:w="120" w:type="dxa"/>
              <w:bottom w:w="80" w:type="dxa"/>
              <w:end w:w="120" w:type="dxa"/>
            </w:tcMar>
            <w:vAlign w:val="center"/>
          </w:tcPr>
          <w:p>
            <w:pPr>
              <w:spacing w:after="0" w:line="257" w:lineRule="auto"/>
            </w:pPr>
            <w:r>
              <w:rPr>
                <w:rFonts w:ascii="Calibri" w:hAnsi="Calibri"/>
                <w:b w:val="0"/>
                <w:i w:val="0"/>
                <w:color w:val="111111"/>
                <w:sz w:val="16"/>
              </w:rPr>
              <w:t>1.5 — Performance</w:t>
            </w:r>
          </w:p>
        </w:tc>
        <w:tc>
          <w:tcPr>
            <w:tcW w:type="dxa" w:w="5000"/>
            <w:tcMar>
              <w:top w:w="80" w:type="dxa"/>
              <w:start w:w="120" w:type="dxa"/>
              <w:bottom w:w="80" w:type="dxa"/>
              <w:end w:w="120" w:type="dxa"/>
            </w:tcMar>
            <w:vAlign w:val="center"/>
          </w:tcPr>
          <w:p>
            <w:pPr>
              <w:spacing w:after="0" w:line="257" w:lineRule="auto"/>
            </w:pPr>
            <w:r>
              <w:rPr>
                <w:rFonts w:ascii="Calibri" w:hAnsi="Calibri"/>
                <w:b w:val="0"/>
                <w:i w:val="0"/>
                <w:color w:val="111111"/>
                <w:sz w:val="16"/>
              </w:rPr>
              <w:t>Tune prompt planning, reference assets, shot count, best-of-N policy, early rejection, post-processing, and parallel generation.</w:t>
            </w:r>
          </w:p>
        </w:tc>
        <w:tc>
          <w:tcPr>
            <w:tcW w:type="dxa" w:w="2760"/>
            <w:tcMar>
              <w:top w:w="80" w:type="dxa"/>
              <w:start w:w="120" w:type="dxa"/>
              <w:bottom w:w="80" w:type="dxa"/>
              <w:end w:w="120" w:type="dxa"/>
            </w:tcMar>
            <w:vAlign w:val="center"/>
          </w:tcPr>
          <w:p>
            <w:pPr>
              <w:spacing w:after="0" w:line="257" w:lineRule="auto"/>
            </w:pPr>
            <w:r>
              <w:rPr>
                <w:rFonts w:ascii="Calibri" w:hAnsi="Calibri"/>
                <w:b w:val="0"/>
                <w:i w:val="0"/>
                <w:color w:val="111111"/>
                <w:sz w:val="16"/>
              </w:rPr>
              <w:t>Lower cost/time per acceptable clip without quality or diversity regression.</w:t>
            </w:r>
          </w:p>
        </w:tc>
      </w:tr>
      <w:tr>
        <w:trPr>
          <w:cantSplit/>
        </w:trPr>
        <w:tc>
          <w:tcPr>
            <w:tcW w:type="dxa" w:w="1600"/>
            <w:tcMar>
              <w:top w:w="80" w:type="dxa"/>
              <w:start w:w="120" w:type="dxa"/>
              <w:bottom w:w="80" w:type="dxa"/>
              <w:end w:w="120" w:type="dxa"/>
            </w:tcMar>
            <w:vAlign w:val="center"/>
          </w:tcPr>
          <w:p>
            <w:pPr>
              <w:spacing w:after="0" w:line="257" w:lineRule="auto"/>
            </w:pPr>
            <w:r>
              <w:rPr>
                <w:rFonts w:ascii="Calibri" w:hAnsi="Calibri"/>
                <w:b w:val="0"/>
                <w:i w:val="0"/>
                <w:color w:val="111111"/>
                <w:sz w:val="16"/>
              </w:rPr>
              <w:t>2 — Provider/serving</w:t>
            </w:r>
          </w:p>
        </w:tc>
        <w:tc>
          <w:tcPr>
            <w:tcW w:type="dxa" w:w="5000"/>
            <w:tcMar>
              <w:top w:w="80" w:type="dxa"/>
              <w:start w:w="120" w:type="dxa"/>
              <w:bottom w:w="80" w:type="dxa"/>
              <w:end w:w="120" w:type="dxa"/>
            </w:tcMar>
            <w:vAlign w:val="center"/>
          </w:tcPr>
          <w:p>
            <w:pPr>
              <w:spacing w:after="0" w:line="257" w:lineRule="auto"/>
            </w:pPr>
            <w:r>
              <w:rPr>
                <w:rFonts w:ascii="Calibri" w:hAnsi="Calibri"/>
                <w:b w:val="0"/>
                <w:i w:val="0"/>
                <w:color w:val="111111"/>
                <w:sz w:val="16"/>
              </w:rPr>
              <w:t>Compare native deployments on quality equivalence, queue/generation latency, quotas, failures, moderation, artifact transfer, and landed cost.</w:t>
            </w:r>
          </w:p>
        </w:tc>
        <w:tc>
          <w:tcPr>
            <w:tcW w:type="dxa" w:w="2760"/>
            <w:tcMar>
              <w:top w:w="80" w:type="dxa"/>
              <w:start w:w="120" w:type="dxa"/>
              <w:bottom w:w="80" w:type="dxa"/>
              <w:end w:w="120" w:type="dxa"/>
            </w:tcMar>
            <w:vAlign w:val="center"/>
          </w:tcPr>
          <w:p>
            <w:pPr>
              <w:spacing w:after="0" w:line="257" w:lineRule="auto"/>
            </w:pPr>
            <w:r>
              <w:rPr>
                <w:rFonts w:ascii="Calibri" w:hAnsi="Calibri"/>
                <w:b w:val="0"/>
                <w:i w:val="0"/>
                <w:color w:val="111111"/>
                <w:sz w:val="16"/>
              </w:rPr>
              <w:t>Operating-mode deployment policy meeting deadline-success and quality gates.</w:t>
            </w:r>
          </w:p>
        </w:tc>
      </w:tr>
      <w:tr>
        <w:trPr>
          <w:cantSplit/>
        </w:trPr>
        <w:tc>
          <w:tcPr>
            <w:tcW w:type="dxa" w:w="1600"/>
            <w:tcMar>
              <w:top w:w="80" w:type="dxa"/>
              <w:start w:w="120" w:type="dxa"/>
              <w:bottom w:w="80" w:type="dxa"/>
              <w:end w:w="120" w:type="dxa"/>
            </w:tcMar>
            <w:vAlign w:val="center"/>
          </w:tcPr>
          <w:p>
            <w:pPr>
              <w:spacing w:after="0" w:line="257" w:lineRule="auto"/>
            </w:pPr>
            <w:r>
              <w:rPr>
                <w:rFonts w:ascii="Calibri" w:hAnsi="Calibri"/>
                <w:b w:val="0"/>
                <w:i w:val="0"/>
                <w:color w:val="111111"/>
                <w:sz w:val="16"/>
              </w:rPr>
              <w:t>3 — Continuous</w:t>
            </w:r>
          </w:p>
        </w:tc>
        <w:tc>
          <w:tcPr>
            <w:tcW w:type="dxa" w:w="5000"/>
            <w:tcMar>
              <w:top w:w="80" w:type="dxa"/>
              <w:start w:w="120" w:type="dxa"/>
              <w:bottom w:w="80" w:type="dxa"/>
              <w:end w:w="120" w:type="dxa"/>
            </w:tcMar>
            <w:vAlign w:val="center"/>
          </w:tcPr>
          <w:p>
            <w:pPr>
              <w:spacing w:after="0" w:line="257" w:lineRule="auto"/>
            </w:pPr>
            <w:r>
              <w:rPr>
                <w:rFonts w:ascii="Calibri" w:hAnsi="Calibri"/>
                <w:b w:val="0"/>
                <w:i w:val="0"/>
                <w:color w:val="111111"/>
                <w:sz w:val="16"/>
              </w:rPr>
              <w:t>Shadow new model versions, rotate prompts, sample human audits, monitor aesthetic/judge drift, and requalify on API or policy changes.</w:t>
            </w:r>
          </w:p>
        </w:tc>
        <w:tc>
          <w:tcPr>
            <w:tcW w:type="dxa" w:w="2760"/>
            <w:tcMar>
              <w:top w:w="80" w:type="dxa"/>
              <w:start w:w="120" w:type="dxa"/>
              <w:bottom w:w="80" w:type="dxa"/>
              <w:end w:w="120" w:type="dxa"/>
            </w:tcMar>
            <w:vAlign w:val="center"/>
          </w:tcPr>
          <w:p>
            <w:pPr>
              <w:spacing w:after="0" w:line="257" w:lineRule="auto"/>
            </w:pPr>
            <w:r>
              <w:rPr>
                <w:rFonts w:ascii="Calibri" w:hAnsi="Calibri"/>
                <w:b w:val="0"/>
                <w:i w:val="0"/>
                <w:color w:val="111111"/>
                <w:sz w:val="16"/>
              </w:rPr>
              <w:t>Versioned promotion or rollback with retained evidence.</w:t>
            </w:r>
          </w:p>
        </w:tc>
      </w:tr>
    </w:tbl>
    <w:p>
      <w:pPr>
        <w:spacing w:after="40"/>
      </w:pPr>
    </w:p>
    <w:p>
      <w:pPr>
        <w:keepNext w:val="0"/>
        <w:spacing w:before="0" w:after="120" w:line="264" w:lineRule="auto"/>
      </w:pPr>
      <w:r>
        <w:rPr>
          <w:rFonts w:ascii="Calibri" w:hAnsi="Calibri"/>
          <w:b w:val="0"/>
          <w:i w:val="0"/>
          <w:color w:val="111111"/>
          <w:sz w:val="22"/>
        </w:rPr>
        <w:t xml:space="preserve">Apply lexicographic gates: artifact integrity and safety → minimum prompt, character, and temporal requirements → any latency deadline → Pareto-optimize human preference, reliability, diversity, landed cost, and time. Report scores by task family and slice. </w:t>
      </w:r>
      <w:hyperlink r:id="rId54">
        <w:r>
          <w:rPr>
            <w:rFonts w:ascii="Calibri" w:hAnsi="Calibri"/>
            <w:color w:val="2E74B5"/>
            <w:u w:val="single"/>
            <w:sz w:val="22"/>
            <w:szCs w:val="22"/>
          </w:rPr>
          <w:t>VBench 2.0</w:t>
        </w:r>
      </w:hyperlink>
      <w:r>
        <w:rPr>
          <w:rFonts w:ascii="Calibri" w:hAnsi="Calibri"/>
          <w:b w:val="0"/>
          <w:i w:val="0"/>
          <w:color w:val="111111"/>
          <w:sz w:val="22"/>
        </w:rPr>
        <w:t>’s emphasis on human fidelity, controllability, physics, creativity, and commonsense reinforces the need to go beyond attractive individual frames.</w:t>
      </w:r>
    </w:p>
    <w:p>
      <w:pPr>
        <w:pStyle w:val="Heading1"/>
        <w:keepNext/>
      </w:pPr>
      <w:r>
        <w:rPr>
          <w:rFonts w:ascii="Calibri" w:hAnsi="Calibri"/>
          <w:b/>
          <w:i w:val="0"/>
          <w:color w:val="2E74B5"/>
          <w:sz w:val="32"/>
        </w:rPr>
        <w:t>10. External-client change: from local evaluation to client-hosted execution</w:t>
      </w:r>
    </w:p>
    <w:tbl>
      <w:tblPr>
        <w:tblW w:type="dxa" w:w="9360"/>
        <w:jc w:val="left"/>
        <w:tblLayout w:type="fixed"/>
        <w:tblLook w:firstColumn="1" w:firstRow="1" w:lastColumn="0" w:lastRow="0" w:noHBand="0" w:noVBand="1" w:val="04A0"/>
        <w:tblInd w:w="120" w:type="dxa"/>
        <w:tblBorders>
          <w:top w:val="single" w:sz="0" w:space="0" w:color="EEF3F8"/>
          <w:left w:val="single" w:sz="0" w:space="0" w:color="EEF3F8"/>
          <w:bottom w:val="single" w:sz="0" w:space="0" w:color="EEF3F8"/>
          <w:right w:val="single" w:sz="0" w:space="0" w:color="EEF3F8"/>
          <w:insideH w:val="single" w:sz="0" w:space="0" w:color="EEF3F8"/>
          <w:insideV w:val="single" w:sz="0" w:space="0" w:color="EEF3F8"/>
        </w:tblBorders>
      </w:tblPr>
      <w:tblGrid>
        <w:gridCol w:w="9360"/>
      </w:tblGrid>
      <w:tr>
        <w:trPr>
          <w:cantSplit/>
        </w:trPr>
        <w:tc>
          <w:tcPr>
            <w:tcW w:type="dxa" w:w="9360"/>
            <w:tcMar>
              <w:top w:w="80" w:type="dxa"/>
              <w:start w:w="120" w:type="dxa"/>
              <w:bottom w:w="80" w:type="dxa"/>
              <w:end w:w="120" w:type="dxa"/>
            </w:tcMar>
            <w:vAlign w:val="center"/>
            <w:shd w:fill="EEF3F8"/>
          </w:tcPr>
          <w:p>
            <w:pPr>
              <w:spacing w:after="0" w:line="269" w:lineRule="auto"/>
            </w:pPr>
            <w:r>
              <w:rPr>
                <w:rFonts w:ascii="Calibri" w:hAnsi="Calibri"/>
                <w:b/>
                <w:i w:val="0"/>
                <w:color w:val="1F4D78"/>
                <w:sz w:val="19"/>
              </w:rPr>
              <w:t xml:space="preserve">CHANGE FROM TODAY  </w:t>
            </w:r>
            <w:r>
              <w:rPr>
                <w:rFonts w:ascii="Calibri" w:hAnsi="Calibri"/>
                <w:b w:val="0"/>
                <w:i w:val="0"/>
                <w:color w:val="111111"/>
                <w:sz w:val="21"/>
              </w:rPr>
              <w:t>Today: The present evaluator operates inside the internal/local workflow boundary.  Change: Send signed declarative bundles into a client-controlled environment, keep secrets/raw data/traces local, and return only a policy-filtered result envelope with reproducibility evidence.  Proof: The MVP runs one approved client workflow and dataset in the client environment, proves denied fields cannot leave, and reproduces or rescores the signed baseline within declared tolerance.</w:t>
            </w:r>
          </w:p>
        </w:tc>
      </w:tr>
    </w:tbl>
    <w:p>
      <w:pPr>
        <w:spacing w:after="60"/>
      </w:pP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after="0" w:line="269" w:lineRule="auto"/>
            </w:pPr>
            <w:r>
              <w:rPr>
                <w:rFonts w:ascii="Calibri" w:hAnsi="Calibri"/>
                <w:b/>
                <w:i w:val="0"/>
                <w:color w:val="0B2545"/>
                <w:sz w:val="19"/>
              </w:rPr>
              <w:t xml:space="preserve">RECOMMENDED OPERATING MODEL  </w:t>
            </w:r>
            <w:r>
              <w:rPr>
                <w:rFonts w:ascii="Calibri" w:hAnsi="Calibri"/>
                <w:b w:val="0"/>
                <w:i w:val="0"/>
                <w:color w:val="111111"/>
                <w:sz w:val="21"/>
              </w:rPr>
              <w:t>Deploy a client-owned evaluation data plane in the client’s public cloud, private cloud, or on-premises environment. A separate vendor control plane publishes signed, versioned experiment bundles and receives only the result fields permitted by a client-owned release policy. Do not require client model keys, production credentials, prompts, outputs, or raw traces to leave the client trust boundary.</w:t>
            </w:r>
          </w:p>
        </w:tc>
      </w:tr>
    </w:tbl>
    <w:p>
      <w:pPr>
        <w:spacing w:after="60"/>
      </w:pPr>
    </w:p>
    <w:p>
      <w:pPr>
        <w:pStyle w:val="Heading2"/>
        <w:keepNext/>
      </w:pPr>
      <w:r>
        <w:rPr>
          <w:rFonts w:ascii="Calibri" w:hAnsi="Calibri"/>
          <w:b/>
          <w:i w:val="0"/>
          <w:color w:val="2E74B5"/>
          <w:sz w:val="26"/>
        </w:rPr>
        <w:t>Deployment patterns</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900"/>
        <w:gridCol w:w="3100"/>
        <w:gridCol w:w="2180"/>
        <w:gridCol w:w="2180"/>
      </w:tblGrid>
      <w:tr>
        <w:trPr>
          <w:tblHeader w:val="true"/>
          <w:cantSplit/>
        </w:trPr>
        <w:tc>
          <w:tcPr>
            <w:tcW w:type="dxa" w:w="19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Pattern</w:t>
            </w:r>
          </w:p>
        </w:tc>
        <w:tc>
          <w:tcPr>
            <w:tcW w:type="dxa" w:w="31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Data and credential boundary</w:t>
            </w:r>
          </w:p>
        </w:tc>
        <w:tc>
          <w:tcPr>
            <w:tcW w:type="dxa" w:w="218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Best fit</w:t>
            </w:r>
          </w:p>
        </w:tc>
        <w:tc>
          <w:tcPr>
            <w:tcW w:type="dxa" w:w="218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Trade-off / disposition</w:t>
            </w:r>
          </w:p>
        </w:tc>
      </w:tr>
      <w:tr>
        <w:trPr>
          <w:cantSplit/>
        </w:trPr>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5"/>
              </w:rPr>
              <w:t>Client-owned data plane + external control plane</w:t>
            </w:r>
          </w:p>
        </w:tc>
        <w:tc>
          <w:tcPr>
            <w:tcW w:type="dxa" w:w="3100"/>
            <w:tcMar>
              <w:top w:w="80" w:type="dxa"/>
              <w:start w:w="120" w:type="dxa"/>
              <w:bottom w:w="80" w:type="dxa"/>
              <w:end w:w="120" w:type="dxa"/>
            </w:tcMar>
            <w:vAlign w:val="center"/>
          </w:tcPr>
          <w:p>
            <w:pPr>
              <w:spacing w:after="0" w:line="257" w:lineRule="auto"/>
            </w:pPr>
            <w:r>
              <w:rPr>
                <w:rFonts w:ascii="Calibri" w:hAnsi="Calibri"/>
                <w:b w:val="0"/>
                <w:i w:val="0"/>
                <w:color w:val="111111"/>
                <w:sz w:val="15"/>
              </w:rPr>
              <w:t>Execution, secrets, datasets, raw artifacts and traces stay client-side; signed plans enter and filtered results leave.</w:t>
            </w:r>
          </w:p>
        </w:tc>
        <w:tc>
          <w:tcPr>
            <w:tcW w:type="dxa" w:w="2180"/>
            <w:tcMar>
              <w:top w:w="80" w:type="dxa"/>
              <w:start w:w="120" w:type="dxa"/>
              <w:bottom w:w="80" w:type="dxa"/>
              <w:end w:w="120" w:type="dxa"/>
            </w:tcMar>
            <w:vAlign w:val="center"/>
          </w:tcPr>
          <w:p>
            <w:pPr>
              <w:spacing w:after="0" w:line="257" w:lineRule="auto"/>
            </w:pPr>
            <w:r>
              <w:rPr>
                <w:rFonts w:ascii="Calibri" w:hAnsi="Calibri"/>
                <w:b w:val="0"/>
                <w:i w:val="0"/>
                <w:color w:val="111111"/>
                <w:sz w:val="15"/>
              </w:rPr>
              <w:t>Most public/private-cloud clients that allow tightly controlled outbound connectivity.</w:t>
            </w:r>
          </w:p>
        </w:tc>
        <w:tc>
          <w:tcPr>
            <w:tcW w:type="dxa" w:w="2180"/>
            <w:tcMar>
              <w:top w:w="80" w:type="dxa"/>
              <w:start w:w="120" w:type="dxa"/>
              <w:bottom w:w="80" w:type="dxa"/>
              <w:end w:w="120" w:type="dxa"/>
            </w:tcMar>
            <w:vAlign w:val="center"/>
          </w:tcPr>
          <w:p>
            <w:pPr>
              <w:spacing w:after="0" w:line="257" w:lineRule="auto"/>
            </w:pPr>
            <w:r>
              <w:rPr>
                <w:rFonts w:ascii="Calibri" w:hAnsi="Calibri"/>
                <w:b w:val="0"/>
                <w:i w:val="0"/>
                <w:color w:val="111111"/>
                <w:sz w:val="15"/>
              </w:rPr>
              <w:t>Recommended default. Preserves central orchestration while minimizing sensitive-data movement.</w:t>
            </w:r>
          </w:p>
        </w:tc>
      </w:tr>
      <w:tr>
        <w:trPr>
          <w:cantSplit/>
        </w:trPr>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5"/>
              </w:rPr>
              <w:t>Fully self-hosted or air-gapped</w:t>
            </w:r>
          </w:p>
        </w:tc>
        <w:tc>
          <w:tcPr>
            <w:tcW w:type="dxa" w:w="3100"/>
            <w:tcMar>
              <w:top w:w="80" w:type="dxa"/>
              <w:start w:w="120" w:type="dxa"/>
              <w:bottom w:w="80" w:type="dxa"/>
              <w:end w:w="120" w:type="dxa"/>
            </w:tcMar>
            <w:vAlign w:val="center"/>
          </w:tcPr>
          <w:p>
            <w:pPr>
              <w:spacing w:after="0" w:line="257" w:lineRule="auto"/>
            </w:pPr>
            <w:r>
              <w:rPr>
                <w:rFonts w:ascii="Calibri" w:hAnsi="Calibri"/>
                <w:b w:val="0"/>
                <w:i w:val="0"/>
                <w:color w:val="111111"/>
                <w:sz w:val="15"/>
              </w:rPr>
              <w:t>Control plane, runners, storage, UI and model endpoints all run inside the client environment; updates arrive as offline signed bundles.</w:t>
            </w:r>
          </w:p>
        </w:tc>
        <w:tc>
          <w:tcPr>
            <w:tcW w:type="dxa" w:w="2180"/>
            <w:tcMar>
              <w:top w:w="80" w:type="dxa"/>
              <w:start w:w="120" w:type="dxa"/>
              <w:bottom w:w="80" w:type="dxa"/>
              <w:end w:w="120" w:type="dxa"/>
            </w:tcMar>
            <w:vAlign w:val="center"/>
          </w:tcPr>
          <w:p>
            <w:pPr>
              <w:spacing w:after="0" w:line="257" w:lineRule="auto"/>
            </w:pPr>
            <w:r>
              <w:rPr>
                <w:rFonts w:ascii="Calibri" w:hAnsi="Calibri"/>
                <w:b w:val="0"/>
                <w:i w:val="0"/>
                <w:color w:val="111111"/>
                <w:sz w:val="15"/>
              </w:rPr>
              <w:t>Regulated, classified, isolated, or no-egress environments.</w:t>
            </w:r>
          </w:p>
        </w:tc>
        <w:tc>
          <w:tcPr>
            <w:tcW w:type="dxa" w:w="2180"/>
            <w:tcMar>
              <w:top w:w="80" w:type="dxa"/>
              <w:start w:w="120" w:type="dxa"/>
              <w:bottom w:w="80" w:type="dxa"/>
              <w:end w:w="120" w:type="dxa"/>
            </w:tcMar>
            <w:vAlign w:val="center"/>
          </w:tcPr>
          <w:p>
            <w:pPr>
              <w:spacing w:after="0" w:line="257" w:lineRule="auto"/>
            </w:pPr>
            <w:r>
              <w:rPr>
                <w:rFonts w:ascii="Calibri" w:hAnsi="Calibri"/>
                <w:b w:val="0"/>
                <w:i w:val="0"/>
                <w:color w:val="111111"/>
                <w:sz w:val="15"/>
              </w:rPr>
              <w:t>Strongest boundary; client operates upgrades and support bundles, and fleet visibility is limited.</w:t>
            </w:r>
          </w:p>
        </w:tc>
      </w:tr>
      <w:tr>
        <w:trPr>
          <w:cantSplit/>
        </w:trPr>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5"/>
              </w:rPr>
              <w:t>Single-tenant managed deployment in client cloud</w:t>
            </w:r>
          </w:p>
        </w:tc>
        <w:tc>
          <w:tcPr>
            <w:tcW w:type="dxa" w:w="3100"/>
            <w:tcMar>
              <w:top w:w="80" w:type="dxa"/>
              <w:start w:w="120" w:type="dxa"/>
              <w:bottom w:w="80" w:type="dxa"/>
              <w:end w:w="120" w:type="dxa"/>
            </w:tcMar>
            <w:vAlign w:val="center"/>
          </w:tcPr>
          <w:p>
            <w:pPr>
              <w:spacing w:after="0" w:line="257" w:lineRule="auto"/>
            </w:pPr>
            <w:r>
              <w:rPr>
                <w:rFonts w:ascii="Calibri" w:hAnsi="Calibri"/>
                <w:b w:val="0"/>
                <w:i w:val="0"/>
                <w:color w:val="111111"/>
                <w:sz w:val="15"/>
              </w:rPr>
              <w:t>Dedicated account/project/VPC owned by or delegated to the client; vendor operates through approved roles.</w:t>
            </w:r>
          </w:p>
        </w:tc>
        <w:tc>
          <w:tcPr>
            <w:tcW w:type="dxa" w:w="2180"/>
            <w:tcMar>
              <w:top w:w="80" w:type="dxa"/>
              <w:start w:w="120" w:type="dxa"/>
              <w:bottom w:w="80" w:type="dxa"/>
              <w:end w:w="120" w:type="dxa"/>
            </w:tcMar>
            <w:vAlign w:val="center"/>
          </w:tcPr>
          <w:p>
            <w:pPr>
              <w:spacing w:after="0" w:line="257" w:lineRule="auto"/>
            </w:pPr>
            <w:r>
              <w:rPr>
                <w:rFonts w:ascii="Calibri" w:hAnsi="Calibri"/>
                <w:b w:val="0"/>
                <w:i w:val="0"/>
                <w:color w:val="111111"/>
                <w:sz w:val="15"/>
              </w:rPr>
              <w:t>Clients wanting operational support with dedicated infrastructure.</w:t>
            </w:r>
          </w:p>
        </w:tc>
        <w:tc>
          <w:tcPr>
            <w:tcW w:type="dxa" w:w="2180"/>
            <w:tcMar>
              <w:top w:w="80" w:type="dxa"/>
              <w:start w:w="120" w:type="dxa"/>
              <w:bottom w:w="80" w:type="dxa"/>
              <w:end w:w="120" w:type="dxa"/>
            </w:tcMar>
            <w:vAlign w:val="center"/>
          </w:tcPr>
          <w:p>
            <w:pPr>
              <w:spacing w:after="0" w:line="257" w:lineRule="auto"/>
            </w:pPr>
            <w:r>
              <w:rPr>
                <w:rFonts w:ascii="Calibri" w:hAnsi="Calibri"/>
                <w:b w:val="0"/>
                <w:i w:val="0"/>
                <w:color w:val="111111"/>
                <w:sz w:val="15"/>
              </w:rPr>
              <w:t>Good enterprise option; requires carefully scoped break-glass, support, logging and key-management controls.</w:t>
            </w:r>
          </w:p>
        </w:tc>
      </w:tr>
      <w:tr>
        <w:trPr>
          <w:cantSplit/>
        </w:trPr>
        <w:tc>
          <w:tcPr>
            <w:tcW w:type="dxa" w:w="1900"/>
            <w:tcMar>
              <w:top w:w="80" w:type="dxa"/>
              <w:start w:w="120" w:type="dxa"/>
              <w:bottom w:w="80" w:type="dxa"/>
              <w:end w:w="120" w:type="dxa"/>
            </w:tcMar>
            <w:vAlign w:val="center"/>
          </w:tcPr>
          <w:p>
            <w:pPr>
              <w:spacing w:after="0" w:line="257" w:lineRule="auto"/>
            </w:pPr>
            <w:r>
              <w:rPr>
                <w:rFonts w:ascii="Calibri" w:hAnsi="Calibri"/>
                <w:b w:val="0"/>
                <w:i w:val="0"/>
                <w:color w:val="111111"/>
                <w:sz w:val="15"/>
              </w:rPr>
              <w:t>Vendor-hosted SaaS runner</w:t>
            </w:r>
          </w:p>
        </w:tc>
        <w:tc>
          <w:tcPr>
            <w:tcW w:type="dxa" w:w="3100"/>
            <w:tcMar>
              <w:top w:w="80" w:type="dxa"/>
              <w:start w:w="120" w:type="dxa"/>
              <w:bottom w:w="80" w:type="dxa"/>
              <w:end w:w="120" w:type="dxa"/>
            </w:tcMar>
            <w:vAlign w:val="center"/>
          </w:tcPr>
          <w:p>
            <w:pPr>
              <w:spacing w:after="0" w:line="257" w:lineRule="auto"/>
            </w:pPr>
            <w:r>
              <w:rPr>
                <w:rFonts w:ascii="Calibri" w:hAnsi="Calibri"/>
                <w:b w:val="0"/>
                <w:i w:val="0"/>
                <w:color w:val="111111"/>
                <w:sz w:val="15"/>
              </w:rPr>
              <w:t>Tasks, artifacts and credentials cross into vendor infrastructure under a data-processing agreement.</w:t>
            </w:r>
          </w:p>
        </w:tc>
        <w:tc>
          <w:tcPr>
            <w:tcW w:type="dxa" w:w="2180"/>
            <w:tcMar>
              <w:top w:w="80" w:type="dxa"/>
              <w:start w:w="120" w:type="dxa"/>
              <w:bottom w:w="80" w:type="dxa"/>
              <w:end w:w="120" w:type="dxa"/>
            </w:tcMar>
            <w:vAlign w:val="center"/>
          </w:tcPr>
          <w:p>
            <w:pPr>
              <w:spacing w:after="0" w:line="257" w:lineRule="auto"/>
            </w:pPr>
            <w:r>
              <w:rPr>
                <w:rFonts w:ascii="Calibri" w:hAnsi="Calibri"/>
                <w:b w:val="0"/>
                <w:i w:val="0"/>
                <w:color w:val="111111"/>
                <w:sz w:val="15"/>
              </w:rPr>
              <w:t>Synthetic, public, or low-sensitivity evaluations.</w:t>
            </w:r>
          </w:p>
        </w:tc>
        <w:tc>
          <w:tcPr>
            <w:tcW w:type="dxa" w:w="2180"/>
            <w:tcMar>
              <w:top w:w="80" w:type="dxa"/>
              <w:start w:w="120" w:type="dxa"/>
              <w:bottom w:w="80" w:type="dxa"/>
              <w:end w:w="120" w:type="dxa"/>
            </w:tcMar>
            <w:vAlign w:val="center"/>
          </w:tcPr>
          <w:p>
            <w:pPr>
              <w:spacing w:after="0" w:line="257" w:lineRule="auto"/>
            </w:pPr>
            <w:r>
              <w:rPr>
                <w:rFonts w:ascii="Calibri" w:hAnsi="Calibri"/>
                <w:b w:val="0"/>
                <w:i w:val="0"/>
                <w:color w:val="111111"/>
                <w:sz w:val="15"/>
              </w:rPr>
              <w:t>Fastest onboarding but weakest fit for sensitive workflows; never the only supported architecture.</w:t>
            </w:r>
          </w:p>
        </w:tc>
      </w:tr>
    </w:tbl>
    <w:p>
      <w:pPr>
        <w:spacing w:after="40"/>
      </w:pPr>
    </w:p>
    <w:p>
      <w:pPr>
        <w:pStyle w:val="Heading2"/>
        <w:keepNext/>
      </w:pPr>
      <w:r>
        <w:rPr>
          <w:rFonts w:ascii="Calibri" w:hAnsi="Calibri"/>
          <w:b/>
          <w:i w:val="0"/>
          <w:color w:val="2E74B5"/>
          <w:sz w:val="26"/>
        </w:rPr>
        <w:t>Recommended trust-boundary architecture</w:t>
      </w:r>
    </w:p>
    <w:tbl>
      <w:tblPr>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9360"/>
      </w:tblGrid>
      <w:tr>
        <w:trPr>
          <w:cantSplit/>
        </w:trPr>
        <w:tc>
          <w:tcPr>
            <w:tcW w:type="dxa" w:w="9360"/>
            <w:tcMar>
              <w:top w:w="80" w:type="dxa"/>
              <w:start w:w="120" w:type="dxa"/>
              <w:bottom w:w="80" w:type="dxa"/>
              <w:end w:w="120" w:type="dxa"/>
            </w:tcMar>
            <w:vAlign w:val="center"/>
            <w:shd w:fill="F7F8FA"/>
          </w:tcPr>
          <w:p>
            <w:pPr>
              <w:spacing w:after="0" w:line="240" w:lineRule="auto"/>
            </w:pPr>
            <w:r>
              <w:rPr>
                <w:rFonts w:ascii="Menlo" w:hAnsi="Menlo"/>
                <w:b w:val="0"/>
                <w:i w:val="0"/>
                <w:color w:val="263238"/>
                <w:sz w:val="16"/>
              </w:rPr>
              <w:t>EXTERNAL CONTROL PLANE</w:t>
              <w:br/>
            </w:r>
            <w:r>
              <w:rPr>
                <w:rFonts w:ascii="Menlo" w:hAnsi="Menlo"/>
                <w:b w:val="0"/>
                <w:i w:val="0"/>
                <w:color w:val="263238"/>
                <w:sz w:val="16"/>
              </w:rPr>
              <w:t xml:space="preserve">  experiment registry | scheduler | release metadata | aggregate UI</w:t>
              <w:br/>
            </w:r>
            <w:r>
              <w:rPr>
                <w:rFonts w:ascii="Menlo" w:hAnsi="Menlo"/>
                <w:b w:val="0"/>
                <w:i w:val="0"/>
                <w:color w:val="263238"/>
                <w:sz w:val="16"/>
              </w:rPr>
              <w:t xml:space="preserve">            | signed, digest-pinned EvalBundle</w:t>
              <w:br/>
            </w:r>
            <w:r>
              <w:rPr>
                <w:rFonts w:ascii="Menlo" w:hAnsi="Menlo"/>
                <w:b w:val="0"/>
                <w:i w:val="0"/>
                <w:color w:val="263238"/>
                <w:sz w:val="16"/>
              </w:rPr>
              <w:t xml:space="preserve">            v</w:t>
              <w:br/>
            </w:r>
            <w:r>
              <w:rPr>
                <w:rFonts w:ascii="Menlo" w:hAnsi="Menlo"/>
                <w:b w:val="0"/>
                <w:i w:val="0"/>
                <w:color w:val="263238"/>
                <w:sz w:val="16"/>
              </w:rPr>
              <w:t>CLIENT ENVIRONMENT</w:t>
              <w:br/>
            </w:r>
            <w:r>
              <w:rPr>
                <w:rFonts w:ascii="Menlo" w:hAnsi="Menlo"/>
                <w:b w:val="0"/>
                <w:i w:val="0"/>
                <w:color w:val="263238"/>
                <w:sz w:val="16"/>
              </w:rPr>
              <w:t xml:space="preserve">  package verifier / admission policy</w:t>
              <w:br/>
            </w:r>
            <w:r>
              <w:rPr>
                <w:rFonts w:ascii="Menlo" w:hAnsi="Menlo"/>
                <w:b w:val="0"/>
                <w:i w:val="0"/>
                <w:color w:val="263238"/>
                <w:sz w:val="16"/>
              </w:rPr>
              <w:t xml:space="preserve">  local scheduler -&gt; sandboxed runners -&gt; workflow + model endpoints</w:t>
              <w:br/>
            </w:r>
            <w:r>
              <w:rPr>
                <w:rFonts w:ascii="Menlo" w:hAnsi="Menlo"/>
                <w:b w:val="0"/>
                <w:i w:val="0"/>
                <w:color w:val="263238"/>
                <w:sz w:val="16"/>
              </w:rPr>
              <w:t xml:space="preserve">  client secret manager              -&gt; local artifact / trace store</w:t>
              <w:br/>
            </w:r>
            <w:r>
              <w:rPr>
                <w:rFonts w:ascii="Menlo" w:hAnsi="Menlo"/>
                <w:b w:val="0"/>
                <w:i w:val="0"/>
                <w:color w:val="263238"/>
                <w:sz w:val="16"/>
              </w:rPr>
              <w:t xml:space="preserve">  scorer workers -&gt; report policy -&gt; local report / OTel collector</w:t>
              <w:br/>
            </w:r>
            <w:r>
              <w:rPr>
                <w:rFonts w:ascii="Menlo" w:hAnsi="Menlo"/>
                <w:b w:val="0"/>
                <w:i w:val="0"/>
                <w:color w:val="263238"/>
                <w:sz w:val="16"/>
              </w:rPr>
              <w:t xml:space="preserve">            | outbound mTLS: allowlisted, filtered result envelope only</w:t>
              <w:br/>
            </w:r>
            <w:r>
              <w:rPr>
                <w:rFonts w:ascii="Menlo" w:hAnsi="Menlo"/>
                <w:b w:val="0"/>
                <w:i w:val="0"/>
                <w:color w:val="263238"/>
                <w:sz w:val="16"/>
              </w:rPr>
              <w:t xml:space="preserve">            v</w:t>
              <w:br/>
            </w:r>
            <w:r>
              <w:rPr>
                <w:rFonts w:ascii="Menlo" w:hAnsi="Menlo"/>
                <w:b w:val="0"/>
                <w:i w:val="0"/>
                <w:color w:val="263238"/>
                <w:sz w:val="16"/>
              </w:rPr>
              <w:t>EXTERNAL CONTROL PLANE OR CLIENT-OWNED REPORTING UI</w:t>
            </w:r>
          </w:p>
        </w:tc>
      </w:tr>
    </w:tbl>
    <w:p>
      <w:pPr>
        <w:spacing w:after="40"/>
      </w:pPr>
    </w:p>
    <w:p>
      <w:pPr>
        <w:keepNext w:val="0"/>
        <w:spacing w:before="0" w:after="120" w:line="264" w:lineRule="auto"/>
      </w:pPr>
      <w:r>
        <w:rPr>
          <w:rFonts w:ascii="Calibri" w:hAnsi="Calibri"/>
          <w:b w:val="0"/>
          <w:i w:val="0"/>
          <w:color w:val="111111"/>
          <w:sz w:val="22"/>
        </w:rPr>
        <w:t>The local agent should make outbound connections or consume an approved queue so the client need not expose an inbound management port. Remote instructions must be declarative EvalBundles—not arbitrary shell sessions—and must be limited to approved task, adapter, scorer, resource, network, and retention policies. For fully isolated deployments, the same bundles and result envelopes move through an offline transfer process.</w:t>
      </w:r>
    </w:p>
    <w:p>
      <w:pPr>
        <w:pStyle w:val="Heading2"/>
        <w:keepNext/>
      </w:pPr>
      <w:r>
        <w:rPr>
          <w:rFonts w:ascii="Calibri" w:hAnsi="Calibri"/>
          <w:b/>
          <w:i w:val="0"/>
          <w:color w:val="2E74B5"/>
          <w:sz w:val="26"/>
        </w:rPr>
        <w:t>What an external client must provide</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880"/>
        <w:gridCol w:w="3750"/>
        <w:gridCol w:w="3730"/>
      </w:tblGrid>
      <w:tr>
        <w:trPr>
          <w:tblHeader w:val="true"/>
          <w:cantSplit/>
        </w:trPr>
        <w:tc>
          <w:tcPr>
            <w:tcW w:type="dxa" w:w="188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Client input</w:t>
            </w:r>
          </w:p>
        </w:tc>
        <w:tc>
          <w:tcPr>
            <w:tcW w:type="dxa" w:w="37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Minimum contents</w:t>
            </w:r>
          </w:p>
        </w:tc>
        <w:tc>
          <w:tcPr>
            <w:tcW w:type="dxa" w:w="373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Secure delivery and ownership</w:t>
            </w:r>
          </w:p>
        </w:tc>
      </w:tr>
      <w:tr>
        <w:trPr>
          <w:cantSplit/>
        </w:trPr>
        <w:tc>
          <w:tcPr>
            <w:tcW w:type="dxa" w:w="1880"/>
            <w:tcMar>
              <w:top w:w="80" w:type="dxa"/>
              <w:start w:w="120" w:type="dxa"/>
              <w:bottom w:w="80" w:type="dxa"/>
              <w:end w:w="120" w:type="dxa"/>
            </w:tcMar>
            <w:vAlign w:val="center"/>
          </w:tcPr>
          <w:p>
            <w:pPr>
              <w:spacing w:after="0" w:line="257" w:lineRule="auto"/>
            </w:pPr>
            <w:r>
              <w:rPr>
                <w:rFonts w:ascii="Calibri" w:hAnsi="Calibri"/>
                <w:b w:val="0"/>
                <w:i w:val="0"/>
                <w:color w:val="111111"/>
                <w:sz w:val="15"/>
              </w:rPr>
              <w:t>Task and dataset pack</w:t>
            </w:r>
          </w:p>
        </w:tc>
        <w:tc>
          <w:tcPr>
            <w:tcW w:type="dxa" w:w="3750"/>
            <w:tcMar>
              <w:top w:w="80" w:type="dxa"/>
              <w:start w:w="120" w:type="dxa"/>
              <w:bottom w:w="80" w:type="dxa"/>
              <w:end w:w="120" w:type="dxa"/>
            </w:tcMar>
            <w:vAlign w:val="center"/>
          </w:tcPr>
          <w:p>
            <w:pPr>
              <w:spacing w:after="0" w:line="257" w:lineRule="auto"/>
            </w:pPr>
            <w:r>
              <w:rPr>
                <w:rFonts w:ascii="Calibri" w:hAnsi="Calibri"/>
                <w:b w:val="0"/>
                <w:i w:val="0"/>
                <w:color w:val="111111"/>
                <w:sz w:val="15"/>
              </w:rPr>
              <w:t>Representative cases, slices, fixtures, expected outcomes, prohibited actions, licenses and data classification.</w:t>
            </w:r>
          </w:p>
        </w:tc>
        <w:tc>
          <w:tcPr>
            <w:tcW w:type="dxa" w:w="3730"/>
            <w:tcMar>
              <w:top w:w="80" w:type="dxa"/>
              <w:start w:w="120" w:type="dxa"/>
              <w:bottom w:w="80" w:type="dxa"/>
              <w:end w:w="120" w:type="dxa"/>
            </w:tcMar>
            <w:vAlign w:val="center"/>
          </w:tcPr>
          <w:p>
            <w:pPr>
              <w:spacing w:after="0" w:line="257" w:lineRule="auto"/>
            </w:pPr>
            <w:r>
              <w:rPr>
                <w:rFonts w:ascii="Calibri" w:hAnsi="Calibri"/>
                <w:b w:val="0"/>
                <w:i w:val="0"/>
                <w:color w:val="111111"/>
                <w:sz w:val="15"/>
              </w:rPr>
              <w:t>Prefer synthetic/redacted samples first; mount production-like data locally from client-owned storage. Hash/version every item.</w:t>
            </w:r>
          </w:p>
        </w:tc>
      </w:tr>
      <w:tr>
        <w:trPr>
          <w:cantSplit/>
        </w:trPr>
        <w:tc>
          <w:tcPr>
            <w:tcW w:type="dxa" w:w="1880"/>
            <w:tcMar>
              <w:top w:w="80" w:type="dxa"/>
              <w:start w:w="120" w:type="dxa"/>
              <w:bottom w:w="80" w:type="dxa"/>
              <w:end w:w="120" w:type="dxa"/>
            </w:tcMar>
            <w:vAlign w:val="center"/>
          </w:tcPr>
          <w:p>
            <w:pPr>
              <w:spacing w:after="0" w:line="257" w:lineRule="auto"/>
            </w:pPr>
            <w:r>
              <w:rPr>
                <w:rFonts w:ascii="Calibri" w:hAnsi="Calibri"/>
                <w:b w:val="0"/>
                <w:i w:val="0"/>
                <w:color w:val="111111"/>
                <w:sz w:val="15"/>
              </w:rPr>
              <w:t>Workflow invocation contract</w:t>
            </w:r>
          </w:p>
        </w:tc>
        <w:tc>
          <w:tcPr>
            <w:tcW w:type="dxa" w:w="3750"/>
            <w:tcMar>
              <w:top w:w="80" w:type="dxa"/>
              <w:start w:w="120" w:type="dxa"/>
              <w:bottom w:w="80" w:type="dxa"/>
              <w:end w:w="120" w:type="dxa"/>
            </w:tcMar>
            <w:vAlign w:val="center"/>
          </w:tcPr>
          <w:p>
            <w:pPr>
              <w:spacing w:after="0" w:line="257" w:lineRule="auto"/>
            </w:pPr>
            <w:r>
              <w:rPr>
                <w:rFonts w:ascii="Calibri" w:hAnsi="Calibri"/>
                <w:b w:val="0"/>
                <w:i w:val="0"/>
                <w:color w:val="111111"/>
                <w:sz w:val="15"/>
              </w:rPr>
              <w:t>Container, CLI, HTTP/OpenAPI, MCP, SDK or event interface; health check, timeout, cancellation and capability metadata.</w:t>
            </w:r>
          </w:p>
        </w:tc>
        <w:tc>
          <w:tcPr>
            <w:tcW w:type="dxa" w:w="3730"/>
            <w:tcMar>
              <w:top w:w="80" w:type="dxa"/>
              <w:start w:w="120" w:type="dxa"/>
              <w:bottom w:w="80" w:type="dxa"/>
              <w:end w:w="120" w:type="dxa"/>
            </w:tcMar>
            <w:vAlign w:val="center"/>
          </w:tcPr>
          <w:p>
            <w:pPr>
              <w:spacing w:after="0" w:line="257" w:lineRule="auto"/>
            </w:pPr>
            <w:r>
              <w:rPr>
                <w:rFonts w:ascii="Calibri" w:hAnsi="Calibri"/>
                <w:b w:val="0"/>
                <w:i w:val="0"/>
                <w:color w:val="111111"/>
                <w:sz w:val="15"/>
              </w:rPr>
              <w:t>Expose through a client-local endpoint or signed image; do not copy the application or credentials unless explicitly agreed.</w:t>
            </w:r>
          </w:p>
        </w:tc>
      </w:tr>
      <w:tr>
        <w:trPr>
          <w:cantSplit/>
        </w:trPr>
        <w:tc>
          <w:tcPr>
            <w:tcW w:type="dxa" w:w="1880"/>
            <w:tcMar>
              <w:top w:w="80" w:type="dxa"/>
              <w:start w:w="120" w:type="dxa"/>
              <w:bottom w:w="80" w:type="dxa"/>
              <w:end w:w="120" w:type="dxa"/>
            </w:tcMar>
            <w:vAlign w:val="center"/>
          </w:tcPr>
          <w:p>
            <w:pPr>
              <w:spacing w:after="0" w:line="257" w:lineRule="auto"/>
            </w:pPr>
            <w:r>
              <w:rPr>
                <w:rFonts w:ascii="Calibri" w:hAnsi="Calibri"/>
                <w:b w:val="0"/>
                <w:i w:val="0"/>
                <w:color w:val="111111"/>
                <w:sz w:val="15"/>
              </w:rPr>
              <w:t>Reset and replay contract</w:t>
            </w:r>
          </w:p>
        </w:tc>
        <w:tc>
          <w:tcPr>
            <w:tcW w:type="dxa" w:w="3750"/>
            <w:tcMar>
              <w:top w:w="80" w:type="dxa"/>
              <w:start w:w="120" w:type="dxa"/>
              <w:bottom w:w="80" w:type="dxa"/>
              <w:end w:w="120" w:type="dxa"/>
            </w:tcMar>
            <w:vAlign w:val="center"/>
          </w:tcPr>
          <w:p>
            <w:pPr>
              <w:spacing w:after="0" w:line="257" w:lineRule="auto"/>
            </w:pPr>
            <w:r>
              <w:rPr>
                <w:rFonts w:ascii="Calibri" w:hAnsi="Calibri"/>
                <w:b w:val="0"/>
                <w:i w:val="0"/>
                <w:color w:val="111111"/>
                <w:sz w:val="15"/>
              </w:rPr>
              <w:t>Environment seed/snapshot, setup, cleanup, idempotency, side-effect rules and verification queries.</w:t>
            </w:r>
          </w:p>
        </w:tc>
        <w:tc>
          <w:tcPr>
            <w:tcW w:type="dxa" w:w="3730"/>
            <w:tcMar>
              <w:top w:w="80" w:type="dxa"/>
              <w:start w:w="120" w:type="dxa"/>
              <w:bottom w:w="80" w:type="dxa"/>
              <w:end w:w="120" w:type="dxa"/>
            </w:tcMar>
            <w:vAlign w:val="center"/>
          </w:tcPr>
          <w:p>
            <w:pPr>
              <w:spacing w:after="0" w:line="257" w:lineRule="auto"/>
            </w:pPr>
            <w:r>
              <w:rPr>
                <w:rFonts w:ascii="Calibri" w:hAnsi="Calibri"/>
                <w:b w:val="0"/>
                <w:i w:val="0"/>
                <w:color w:val="111111"/>
                <w:sz w:val="15"/>
              </w:rPr>
              <w:t>Use ephemeral namespaces/accounts or approved non-production clones; destructive/live actions require separate gates.</w:t>
            </w:r>
          </w:p>
        </w:tc>
      </w:tr>
      <w:tr>
        <w:trPr>
          <w:cantSplit/>
        </w:trPr>
        <w:tc>
          <w:tcPr>
            <w:tcW w:type="dxa" w:w="1880"/>
            <w:tcMar>
              <w:top w:w="80" w:type="dxa"/>
              <w:start w:w="120" w:type="dxa"/>
              <w:bottom w:w="80" w:type="dxa"/>
              <w:end w:w="120" w:type="dxa"/>
            </w:tcMar>
            <w:vAlign w:val="center"/>
          </w:tcPr>
          <w:p>
            <w:pPr>
              <w:spacing w:after="0" w:line="257" w:lineRule="auto"/>
            </w:pPr>
            <w:r>
              <w:rPr>
                <w:rFonts w:ascii="Calibri" w:hAnsi="Calibri"/>
                <w:b w:val="0"/>
                <w:i w:val="0"/>
                <w:color w:val="111111"/>
                <w:sz w:val="15"/>
              </w:rPr>
              <w:t>Model and provider access</w:t>
            </w:r>
          </w:p>
        </w:tc>
        <w:tc>
          <w:tcPr>
            <w:tcW w:type="dxa" w:w="3750"/>
            <w:tcMar>
              <w:top w:w="80" w:type="dxa"/>
              <w:start w:w="120" w:type="dxa"/>
              <w:bottom w:w="80" w:type="dxa"/>
              <w:end w:w="120" w:type="dxa"/>
            </w:tcMar>
            <w:vAlign w:val="center"/>
          </w:tcPr>
          <w:p>
            <w:pPr>
              <w:spacing w:after="0" w:line="257" w:lineRule="auto"/>
            </w:pPr>
            <w:r>
              <w:rPr>
                <w:rFonts w:ascii="Calibri" w:hAnsi="Calibri"/>
                <w:b w:val="0"/>
                <w:i w:val="0"/>
                <w:color w:val="111111"/>
                <w:sz w:val="15"/>
              </w:rPr>
              <w:t>Permitted models, endpoints, regions, quotas, pricing basis, safety tier and deployment IDs.</w:t>
            </w:r>
          </w:p>
        </w:tc>
        <w:tc>
          <w:tcPr>
            <w:tcW w:type="dxa" w:w="3730"/>
            <w:tcMar>
              <w:top w:w="80" w:type="dxa"/>
              <w:start w:w="120" w:type="dxa"/>
              <w:bottom w:w="80" w:type="dxa"/>
              <w:end w:w="120" w:type="dxa"/>
            </w:tcMar>
            <w:vAlign w:val="center"/>
          </w:tcPr>
          <w:p>
            <w:pPr>
              <w:spacing w:after="0" w:line="257" w:lineRule="auto"/>
            </w:pPr>
            <w:r>
              <w:rPr>
                <w:rFonts w:ascii="Calibri" w:hAnsi="Calibri"/>
                <w:b w:val="0"/>
                <w:i w:val="0"/>
                <w:color w:val="111111"/>
                <w:sz w:val="15"/>
              </w:rPr>
              <w:t>Keys remain in the client secret manager and are injected as short-lived workload credentials; vendor personnel do not receive them.</w:t>
            </w:r>
          </w:p>
        </w:tc>
      </w:tr>
      <w:tr>
        <w:trPr>
          <w:cantSplit/>
        </w:trPr>
        <w:tc>
          <w:tcPr>
            <w:tcW w:type="dxa" w:w="1880"/>
            <w:tcMar>
              <w:top w:w="80" w:type="dxa"/>
              <w:start w:w="120" w:type="dxa"/>
              <w:bottom w:w="80" w:type="dxa"/>
              <w:end w:w="120" w:type="dxa"/>
            </w:tcMar>
            <w:vAlign w:val="center"/>
          </w:tcPr>
          <w:p>
            <w:pPr>
              <w:spacing w:after="0" w:line="257" w:lineRule="auto"/>
            </w:pPr>
            <w:r>
              <w:rPr>
                <w:rFonts w:ascii="Calibri" w:hAnsi="Calibri"/>
                <w:b w:val="0"/>
                <w:i w:val="0"/>
                <w:color w:val="111111"/>
                <w:sz w:val="15"/>
              </w:rPr>
              <w:t>Scoring specification</w:t>
            </w:r>
          </w:p>
        </w:tc>
        <w:tc>
          <w:tcPr>
            <w:tcW w:type="dxa" w:w="3750"/>
            <w:tcMar>
              <w:top w:w="80" w:type="dxa"/>
              <w:start w:w="120" w:type="dxa"/>
              <w:bottom w:w="80" w:type="dxa"/>
              <w:end w:w="120" w:type="dxa"/>
            </w:tcMar>
            <w:vAlign w:val="center"/>
          </w:tcPr>
          <w:p>
            <w:pPr>
              <w:spacing w:after="0" w:line="257" w:lineRule="auto"/>
            </w:pPr>
            <w:r>
              <w:rPr>
                <w:rFonts w:ascii="Calibri" w:hAnsi="Calibri"/>
                <w:b w:val="0"/>
                <w:i w:val="0"/>
                <w:color w:val="111111"/>
                <w:sz w:val="15"/>
              </w:rPr>
              <w:t>Outcome validators, rubrics, acceptance thresholds, judge policy, reference artifacts and human-review sample.</w:t>
            </w:r>
          </w:p>
        </w:tc>
        <w:tc>
          <w:tcPr>
            <w:tcW w:type="dxa" w:w="3730"/>
            <w:tcMar>
              <w:top w:w="80" w:type="dxa"/>
              <w:start w:w="120" w:type="dxa"/>
              <w:bottom w:w="80" w:type="dxa"/>
              <w:end w:w="120" w:type="dxa"/>
            </w:tcMar>
            <w:vAlign w:val="center"/>
          </w:tcPr>
          <w:p>
            <w:pPr>
              <w:spacing w:after="0" w:line="257" w:lineRule="auto"/>
            </w:pPr>
            <w:r>
              <w:rPr>
                <w:rFonts w:ascii="Calibri" w:hAnsi="Calibri"/>
                <w:b w:val="0"/>
                <w:i w:val="0"/>
                <w:color w:val="111111"/>
                <w:sz w:val="15"/>
              </w:rPr>
              <w:t>Client approves the scorer version and any data sent to judge models; sensitive judging can run entirely locally.</w:t>
            </w:r>
          </w:p>
        </w:tc>
      </w:tr>
      <w:tr>
        <w:trPr>
          <w:cantSplit/>
        </w:trPr>
        <w:tc>
          <w:tcPr>
            <w:tcW w:type="dxa" w:w="1880"/>
            <w:tcMar>
              <w:top w:w="80" w:type="dxa"/>
              <w:start w:w="120" w:type="dxa"/>
              <w:bottom w:w="80" w:type="dxa"/>
              <w:end w:w="120" w:type="dxa"/>
            </w:tcMar>
            <w:vAlign w:val="center"/>
          </w:tcPr>
          <w:p>
            <w:pPr>
              <w:spacing w:after="0" w:line="257" w:lineRule="auto"/>
            </w:pPr>
            <w:r>
              <w:rPr>
                <w:rFonts w:ascii="Calibri" w:hAnsi="Calibri"/>
                <w:b w:val="0"/>
                <w:i w:val="0"/>
                <w:color w:val="111111"/>
                <w:sz w:val="15"/>
              </w:rPr>
              <w:t>Operating constraints</w:t>
            </w:r>
          </w:p>
        </w:tc>
        <w:tc>
          <w:tcPr>
            <w:tcW w:type="dxa" w:w="3750"/>
            <w:tcMar>
              <w:top w:w="80" w:type="dxa"/>
              <w:start w:w="120" w:type="dxa"/>
              <w:bottom w:w="80" w:type="dxa"/>
              <w:end w:w="120" w:type="dxa"/>
            </w:tcMar>
            <w:vAlign w:val="center"/>
          </w:tcPr>
          <w:p>
            <w:pPr>
              <w:spacing w:after="0" w:line="257" w:lineRule="auto"/>
            </w:pPr>
            <w:r>
              <w:rPr>
                <w:rFonts w:ascii="Calibri" w:hAnsi="Calibri"/>
                <w:b w:val="0"/>
                <w:i w:val="0"/>
                <w:color w:val="111111"/>
                <w:sz w:val="15"/>
              </w:rPr>
              <w:t>Latency SLO, cost ceiling, concurrency, allowed tools/domains, retention, residency and incident process.</w:t>
            </w:r>
          </w:p>
        </w:tc>
        <w:tc>
          <w:tcPr>
            <w:tcW w:type="dxa" w:w="3730"/>
            <w:tcMar>
              <w:top w:w="80" w:type="dxa"/>
              <w:start w:w="120" w:type="dxa"/>
              <w:bottom w:w="80" w:type="dxa"/>
              <w:end w:w="120" w:type="dxa"/>
            </w:tcMar>
            <w:vAlign w:val="center"/>
          </w:tcPr>
          <w:p>
            <w:pPr>
              <w:spacing w:after="0" w:line="257" w:lineRule="auto"/>
            </w:pPr>
            <w:r>
              <w:rPr>
                <w:rFonts w:ascii="Calibri" w:hAnsi="Calibri"/>
                <w:b w:val="0"/>
                <w:i w:val="0"/>
                <w:color w:val="111111"/>
                <w:sz w:val="15"/>
              </w:rPr>
              <w:t>Encode as enforceable policy and quotas, not prose alone; client security owns exceptions.</w:t>
            </w:r>
          </w:p>
        </w:tc>
      </w:tr>
      <w:tr>
        <w:trPr>
          <w:cantSplit/>
        </w:trPr>
        <w:tc>
          <w:tcPr>
            <w:tcW w:type="dxa" w:w="1880"/>
            <w:tcMar>
              <w:top w:w="80" w:type="dxa"/>
              <w:start w:w="120" w:type="dxa"/>
              <w:bottom w:w="80" w:type="dxa"/>
              <w:end w:w="120" w:type="dxa"/>
            </w:tcMar>
            <w:vAlign w:val="center"/>
          </w:tcPr>
          <w:p>
            <w:pPr>
              <w:spacing w:after="0" w:line="257" w:lineRule="auto"/>
            </w:pPr>
            <w:r>
              <w:rPr>
                <w:rFonts w:ascii="Calibri" w:hAnsi="Calibri"/>
                <w:b w:val="0"/>
                <w:i w:val="0"/>
                <w:color w:val="111111"/>
                <w:sz w:val="15"/>
              </w:rPr>
              <w:t>Reporting policy</w:t>
            </w:r>
          </w:p>
        </w:tc>
        <w:tc>
          <w:tcPr>
            <w:tcW w:type="dxa" w:w="3750"/>
            <w:tcMar>
              <w:top w:w="80" w:type="dxa"/>
              <w:start w:w="120" w:type="dxa"/>
              <w:bottom w:w="80" w:type="dxa"/>
              <w:end w:w="120" w:type="dxa"/>
            </w:tcMar>
            <w:vAlign w:val="center"/>
          </w:tcPr>
          <w:p>
            <w:pPr>
              <w:spacing w:after="0" w:line="257" w:lineRule="auto"/>
            </w:pPr>
            <w:r>
              <w:rPr>
                <w:rFonts w:ascii="Calibri" w:hAnsi="Calibri"/>
                <w:b w:val="0"/>
                <w:i w:val="0"/>
                <w:color w:val="111111"/>
                <w:sz w:val="15"/>
              </w:rPr>
              <w:t>Permitted audiences and field-level rules for prompts, outputs, traces, identities, costs, failures and artifacts.</w:t>
            </w:r>
          </w:p>
        </w:tc>
        <w:tc>
          <w:tcPr>
            <w:tcW w:type="dxa" w:w="3730"/>
            <w:tcMar>
              <w:top w:w="80" w:type="dxa"/>
              <w:start w:w="120" w:type="dxa"/>
              <w:bottom w:w="80" w:type="dxa"/>
              <w:end w:w="120" w:type="dxa"/>
            </w:tcMar>
            <w:vAlign w:val="center"/>
          </w:tcPr>
          <w:p>
            <w:pPr>
              <w:spacing w:after="0" w:line="257" w:lineRule="auto"/>
            </w:pPr>
            <w:r>
              <w:rPr>
                <w:rFonts w:ascii="Calibri" w:hAnsi="Calibri"/>
                <w:b w:val="0"/>
                <w:i w:val="0"/>
                <w:color w:val="111111"/>
                <w:sz w:val="15"/>
              </w:rPr>
              <w:t>Client signs the release profile; filtering occurs before export and every export is logged.</w:t>
            </w:r>
          </w:p>
        </w:tc>
      </w:tr>
    </w:tbl>
    <w:p>
      <w:pPr>
        <w:spacing w:after="40"/>
      </w:pPr>
    </w:p>
    <w:p>
      <w:pPr>
        <w:pStyle w:val="Heading2"/>
        <w:keepNext/>
      </w:pPr>
      <w:r>
        <w:rPr>
          <w:rFonts w:ascii="Calibri" w:hAnsi="Calibri"/>
          <w:b/>
          <w:i w:val="0"/>
          <w:color w:val="2E74B5"/>
          <w:sz w:val="26"/>
        </w:rPr>
        <w:t>Security controls for client-hosted execution</w:t>
      </w:r>
    </w:p>
    <w:p>
      <w:pPr>
        <w:pStyle w:val="ListNumber"/>
        <w:numPr>
          <w:ilvl w:val="0"/>
          <w:numId w:val="21"/>
        </w:numPr>
        <w:spacing w:after="160" w:line="280" w:lineRule="auto"/>
        <w:ind w:left="720" w:hanging="360"/>
      </w:pPr>
      <w:r>
        <w:rPr>
          <w:rFonts w:ascii="Calibri" w:hAnsi="Calibri"/>
          <w:b w:val="0"/>
          <w:i w:val="0"/>
          <w:color w:val="111111"/>
          <w:sz w:val="22"/>
        </w:rPr>
        <w:t xml:space="preserve">Verify the software supply chain. Publish versioned OCI images and EvalBundles with immutable digests, SBOMs, vulnerability results and signed provenance. </w:t>
      </w:r>
      <w:hyperlink r:id="rId55">
        <w:r>
          <w:rPr>
            <w:rFonts w:ascii="Calibri" w:hAnsi="Calibri"/>
            <w:color w:val="2E74B5"/>
            <w:u w:val="single"/>
            <w:sz w:val="22"/>
            <w:szCs w:val="22"/>
          </w:rPr>
          <w:t>Sigstore Cosign</w:t>
        </w:r>
      </w:hyperlink>
      <w:r>
        <w:rPr>
          <w:rFonts w:ascii="Calibri" w:hAnsi="Calibri"/>
          <w:b w:val="0"/>
          <w:i w:val="0"/>
          <w:color w:val="111111"/>
          <w:sz w:val="22"/>
        </w:rPr>
        <w:t xml:space="preserve"> binds signatures to artifact digests, while </w:t>
      </w:r>
      <w:hyperlink r:id="rId56">
        <w:r>
          <w:rPr>
            <w:rFonts w:ascii="Calibri" w:hAnsi="Calibri"/>
            <w:color w:val="2E74B5"/>
            <w:u w:val="single"/>
            <w:sz w:val="22"/>
            <w:szCs w:val="22"/>
          </w:rPr>
          <w:t>SLSA provenance</w:t>
        </w:r>
      </w:hyperlink>
      <w:r>
        <w:rPr>
          <w:rFonts w:ascii="Calibri" w:hAnsi="Calibri"/>
          <w:b w:val="0"/>
          <w:i w:val="0"/>
          <w:color w:val="111111"/>
          <w:sz w:val="22"/>
        </w:rPr>
        <w:t xml:space="preserve"> records where, when and how an artifact was produced. Client admission policy must reject unsigned, unapproved or unpinned material.</w:t>
      </w:r>
    </w:p>
    <w:p>
      <w:pPr>
        <w:pStyle w:val="ListNumber"/>
        <w:numPr>
          <w:ilvl w:val="0"/>
          <w:numId w:val="21"/>
        </w:numPr>
        <w:spacing w:after="160" w:line="280" w:lineRule="auto"/>
        <w:ind w:left="720" w:hanging="360"/>
      </w:pPr>
      <w:r>
        <w:rPr>
          <w:rFonts w:ascii="Calibri" w:hAnsi="Calibri"/>
          <w:b w:val="0"/>
          <w:i w:val="0"/>
          <w:color w:val="111111"/>
          <w:sz w:val="22"/>
        </w:rPr>
        <w:t xml:space="preserve">Use workload identity instead of distributed static secrets. Cloud workload identity or </w:t>
      </w:r>
      <w:hyperlink r:id="rId57">
        <w:r>
          <w:rPr>
            <w:rFonts w:ascii="Calibri" w:hAnsi="Calibri"/>
            <w:color w:val="2E74B5"/>
            <w:u w:val="single"/>
            <w:sz w:val="22"/>
            <w:szCs w:val="22"/>
          </w:rPr>
          <w:t>SPIFFE/SPIRE</w:t>
        </w:r>
      </w:hyperlink>
      <w:r>
        <w:rPr>
          <w:rFonts w:ascii="Calibri" w:hAnsi="Calibri"/>
          <w:b w:val="0"/>
          <w:i w:val="0"/>
          <w:color w:val="111111"/>
          <w:sz w:val="22"/>
        </w:rPr>
        <w:t xml:space="preserve"> can issue short-lived, rotated identities suitable for mTLS across heterogeneous environments. Store model, database and application credentials only in the client’s secret manager; inject them at runtime with least privilege.</w:t>
      </w:r>
    </w:p>
    <w:p>
      <w:pPr>
        <w:pStyle w:val="ListNumber"/>
        <w:numPr>
          <w:ilvl w:val="0"/>
          <w:numId w:val="21"/>
        </w:numPr>
        <w:spacing w:after="160" w:line="280" w:lineRule="auto"/>
        <w:ind w:left="720" w:hanging="360"/>
      </w:pPr>
      <w:r>
        <w:rPr>
          <w:rFonts w:ascii="Calibri" w:hAnsi="Calibri"/>
          <w:b w:val="0"/>
          <w:i w:val="0"/>
          <w:color w:val="111111"/>
          <w:sz w:val="22"/>
        </w:rPr>
        <w:t>Default-deny network access. Prefer outbound-only control traffic, private endpoints for model/data services, DNS and egress allowlists, per-run network policies, explicit proxy logs and no public runner endpoints. Separate evaluation, support and break-glass identities.</w:t>
      </w:r>
    </w:p>
    <w:p>
      <w:pPr>
        <w:pStyle w:val="ListNumber"/>
        <w:numPr>
          <w:ilvl w:val="0"/>
          <w:numId w:val="21"/>
        </w:numPr>
        <w:spacing w:after="160" w:line="280" w:lineRule="auto"/>
        <w:ind w:left="720" w:hanging="360"/>
      </w:pPr>
      <w:r>
        <w:rPr>
          <w:rFonts w:ascii="Calibri" w:hAnsi="Calibri"/>
          <w:b w:val="0"/>
          <w:i w:val="0"/>
          <w:color w:val="111111"/>
          <w:sz w:val="22"/>
        </w:rPr>
        <w:t xml:space="preserve">Isolate execution. Use a dedicated client cluster/account for higher-risk workloads, or at minimum per-client namespaces, service accounts, quotas, network policies, storage keys and sandboxed containers/VMs. </w:t>
      </w:r>
      <w:hyperlink r:id="rId58">
        <w:r>
          <w:rPr>
            <w:rFonts w:ascii="Calibri" w:hAnsi="Calibri"/>
            <w:color w:val="2E74B5"/>
            <w:u w:val="single"/>
            <w:sz w:val="22"/>
            <w:szCs w:val="22"/>
          </w:rPr>
          <w:t>Kubernetes</w:t>
        </w:r>
      </w:hyperlink>
      <w:r>
        <w:rPr>
          <w:rFonts w:ascii="Calibri" w:hAnsi="Calibri"/>
          <w:b w:val="0"/>
          <w:i w:val="0"/>
          <w:color w:val="111111"/>
          <w:sz w:val="22"/>
        </w:rPr>
        <w:t xml:space="preserve"> cautions that namespaces alone require additional RBAC, network and data-plane controls for tenant isolation.</w:t>
      </w:r>
    </w:p>
    <w:p>
      <w:pPr>
        <w:pStyle w:val="ListNumber"/>
        <w:numPr>
          <w:ilvl w:val="0"/>
          <w:numId w:val="21"/>
        </w:numPr>
        <w:spacing w:after="160" w:line="280" w:lineRule="auto"/>
        <w:ind w:left="720" w:hanging="360"/>
      </w:pPr>
      <w:r>
        <w:rPr>
          <w:rFonts w:ascii="Calibri" w:hAnsi="Calibri"/>
          <w:b w:val="0"/>
          <w:i w:val="0"/>
          <w:color w:val="111111"/>
          <w:sz w:val="22"/>
        </w:rPr>
        <w:t xml:space="preserve">Enforce client-owned policy as code at admission, execution and export. </w:t>
      </w:r>
      <w:hyperlink r:id="rId18">
        <w:r>
          <w:rPr>
            <w:rFonts w:ascii="Calibri" w:hAnsi="Calibri"/>
            <w:color w:val="2E74B5"/>
            <w:u w:val="single"/>
            <w:sz w:val="22"/>
            <w:szCs w:val="22"/>
          </w:rPr>
          <w:t>OPA</w:t>
        </w:r>
      </w:hyperlink>
      <w:r>
        <w:rPr>
          <w:rFonts w:ascii="Calibri" w:hAnsi="Calibri"/>
          <w:b w:val="0"/>
          <w:i w:val="0"/>
          <w:color w:val="111111"/>
          <w:sz w:val="22"/>
        </w:rPr>
        <w:t xml:space="preserve"> provides a model-agnostic policy engine for structured decisions across services, </w:t>
      </w:r>
      <w:hyperlink r:id="rId58">
        <w:r>
          <w:rPr>
            <w:rFonts w:ascii="Calibri" w:hAnsi="Calibri"/>
            <w:color w:val="2E74B5"/>
            <w:u w:val="single"/>
            <w:sz w:val="22"/>
            <w:szCs w:val="22"/>
          </w:rPr>
          <w:t>Kubernetes</w:t>
        </w:r>
      </w:hyperlink>
      <w:r>
        <w:rPr>
          <w:rFonts w:ascii="Calibri" w:hAnsi="Calibri"/>
          <w:b w:val="0"/>
          <w:i w:val="0"/>
          <w:color w:val="111111"/>
          <w:sz w:val="22"/>
        </w:rPr>
        <w:t>, CI and gateways. Policy must bound images, commands, tools, destinations, budgets, retention, evaluator versions and releasable fields.</w:t>
      </w:r>
    </w:p>
    <w:p>
      <w:pPr>
        <w:pStyle w:val="ListNumber"/>
        <w:numPr>
          <w:ilvl w:val="0"/>
          <w:numId w:val="21"/>
        </w:numPr>
        <w:spacing w:after="160" w:line="280" w:lineRule="auto"/>
        <w:ind w:left="720" w:hanging="360"/>
      </w:pPr>
      <w:r>
        <w:rPr>
          <w:rFonts w:ascii="Calibri" w:hAnsi="Calibri"/>
          <w:b w:val="0"/>
          <w:i w:val="0"/>
          <w:color w:val="111111"/>
          <w:sz w:val="22"/>
        </w:rPr>
        <w:t xml:space="preserve">Filter at the source. Store raw artifacts and traces locally; derive an allowlisted result envelope before export. An in-environment </w:t>
      </w:r>
      <w:hyperlink r:id="rId59">
        <w:r>
          <w:rPr>
            <w:rFonts w:ascii="Calibri" w:hAnsi="Calibri"/>
            <w:color w:val="2E74B5"/>
            <w:u w:val="single"/>
            <w:sz w:val="22"/>
            <w:szCs w:val="22"/>
          </w:rPr>
          <w:t>OpenTelemetry Collector</w:t>
        </w:r>
      </w:hyperlink>
      <w:r>
        <w:rPr>
          <w:rFonts w:ascii="Calibri" w:hAnsi="Calibri"/>
          <w:b w:val="0"/>
          <w:i w:val="0"/>
          <w:color w:val="111111"/>
          <w:sz w:val="22"/>
        </w:rPr>
        <w:t xml:space="preserve"> can batch, encrypt and filter telemetry, and its redaction processor can remove non-allowed attributes or mask blocked values. Treat redaction as one defense, not a substitute for minimizing collection.</w:t>
      </w:r>
    </w:p>
    <w:p>
      <w:pPr>
        <w:pStyle w:val="ListNumber"/>
        <w:numPr>
          <w:ilvl w:val="0"/>
          <w:numId w:val="21"/>
        </w:numPr>
        <w:spacing w:after="160" w:line="280" w:lineRule="auto"/>
        <w:ind w:left="720" w:hanging="360"/>
      </w:pPr>
      <w:r>
        <w:rPr>
          <w:rFonts w:ascii="Calibri" w:hAnsi="Calibri"/>
          <w:b w:val="0"/>
          <w:i w:val="0"/>
          <w:color w:val="111111"/>
          <w:sz w:val="22"/>
        </w:rPr>
        <w:t>Protect data through its lifecycle: client-managed encryption keys where required, separate keys and storage prefixes per tenant/study, object locking or append-only evidence for promoted runs, explicit deletion/retention jobs, access audit logs and tested revocation. Confidential computing can be an optional additional control, not a replacement for these boundaries.</w:t>
      </w:r>
    </w:p>
    <w:p>
      <w:pPr>
        <w:pStyle w:val="ListNumber"/>
        <w:numPr>
          <w:ilvl w:val="0"/>
          <w:numId w:val="21"/>
        </w:numPr>
        <w:spacing w:after="160" w:line="280" w:lineRule="auto"/>
        <w:ind w:left="720" w:hanging="360"/>
      </w:pPr>
      <w:r>
        <w:rPr>
          <w:rFonts w:ascii="Calibri" w:hAnsi="Calibri"/>
          <w:b w:val="0"/>
          <w:i w:val="0"/>
          <w:color w:val="111111"/>
          <w:sz w:val="22"/>
        </w:rPr>
        <w:t xml:space="preserve">Design support without ambient access. Collect a client-approved diagnostic bundle containing versions, health metrics and redacted errors; require time-bounded approval for deeper access; log every support and export action. Follow a secure development and vulnerability-response process consistent with </w:t>
      </w:r>
      <w:hyperlink r:id="rId17">
        <w:r>
          <w:rPr>
            <w:rFonts w:ascii="Calibri" w:hAnsi="Calibri"/>
            <w:color w:val="2E74B5"/>
            <w:u w:val="single"/>
            <w:sz w:val="22"/>
            <w:szCs w:val="22"/>
          </w:rPr>
          <w:t>NIST SSDF</w:t>
        </w:r>
      </w:hyperlink>
      <w:r>
        <w:rPr>
          <w:rFonts w:ascii="Calibri" w:hAnsi="Calibri"/>
          <w:b w:val="0"/>
          <w:i w:val="0"/>
          <w:color w:val="111111"/>
          <w:sz w:val="22"/>
        </w:rPr>
        <w:t>.</w:t>
      </w:r>
    </w:p>
    <w:p>
      <w:pPr>
        <w:pStyle w:val="Heading2"/>
        <w:keepNext/>
      </w:pPr>
      <w:r>
        <w:rPr>
          <w:rFonts w:ascii="Calibri" w:hAnsi="Calibri"/>
          <w:b/>
          <w:i w:val="0"/>
          <w:color w:val="2E74B5"/>
          <w:sz w:val="26"/>
        </w:rPr>
        <w:t>Controlled presentation and information release</w:t>
      </w:r>
    </w:p>
    <w:p>
      <w:pPr>
        <w:keepNext w:val="0"/>
        <w:spacing w:before="0" w:after="120" w:line="264" w:lineRule="auto"/>
      </w:pPr>
      <w:r>
        <w:rPr>
          <w:rFonts w:ascii="Calibri" w:hAnsi="Calibri"/>
          <w:b w:val="0"/>
          <w:i w:val="0"/>
          <w:color w:val="111111"/>
          <w:sz w:val="22"/>
        </w:rPr>
        <w:t>Access control must operate on the canonical result model and materialized exports—not only by hiding fields in the browser. A versioned ReportProfile should allow or transform fields before data enters a dashboard, PDF, API response, warehouse share, or external control plane. Each view retains study ID, configuration hashes, scorer provenance, uncertainty and caveats so redaction does not make results misleading.</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500"/>
        <w:gridCol w:w="2050"/>
        <w:gridCol w:w="3500"/>
        <w:gridCol w:w="2310"/>
      </w:tblGrid>
      <w:tr>
        <w:trPr>
          <w:tblHeader w:val="true"/>
          <w:cantSplit/>
        </w:trPr>
        <w:tc>
          <w:tcPr>
            <w:tcW w:type="dxa" w:w="15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Release class</w:t>
            </w:r>
          </w:p>
        </w:tc>
        <w:tc>
          <w:tcPr>
            <w:tcW w:type="dxa" w:w="20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Typical audience</w:t>
            </w:r>
          </w:p>
        </w:tc>
        <w:tc>
          <w:tcPr>
            <w:tcW w:type="dxa" w:w="35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Permitted content</w:t>
            </w:r>
          </w:p>
        </w:tc>
        <w:tc>
          <w:tcPr>
            <w:tcW w:type="dxa" w:w="231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Usually withheld</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5"/>
              </w:rPr>
              <w:t>R0 — Raw restricted</w:t>
            </w:r>
          </w:p>
        </w:tc>
        <w:tc>
          <w:tcPr>
            <w:tcW w:type="dxa" w:w="2050"/>
            <w:tcMar>
              <w:top w:w="80" w:type="dxa"/>
              <w:start w:w="120" w:type="dxa"/>
              <w:bottom w:w="80" w:type="dxa"/>
              <w:end w:w="120" w:type="dxa"/>
            </w:tcMar>
            <w:vAlign w:val="center"/>
          </w:tcPr>
          <w:p>
            <w:pPr>
              <w:spacing w:after="0" w:line="257" w:lineRule="auto"/>
            </w:pPr>
            <w:r>
              <w:rPr>
                <w:rFonts w:ascii="Calibri" w:hAnsi="Calibri"/>
                <w:b w:val="0"/>
                <w:i w:val="0"/>
                <w:color w:val="111111"/>
                <w:sz w:val="15"/>
              </w:rPr>
              <w:t>Client evaluation and incident team</w:t>
            </w:r>
          </w:p>
        </w:tc>
        <w:tc>
          <w:tcPr>
            <w:tcW w:type="dxa" w:w="3500"/>
            <w:tcMar>
              <w:top w:w="80" w:type="dxa"/>
              <w:start w:w="120" w:type="dxa"/>
              <w:bottom w:w="80" w:type="dxa"/>
              <w:end w:w="120" w:type="dxa"/>
            </w:tcMar>
            <w:vAlign w:val="center"/>
          </w:tcPr>
          <w:p>
            <w:pPr>
              <w:spacing w:after="0" w:line="257" w:lineRule="auto"/>
            </w:pPr>
            <w:r>
              <w:rPr>
                <w:rFonts w:ascii="Calibri" w:hAnsi="Calibri"/>
                <w:b w:val="0"/>
                <w:i w:val="0"/>
                <w:color w:val="111111"/>
                <w:sz w:val="15"/>
              </w:rPr>
              <w:t>Full local prompts, outputs, artifacts, traces, judge evidence, route attempts and security events.</w:t>
            </w:r>
          </w:p>
        </w:tc>
        <w:tc>
          <w:tcPr>
            <w:tcW w:type="dxa" w:w="2310"/>
            <w:tcMar>
              <w:top w:w="80" w:type="dxa"/>
              <w:start w:w="120" w:type="dxa"/>
              <w:bottom w:w="80" w:type="dxa"/>
              <w:end w:w="120" w:type="dxa"/>
            </w:tcMar>
            <w:vAlign w:val="center"/>
          </w:tcPr>
          <w:p>
            <w:pPr>
              <w:spacing w:after="0" w:line="257" w:lineRule="auto"/>
            </w:pPr>
            <w:r>
              <w:rPr>
                <w:rFonts w:ascii="Calibri" w:hAnsi="Calibri"/>
                <w:b w:val="0"/>
                <w:i w:val="0"/>
                <w:color w:val="111111"/>
                <w:sz w:val="15"/>
              </w:rPr>
              <w:t>Nothing by default; access is tightly audited and retained briefly.</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5"/>
              </w:rPr>
              <w:t>R1 — Technical detail</w:t>
            </w:r>
          </w:p>
        </w:tc>
        <w:tc>
          <w:tcPr>
            <w:tcW w:type="dxa" w:w="2050"/>
            <w:tcMar>
              <w:top w:w="80" w:type="dxa"/>
              <w:start w:w="120" w:type="dxa"/>
              <w:bottom w:w="80" w:type="dxa"/>
              <w:end w:w="120" w:type="dxa"/>
            </w:tcMar>
            <w:vAlign w:val="center"/>
          </w:tcPr>
          <w:p>
            <w:pPr>
              <w:spacing w:after="0" w:line="257" w:lineRule="auto"/>
            </w:pPr>
            <w:r>
              <w:rPr>
                <w:rFonts w:ascii="Calibri" w:hAnsi="Calibri"/>
                <w:b w:val="0"/>
                <w:i w:val="0"/>
                <w:color w:val="111111"/>
                <w:sz w:val="15"/>
              </w:rPr>
              <w:t>Authorized client engineering and product owners</w:t>
            </w:r>
          </w:p>
        </w:tc>
        <w:tc>
          <w:tcPr>
            <w:tcW w:type="dxa" w:w="3500"/>
            <w:tcMar>
              <w:top w:w="80" w:type="dxa"/>
              <w:start w:w="120" w:type="dxa"/>
              <w:bottom w:w="80" w:type="dxa"/>
              <w:end w:w="120" w:type="dxa"/>
            </w:tcMar>
            <w:vAlign w:val="center"/>
          </w:tcPr>
          <w:p>
            <w:pPr>
              <w:spacing w:after="0" w:line="257" w:lineRule="auto"/>
            </w:pPr>
            <w:r>
              <w:rPr>
                <w:rFonts w:ascii="Calibri" w:hAnsi="Calibri"/>
                <w:b w:val="0"/>
                <w:i w:val="0"/>
                <w:color w:val="111111"/>
                <w:sz w:val="15"/>
              </w:rPr>
              <w:t>Task/slice results, selected redacted examples, workflow graph, model/deployment identity, latency/cost breakdown and failure taxonomy.</w:t>
            </w:r>
          </w:p>
        </w:tc>
        <w:tc>
          <w:tcPr>
            <w:tcW w:type="dxa" w:w="2310"/>
            <w:tcMar>
              <w:top w:w="80" w:type="dxa"/>
              <w:start w:w="120" w:type="dxa"/>
              <w:bottom w:w="80" w:type="dxa"/>
              <w:end w:w="120" w:type="dxa"/>
            </w:tcMar>
            <w:vAlign w:val="center"/>
          </w:tcPr>
          <w:p>
            <w:pPr>
              <w:spacing w:after="0" w:line="257" w:lineRule="auto"/>
            </w:pPr>
            <w:r>
              <w:rPr>
                <w:rFonts w:ascii="Calibri" w:hAnsi="Calibri"/>
                <w:b w:val="0"/>
                <w:i w:val="0"/>
                <w:color w:val="111111"/>
                <w:sz w:val="15"/>
              </w:rPr>
              <w:t>Secrets, unrelated customer data, hidden benchmark answers and unnecessary raw content.</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5"/>
              </w:rPr>
              <w:t>R2 — Decision report</w:t>
            </w:r>
          </w:p>
        </w:tc>
        <w:tc>
          <w:tcPr>
            <w:tcW w:type="dxa" w:w="2050"/>
            <w:tcMar>
              <w:top w:w="80" w:type="dxa"/>
              <w:start w:w="120" w:type="dxa"/>
              <w:bottom w:w="80" w:type="dxa"/>
              <w:end w:w="120" w:type="dxa"/>
            </w:tcMar>
            <w:vAlign w:val="center"/>
          </w:tcPr>
          <w:p>
            <w:pPr>
              <w:spacing w:after="0" w:line="257" w:lineRule="auto"/>
            </w:pPr>
            <w:r>
              <w:rPr>
                <w:rFonts w:ascii="Calibri" w:hAnsi="Calibri"/>
                <w:b w:val="0"/>
                <w:i w:val="0"/>
                <w:color w:val="111111"/>
                <w:sz w:val="15"/>
              </w:rPr>
              <w:t>Client executives, procurement and broader internal stakeholders</w:t>
            </w:r>
          </w:p>
        </w:tc>
        <w:tc>
          <w:tcPr>
            <w:tcW w:type="dxa" w:w="3500"/>
            <w:tcMar>
              <w:top w:w="80" w:type="dxa"/>
              <w:start w:w="120" w:type="dxa"/>
              <w:bottom w:w="80" w:type="dxa"/>
              <w:end w:w="120" w:type="dxa"/>
            </w:tcMar>
            <w:vAlign w:val="center"/>
          </w:tcPr>
          <w:p>
            <w:pPr>
              <w:spacing w:after="0" w:line="257" w:lineRule="auto"/>
            </w:pPr>
            <w:r>
              <w:rPr>
                <w:rFonts w:ascii="Calibri" w:hAnsi="Calibri"/>
                <w:b w:val="0"/>
                <w:i w:val="0"/>
                <w:color w:val="111111"/>
                <w:sz w:val="15"/>
              </w:rPr>
              <w:t>Quality gates, Pareto front, recommended policies, confidence intervals, landed economics, major risks and representative approved examples.</w:t>
            </w:r>
          </w:p>
        </w:tc>
        <w:tc>
          <w:tcPr>
            <w:tcW w:type="dxa" w:w="2310"/>
            <w:tcMar>
              <w:top w:w="80" w:type="dxa"/>
              <w:start w:w="120" w:type="dxa"/>
              <w:bottom w:w="80" w:type="dxa"/>
              <w:end w:w="120" w:type="dxa"/>
            </w:tcMar>
            <w:vAlign w:val="center"/>
          </w:tcPr>
          <w:p>
            <w:pPr>
              <w:spacing w:after="0" w:line="257" w:lineRule="auto"/>
            </w:pPr>
            <w:r>
              <w:rPr>
                <w:rFonts w:ascii="Calibri" w:hAnsi="Calibri"/>
                <w:b w:val="0"/>
                <w:i w:val="0"/>
                <w:color w:val="111111"/>
                <w:sz w:val="15"/>
              </w:rPr>
              <w:t>Raw prompts/traces, evaluator internals that expose holdouts, incident details and sensitive provider terms.</w:t>
            </w:r>
          </w:p>
        </w:tc>
      </w:tr>
      <w:tr>
        <w:trPr>
          <w:cantSplit/>
        </w:trPr>
        <w:tc>
          <w:tcPr>
            <w:tcW w:type="dxa" w:w="1500"/>
            <w:tcMar>
              <w:top w:w="80" w:type="dxa"/>
              <w:start w:w="120" w:type="dxa"/>
              <w:bottom w:w="80" w:type="dxa"/>
              <w:end w:w="120" w:type="dxa"/>
            </w:tcMar>
            <w:vAlign w:val="center"/>
          </w:tcPr>
          <w:p>
            <w:pPr>
              <w:spacing w:after="0" w:line="257" w:lineRule="auto"/>
            </w:pPr>
            <w:r>
              <w:rPr>
                <w:rFonts w:ascii="Calibri" w:hAnsi="Calibri"/>
                <w:b w:val="0"/>
                <w:i w:val="0"/>
                <w:color w:val="111111"/>
                <w:sz w:val="15"/>
              </w:rPr>
              <w:t>R3 — External/shareable</w:t>
            </w:r>
          </w:p>
        </w:tc>
        <w:tc>
          <w:tcPr>
            <w:tcW w:type="dxa" w:w="2050"/>
            <w:tcMar>
              <w:top w:w="80" w:type="dxa"/>
              <w:start w:w="120" w:type="dxa"/>
              <w:bottom w:w="80" w:type="dxa"/>
              <w:end w:w="120" w:type="dxa"/>
            </w:tcMar>
            <w:vAlign w:val="center"/>
          </w:tcPr>
          <w:p>
            <w:pPr>
              <w:spacing w:after="0" w:line="257" w:lineRule="auto"/>
            </w:pPr>
            <w:r>
              <w:rPr>
                <w:rFonts w:ascii="Calibri" w:hAnsi="Calibri"/>
                <w:b w:val="0"/>
                <w:i w:val="0"/>
                <w:color w:val="111111"/>
                <w:sz w:val="15"/>
              </w:rPr>
              <w:t>Client customers, partners or public audience</w:t>
            </w:r>
          </w:p>
        </w:tc>
        <w:tc>
          <w:tcPr>
            <w:tcW w:type="dxa" w:w="3500"/>
            <w:tcMar>
              <w:top w:w="80" w:type="dxa"/>
              <w:start w:w="120" w:type="dxa"/>
              <w:bottom w:w="80" w:type="dxa"/>
              <w:end w:w="120" w:type="dxa"/>
            </w:tcMar>
            <w:vAlign w:val="center"/>
          </w:tcPr>
          <w:p>
            <w:pPr>
              <w:spacing w:after="0" w:line="257" w:lineRule="auto"/>
            </w:pPr>
            <w:r>
              <w:rPr>
                <w:rFonts w:ascii="Calibri" w:hAnsi="Calibri"/>
                <w:b w:val="0"/>
                <w:i w:val="0"/>
                <w:color w:val="111111"/>
                <w:sz w:val="15"/>
              </w:rPr>
              <w:t>Client-approved aggregate metrics, methodology summary, declared limitations and non-sensitive examples.</w:t>
            </w:r>
          </w:p>
        </w:tc>
        <w:tc>
          <w:tcPr>
            <w:tcW w:type="dxa" w:w="2310"/>
            <w:tcMar>
              <w:top w:w="80" w:type="dxa"/>
              <w:start w:w="120" w:type="dxa"/>
              <w:bottom w:w="80" w:type="dxa"/>
              <w:end w:w="120" w:type="dxa"/>
            </w:tcMar>
            <w:vAlign w:val="center"/>
          </w:tcPr>
          <w:p>
            <w:pPr>
              <w:spacing w:after="0" w:line="257" w:lineRule="auto"/>
            </w:pPr>
            <w:r>
              <w:rPr>
                <w:rFonts w:ascii="Calibri" w:hAnsi="Calibri"/>
                <w:b w:val="0"/>
                <w:i w:val="0"/>
                <w:color w:val="111111"/>
                <w:sz w:val="15"/>
              </w:rPr>
              <w:t>Client identity where anonymized, confidential model/provider pricing, task data, raw failures and security findings.</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9360"/>
      </w:tblGrid>
      <w:tr>
        <w:trPr>
          <w:cantSplit/>
        </w:trPr>
        <w:tc>
          <w:tcPr>
            <w:tcW w:type="dxa" w:w="9360"/>
            <w:tcMar>
              <w:top w:w="80" w:type="dxa"/>
              <w:start w:w="120" w:type="dxa"/>
              <w:bottom w:w="80" w:type="dxa"/>
              <w:end w:w="120" w:type="dxa"/>
            </w:tcMar>
            <w:vAlign w:val="center"/>
            <w:shd w:fill="F7F8FA"/>
          </w:tcPr>
          <w:p>
            <w:pPr>
              <w:spacing w:after="0" w:line="240" w:lineRule="auto"/>
            </w:pPr>
            <w:r>
              <w:rPr>
                <w:rFonts w:ascii="Menlo" w:hAnsi="Menlo"/>
                <w:b w:val="0"/>
                <w:i w:val="0"/>
                <w:color w:val="263238"/>
                <w:sz w:val="16"/>
              </w:rPr>
              <w:t>ReportProfile:</w:t>
              <w:br/>
            </w:r>
            <w:r>
              <w:rPr>
                <w:rFonts w:ascii="Menlo" w:hAnsi="Menlo"/>
                <w:b w:val="0"/>
                <w:i w:val="0"/>
                <w:color w:val="263238"/>
                <w:sz w:val="16"/>
              </w:rPr>
              <w:t xml:space="preserve">  id: client_decision_v1</w:t>
              <w:br/>
            </w:r>
            <w:r>
              <w:rPr>
                <w:rFonts w:ascii="Menlo" w:hAnsi="Menlo"/>
                <w:b w:val="0"/>
                <w:i w:val="0"/>
                <w:color w:val="263238"/>
                <w:sz w:val="16"/>
              </w:rPr>
              <w:t xml:space="preserve">  audience: client_executive</w:t>
              <w:br/>
            </w:r>
            <w:r>
              <w:rPr>
                <w:rFonts w:ascii="Menlo" w:hAnsi="Menlo"/>
                <w:b w:val="0"/>
                <w:i w:val="0"/>
                <w:color w:val="263238"/>
                <w:sz w:val="16"/>
              </w:rPr>
              <w:t xml:space="preserve">  allow: [study_id, task_family, quality_gates, pareto_set,</w:t>
              <w:br/>
            </w:r>
            <w:r>
              <w:rPr>
                <w:rFonts w:ascii="Menlo" w:hAnsi="Menlo"/>
                <w:b w:val="0"/>
                <w:i w:val="0"/>
                <w:color w:val="263238"/>
                <w:sz w:val="16"/>
              </w:rPr>
              <w:t xml:space="preserve">          recommendation, confidence_intervals, landed_cost]</w:t>
              <w:br/>
            </w:r>
            <w:r>
              <w:rPr>
                <w:rFonts w:ascii="Menlo" w:hAnsi="Menlo"/>
                <w:b w:val="0"/>
                <w:i w:val="0"/>
                <w:color w:val="263238"/>
                <w:sz w:val="16"/>
              </w:rPr>
              <w:t xml:space="preserve">  transform:</w:t>
              <w:br/>
            </w:r>
            <w:r>
              <w:rPr>
                <w:rFonts w:ascii="Menlo" w:hAnsi="Menlo"/>
                <w:b w:val="0"/>
                <w:i w:val="0"/>
                <w:color w:val="263238"/>
                <w:sz w:val="16"/>
              </w:rPr>
              <w:t xml:space="preserve">    task_id: pseudonymize</w:t>
              <w:br/>
            </w:r>
            <w:r>
              <w:rPr>
                <w:rFonts w:ascii="Menlo" w:hAnsi="Menlo"/>
                <w:b w:val="0"/>
                <w:i w:val="0"/>
                <w:color w:val="263238"/>
                <w:sz w:val="16"/>
              </w:rPr>
              <w:t xml:space="preserve">    provider_price: aggregate</w:t>
              <w:br/>
            </w:r>
            <w:r>
              <w:rPr>
                <w:rFonts w:ascii="Menlo" w:hAnsi="Menlo"/>
                <w:b w:val="0"/>
                <w:i w:val="0"/>
                <w:color w:val="263238"/>
                <w:sz w:val="16"/>
              </w:rPr>
              <w:t xml:space="preserve">    examples: client_approved_only</w:t>
              <w:br/>
            </w:r>
            <w:r>
              <w:rPr>
                <w:rFonts w:ascii="Menlo" w:hAnsi="Menlo"/>
                <w:b w:val="0"/>
                <w:i w:val="0"/>
                <w:color w:val="263238"/>
                <w:sz w:val="16"/>
              </w:rPr>
              <w:t xml:space="preserve">  deny: [raw_prompt, raw_output, secrets, full_trace,</w:t>
              <w:br/>
            </w:r>
            <w:r>
              <w:rPr>
                <w:rFonts w:ascii="Menlo" w:hAnsi="Menlo"/>
                <w:b w:val="0"/>
                <w:i w:val="0"/>
                <w:color w:val="263238"/>
                <w:sz w:val="16"/>
              </w:rPr>
              <w:t xml:space="preserve">         holdout_answer, individual_rater_identity]</w:t>
              <w:br/>
            </w:r>
            <w:r>
              <w:rPr>
                <w:rFonts w:ascii="Menlo" w:hAnsi="Menlo"/>
                <w:b w:val="0"/>
                <w:i w:val="0"/>
                <w:color w:val="263238"/>
                <w:sz w:val="16"/>
              </w:rPr>
              <w:t xml:space="preserve">  minimum_provenance: [manifest_hash, scorer_versions, run_window]</w:t>
              <w:br/>
            </w:r>
            <w:r>
              <w:rPr>
                <w:rFonts w:ascii="Menlo" w:hAnsi="Menlo"/>
                <w:b w:val="0"/>
                <w:i w:val="0"/>
                <w:color w:val="263238"/>
                <w:sz w:val="16"/>
              </w:rPr>
              <w:t xml:space="preserve">  export_requires: [client_owner_approval, audit_event]</w:t>
            </w:r>
          </w:p>
        </w:tc>
      </w:tr>
    </w:tbl>
    <w:p>
      <w:pPr>
        <w:spacing w:after="40"/>
      </w:pPr>
    </w:p>
    <w:p>
      <w:pPr>
        <w:pStyle w:val="ListBullet"/>
        <w:spacing w:after="160" w:line="280" w:lineRule="auto"/>
        <w:ind w:left="720" w:hanging="360"/>
      </w:pPr>
      <w:r>
        <w:rPr>
          <w:rFonts w:ascii="Calibri" w:hAnsi="Calibri"/>
          <w:b w:val="0"/>
          <w:i w:val="0"/>
          <w:color w:val="111111"/>
          <w:sz w:val="22"/>
        </w:rPr>
        <w:t>Offer the same report model through a client-hosted UI, a vendor UI containing only exported envelopes, signed HTML/PDF decision reports, and machine-readable JSON/Parquet. The client chooses which surfaces are enabled.</w:t>
      </w:r>
    </w:p>
    <w:p>
      <w:pPr>
        <w:pStyle w:val="ListBullet"/>
        <w:spacing w:after="160" w:line="280" w:lineRule="auto"/>
        <w:ind w:left="720" w:hanging="360"/>
      </w:pPr>
      <w:r>
        <w:rPr>
          <w:rFonts w:ascii="Calibri" w:hAnsi="Calibri"/>
          <w:b w:val="0"/>
          <w:i w:val="0"/>
          <w:color w:val="111111"/>
          <w:sz w:val="22"/>
        </w:rPr>
        <w:t>Use client SSO and tenant-scoped RBAC/ABAC. Apply row, column, artifact and study-level permissions; prevent a report recipient from using drill-down or export APIs to bypass the selected release class.</w:t>
      </w:r>
    </w:p>
    <w:p>
      <w:pPr>
        <w:pStyle w:val="ListBullet"/>
        <w:spacing w:after="160" w:line="280" w:lineRule="auto"/>
        <w:ind w:left="720" w:hanging="360"/>
      </w:pPr>
      <w:r>
        <w:rPr>
          <w:rFonts w:ascii="Calibri" w:hAnsi="Calibri"/>
          <w:b w:val="0"/>
          <w:i w:val="0"/>
          <w:color w:val="111111"/>
          <w:sz w:val="22"/>
        </w:rPr>
        <w:t>Store report snapshots immutably with the ReportProfile hash. Later policy changes create a new materialization; they do not silently alter the historical evidence used for a decision.</w:t>
      </w:r>
    </w:p>
    <w:p>
      <w:pPr>
        <w:pStyle w:val="Heading2"/>
        <w:keepNext/>
      </w:pPr>
      <w:r>
        <w:rPr>
          <w:rFonts w:ascii="Calibri" w:hAnsi="Calibri"/>
          <w:b/>
          <w:i w:val="0"/>
          <w:color w:val="2E74B5"/>
          <w:sz w:val="26"/>
        </w:rPr>
        <w:t>Making external evaluations repeatable</w:t>
      </w:r>
    </w:p>
    <w:p>
      <w:pPr>
        <w:keepNext w:val="0"/>
        <w:spacing w:before="0" w:after="120" w:line="264" w:lineRule="auto"/>
      </w:pPr>
      <w:r>
        <w:rPr>
          <w:rFonts w:ascii="Calibri" w:hAnsi="Calibri"/>
          <w:b w:val="0"/>
          <w:i w:val="0"/>
          <w:color w:val="111111"/>
          <w:sz w:val="22"/>
        </w:rPr>
        <w:t>Every study should produce a signed Evaluation Capsule: a portable description of inputs, execution, evidence and release policy. Sensitive payloads may remain client-local; the capsule can reference them by client URI and cryptographic digest. Repeatability means another authorized runner can determine what changed and reproduce the evaluation within declared statistical tolerance—not that nondeterministic hosted models must emit identical text.</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2300"/>
        <w:gridCol w:w="7060"/>
      </w:tblGrid>
      <w:tr>
        <w:trPr>
          <w:tblHeader w:val="true"/>
          <w:cantSplit/>
        </w:trPr>
        <w:tc>
          <w:tcPr>
            <w:tcW w:type="dxa" w:w="23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Capsule component</w:t>
            </w:r>
          </w:p>
        </w:tc>
        <w:tc>
          <w:tcPr>
            <w:tcW w:type="dxa" w:w="706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Required pinned information</w:t>
            </w:r>
          </w:p>
        </w:tc>
      </w:tr>
      <w:tr>
        <w:trPr>
          <w:cantSplit/>
        </w:trPr>
        <w:tc>
          <w:tcPr>
            <w:tcW w:type="dxa" w:w="2300"/>
            <w:tcMar>
              <w:top w:w="80" w:type="dxa"/>
              <w:start w:w="120" w:type="dxa"/>
              <w:bottom w:w="80" w:type="dxa"/>
              <w:end w:w="120" w:type="dxa"/>
            </w:tcMar>
            <w:vAlign w:val="center"/>
          </w:tcPr>
          <w:p>
            <w:pPr>
              <w:spacing w:after="0" w:line="257" w:lineRule="auto"/>
            </w:pPr>
            <w:r>
              <w:rPr>
                <w:rFonts w:ascii="Calibri" w:hAnsi="Calibri"/>
                <w:b w:val="0"/>
                <w:i w:val="0"/>
                <w:color w:val="111111"/>
                <w:sz w:val="16"/>
              </w:rPr>
              <w:t>Study manifest</w:t>
            </w:r>
          </w:p>
        </w:tc>
        <w:tc>
          <w:tcPr>
            <w:tcW w:type="dxa" w:w="7060"/>
            <w:tcMar>
              <w:top w:w="80" w:type="dxa"/>
              <w:start w:w="120" w:type="dxa"/>
              <w:bottom w:w="80" w:type="dxa"/>
              <w:end w:w="120" w:type="dxa"/>
            </w:tcMar>
            <w:vAlign w:val="center"/>
          </w:tcPr>
          <w:p>
            <w:pPr>
              <w:spacing w:after="0" w:line="257" w:lineRule="auto"/>
            </w:pPr>
            <w:r>
              <w:rPr>
                <w:rFonts w:ascii="Calibri" w:hAnsi="Calibri"/>
                <w:b w:val="0"/>
                <w:i w:val="0"/>
                <w:color w:val="111111"/>
                <w:sz w:val="16"/>
              </w:rPr>
              <w:t>Study/task/slice IDs, hypotheses, gates, exclusions, search/stopping rules, operating mode and ReportProfile hash.</w:t>
            </w:r>
          </w:p>
        </w:tc>
      </w:tr>
      <w:tr>
        <w:trPr>
          <w:cantSplit/>
        </w:trPr>
        <w:tc>
          <w:tcPr>
            <w:tcW w:type="dxa" w:w="2300"/>
            <w:tcMar>
              <w:top w:w="80" w:type="dxa"/>
              <w:start w:w="120" w:type="dxa"/>
              <w:bottom w:w="80" w:type="dxa"/>
              <w:end w:w="120" w:type="dxa"/>
            </w:tcMar>
            <w:vAlign w:val="center"/>
          </w:tcPr>
          <w:p>
            <w:pPr>
              <w:spacing w:after="0" w:line="257" w:lineRule="auto"/>
            </w:pPr>
            <w:r>
              <w:rPr>
                <w:rFonts w:ascii="Calibri" w:hAnsi="Calibri"/>
                <w:b w:val="0"/>
                <w:i w:val="0"/>
                <w:color w:val="111111"/>
                <w:sz w:val="16"/>
              </w:rPr>
              <w:t>Task/environment</w:t>
            </w:r>
          </w:p>
        </w:tc>
        <w:tc>
          <w:tcPr>
            <w:tcW w:type="dxa" w:w="7060"/>
            <w:tcMar>
              <w:top w:w="80" w:type="dxa"/>
              <w:start w:w="120" w:type="dxa"/>
              <w:bottom w:w="80" w:type="dxa"/>
              <w:end w:w="120" w:type="dxa"/>
            </w:tcMar>
            <w:vAlign w:val="center"/>
          </w:tcPr>
          <w:p>
            <w:pPr>
              <w:spacing w:after="0" w:line="257" w:lineRule="auto"/>
            </w:pPr>
            <w:r>
              <w:rPr>
                <w:rFonts w:ascii="Calibri" w:hAnsi="Calibri"/>
                <w:b w:val="0"/>
                <w:i w:val="0"/>
                <w:color w:val="111111"/>
                <w:sz w:val="16"/>
              </w:rPr>
              <w:t>Dataset and fixture digests, licenses, reset image/snapshot, tool/data versions, locale/timezone, network and side-effect policy.</w:t>
            </w:r>
          </w:p>
        </w:tc>
      </w:tr>
      <w:tr>
        <w:trPr>
          <w:cantSplit/>
        </w:trPr>
        <w:tc>
          <w:tcPr>
            <w:tcW w:type="dxa" w:w="2300"/>
            <w:tcMar>
              <w:top w:w="80" w:type="dxa"/>
              <w:start w:w="120" w:type="dxa"/>
              <w:bottom w:w="80" w:type="dxa"/>
              <w:end w:w="120" w:type="dxa"/>
            </w:tcMar>
            <w:vAlign w:val="center"/>
          </w:tcPr>
          <w:p>
            <w:pPr>
              <w:spacing w:after="0" w:line="257" w:lineRule="auto"/>
            </w:pPr>
            <w:r>
              <w:rPr>
                <w:rFonts w:ascii="Calibri" w:hAnsi="Calibri"/>
                <w:b w:val="0"/>
                <w:i w:val="0"/>
                <w:color w:val="111111"/>
                <w:sz w:val="16"/>
              </w:rPr>
              <w:t>Workflow/deployments</w:t>
            </w:r>
          </w:p>
        </w:tc>
        <w:tc>
          <w:tcPr>
            <w:tcW w:type="dxa" w:w="7060"/>
            <w:tcMar>
              <w:top w:w="80" w:type="dxa"/>
              <w:start w:w="120" w:type="dxa"/>
              <w:bottom w:w="80" w:type="dxa"/>
              <w:end w:w="120" w:type="dxa"/>
            </w:tcMar>
            <w:vAlign w:val="center"/>
          </w:tcPr>
          <w:p>
            <w:pPr>
              <w:spacing w:after="0" w:line="257" w:lineRule="auto"/>
            </w:pPr>
            <w:r>
              <w:rPr>
                <w:rFonts w:ascii="Calibri" w:hAnsi="Calibri"/>
                <w:b w:val="0"/>
                <w:i w:val="0"/>
                <w:color w:val="111111"/>
                <w:sz w:val="16"/>
              </w:rPr>
              <w:t>Workflow, prompt, adapter and handoff revisions; model snapshots; provider, region/tier; serving engine, tokenizer, quantization and safety settings.</w:t>
            </w:r>
          </w:p>
        </w:tc>
      </w:tr>
      <w:tr>
        <w:trPr>
          <w:cantSplit/>
        </w:trPr>
        <w:tc>
          <w:tcPr>
            <w:tcW w:type="dxa" w:w="2300"/>
            <w:tcMar>
              <w:top w:w="80" w:type="dxa"/>
              <w:start w:w="120" w:type="dxa"/>
              <w:bottom w:w="80" w:type="dxa"/>
              <w:end w:w="120" w:type="dxa"/>
            </w:tcMar>
            <w:vAlign w:val="center"/>
          </w:tcPr>
          <w:p>
            <w:pPr>
              <w:spacing w:after="0" w:line="257" w:lineRule="auto"/>
            </w:pPr>
            <w:r>
              <w:rPr>
                <w:rFonts w:ascii="Calibri" w:hAnsi="Calibri"/>
                <w:b w:val="0"/>
                <w:i w:val="0"/>
                <w:color w:val="111111"/>
                <w:sz w:val="16"/>
              </w:rPr>
              <w:t>Execution</w:t>
            </w:r>
          </w:p>
        </w:tc>
        <w:tc>
          <w:tcPr>
            <w:tcW w:type="dxa" w:w="7060"/>
            <w:tcMar>
              <w:top w:w="80" w:type="dxa"/>
              <w:start w:w="120" w:type="dxa"/>
              <w:bottom w:w="80" w:type="dxa"/>
              <w:end w:w="120" w:type="dxa"/>
            </w:tcMar>
            <w:vAlign w:val="center"/>
          </w:tcPr>
          <w:p>
            <w:pPr>
              <w:spacing w:after="0" w:line="257" w:lineRule="auto"/>
            </w:pPr>
            <w:r>
              <w:rPr>
                <w:rFonts w:ascii="Calibri" w:hAnsi="Calibri"/>
                <w:b w:val="0"/>
                <w:i w:val="0"/>
                <w:color w:val="111111"/>
                <w:sz w:val="16"/>
              </w:rPr>
              <w:t>Runner/scorer image digests and signatures, evaluator configuration, seeds, attempt policy, concurrency, budgets, timeouts, retry/routing and cache sequence/namespace.</w:t>
            </w:r>
          </w:p>
        </w:tc>
      </w:tr>
      <w:tr>
        <w:trPr>
          <w:cantSplit/>
        </w:trPr>
        <w:tc>
          <w:tcPr>
            <w:tcW w:type="dxa" w:w="2300"/>
            <w:tcMar>
              <w:top w:w="80" w:type="dxa"/>
              <w:start w:w="120" w:type="dxa"/>
              <w:bottom w:w="80" w:type="dxa"/>
              <w:end w:w="120" w:type="dxa"/>
            </w:tcMar>
            <w:vAlign w:val="center"/>
          </w:tcPr>
          <w:p>
            <w:pPr>
              <w:spacing w:after="0" w:line="257" w:lineRule="auto"/>
            </w:pPr>
            <w:r>
              <w:rPr>
                <w:rFonts w:ascii="Calibri" w:hAnsi="Calibri"/>
                <w:b w:val="0"/>
                <w:i w:val="0"/>
                <w:color w:val="111111"/>
                <w:sz w:val="16"/>
              </w:rPr>
              <w:t>Evidence</w:t>
            </w:r>
          </w:p>
        </w:tc>
        <w:tc>
          <w:tcPr>
            <w:tcW w:type="dxa" w:w="7060"/>
            <w:tcMar>
              <w:top w:w="80" w:type="dxa"/>
              <w:start w:w="120" w:type="dxa"/>
              <w:bottom w:w="80" w:type="dxa"/>
              <w:end w:w="120" w:type="dxa"/>
            </w:tcMar>
            <w:vAlign w:val="center"/>
          </w:tcPr>
          <w:p>
            <w:pPr>
              <w:spacing w:after="0" w:line="257" w:lineRule="auto"/>
            </w:pPr>
            <w:r>
              <w:rPr>
                <w:rFonts w:ascii="Calibri" w:hAnsi="Calibri"/>
                <w:b w:val="0"/>
                <w:i w:val="0"/>
                <w:color w:val="111111"/>
                <w:sz w:val="16"/>
              </w:rPr>
              <w:t>Raw local trace/artifact hashes, normalized event export, usage invoices or telemetry, scorer outputs, human annotation version, failures and exclusions.</w:t>
            </w:r>
          </w:p>
        </w:tc>
      </w:tr>
      <w:tr>
        <w:trPr>
          <w:cantSplit/>
        </w:trPr>
        <w:tc>
          <w:tcPr>
            <w:tcW w:type="dxa" w:w="2300"/>
            <w:tcMar>
              <w:top w:w="80" w:type="dxa"/>
              <w:start w:w="120" w:type="dxa"/>
              <w:bottom w:w="80" w:type="dxa"/>
              <w:end w:w="120" w:type="dxa"/>
            </w:tcMar>
            <w:vAlign w:val="center"/>
          </w:tcPr>
          <w:p>
            <w:pPr>
              <w:spacing w:after="0" w:line="257" w:lineRule="auto"/>
            </w:pPr>
            <w:r>
              <w:rPr>
                <w:rFonts w:ascii="Calibri" w:hAnsi="Calibri"/>
                <w:b w:val="0"/>
                <w:i w:val="0"/>
                <w:color w:val="111111"/>
                <w:sz w:val="16"/>
              </w:rPr>
              <w:t>Environment facts</w:t>
            </w:r>
          </w:p>
        </w:tc>
        <w:tc>
          <w:tcPr>
            <w:tcW w:type="dxa" w:w="7060"/>
            <w:tcMar>
              <w:top w:w="80" w:type="dxa"/>
              <w:start w:w="120" w:type="dxa"/>
              <w:bottom w:w="80" w:type="dxa"/>
              <w:end w:w="120" w:type="dxa"/>
            </w:tcMar>
            <w:vAlign w:val="center"/>
          </w:tcPr>
          <w:p>
            <w:pPr>
              <w:spacing w:after="0" w:line="257" w:lineRule="auto"/>
            </w:pPr>
            <w:r>
              <w:rPr>
                <w:rFonts w:ascii="Calibri" w:hAnsi="Calibri"/>
                <w:b w:val="0"/>
                <w:i w:val="0"/>
                <w:color w:val="111111"/>
                <w:sz w:val="16"/>
              </w:rPr>
              <w:t>Hardware/accelerator, runtime/library versions, clock window, quotas, feature flags and known provider changes or incidents.</w:t>
            </w:r>
          </w:p>
        </w:tc>
      </w:tr>
      <w:tr>
        <w:trPr>
          <w:cantSplit/>
        </w:trPr>
        <w:tc>
          <w:tcPr>
            <w:tcW w:type="dxa" w:w="2300"/>
            <w:tcMar>
              <w:top w:w="80" w:type="dxa"/>
              <w:start w:w="120" w:type="dxa"/>
              <w:bottom w:w="80" w:type="dxa"/>
              <w:end w:w="120" w:type="dxa"/>
            </w:tcMar>
            <w:vAlign w:val="center"/>
          </w:tcPr>
          <w:p>
            <w:pPr>
              <w:spacing w:after="0" w:line="257" w:lineRule="auto"/>
            </w:pPr>
            <w:r>
              <w:rPr>
                <w:rFonts w:ascii="Calibri" w:hAnsi="Calibri"/>
                <w:b w:val="0"/>
                <w:i w:val="0"/>
                <w:color w:val="111111"/>
                <w:sz w:val="16"/>
              </w:rPr>
              <w:t>Attestation</w:t>
            </w:r>
          </w:p>
        </w:tc>
        <w:tc>
          <w:tcPr>
            <w:tcW w:type="dxa" w:w="7060"/>
            <w:tcMar>
              <w:top w:w="80" w:type="dxa"/>
              <w:start w:w="120" w:type="dxa"/>
              <w:bottom w:w="80" w:type="dxa"/>
              <w:end w:w="120" w:type="dxa"/>
            </w:tcMar>
            <w:vAlign w:val="center"/>
          </w:tcPr>
          <w:p>
            <w:pPr>
              <w:spacing w:after="0" w:line="257" w:lineRule="auto"/>
            </w:pPr>
            <w:r>
              <w:rPr>
                <w:rFonts w:ascii="Calibri" w:hAnsi="Calibri"/>
                <w:b w:val="0"/>
                <w:i w:val="0"/>
                <w:color w:val="111111"/>
                <w:sz w:val="16"/>
              </w:rPr>
              <w:t>Client runner identity, capsule digest, start/end timestamps, policy decisions, completeness checks, signer and verification result.</w:t>
            </w:r>
          </w:p>
        </w:tc>
      </w:tr>
    </w:tbl>
    <w:p>
      <w:pPr>
        <w:spacing w:after="40"/>
      </w:pPr>
    </w:p>
    <w:p>
      <w:pPr>
        <w:pStyle w:val="Heading2"/>
        <w:keepNext/>
      </w:pPr>
      <w:r>
        <w:rPr>
          <w:rFonts w:ascii="Calibri" w:hAnsi="Calibri"/>
          <w:b/>
          <w:i w:val="0"/>
          <w:color w:val="2E74B5"/>
          <w:sz w:val="26"/>
        </w:rPr>
        <w:t>External-client qualification sequence</w:t>
      </w:r>
    </w:p>
    <w:p>
      <w:pPr>
        <w:pStyle w:val="ListNumber"/>
        <w:numPr>
          <w:ilvl w:val="0"/>
          <w:numId w:val="22"/>
        </w:numPr>
        <w:spacing w:after="160" w:line="280" w:lineRule="auto"/>
        <w:ind w:left="720" w:hanging="360"/>
      </w:pPr>
      <w:r>
        <w:rPr>
          <w:rFonts w:ascii="Calibri" w:hAnsi="Calibri"/>
          <w:b w:val="0"/>
          <w:i w:val="0"/>
          <w:color w:val="111111"/>
          <w:sz w:val="22"/>
        </w:rPr>
        <w:t>Intake and threat model: classify data, map trust boundaries, choose a deployment pattern, identify prohibited data flows and approve the ReportProfiles. This client security/legal decision is a gating human step.</w:t>
      </w:r>
    </w:p>
    <w:p>
      <w:pPr>
        <w:pStyle w:val="ListNumber"/>
        <w:numPr>
          <w:ilvl w:val="0"/>
          <w:numId w:val="22"/>
        </w:numPr>
        <w:spacing w:after="160" w:line="280" w:lineRule="auto"/>
        <w:ind w:left="720" w:hanging="360"/>
      </w:pPr>
      <w:r>
        <w:rPr>
          <w:rFonts w:ascii="Calibri" w:hAnsi="Calibri"/>
          <w:b w:val="0"/>
          <w:i w:val="0"/>
          <w:color w:val="111111"/>
          <w:sz w:val="22"/>
        </w:rPr>
        <w:t>Package conformance: verify signatures and policy, install with Terraform/Helm or offline manifests, confirm workload identity, secret injection, storage isolation, network deny rules and audit delivery.</w:t>
      </w:r>
    </w:p>
    <w:p>
      <w:pPr>
        <w:pStyle w:val="ListNumber"/>
        <w:numPr>
          <w:ilvl w:val="0"/>
          <w:numId w:val="22"/>
        </w:numPr>
        <w:spacing w:after="160" w:line="280" w:lineRule="auto"/>
        <w:ind w:left="720" w:hanging="360"/>
      </w:pPr>
      <w:r>
        <w:rPr>
          <w:rFonts w:ascii="Calibri" w:hAnsi="Calibri"/>
          <w:b w:val="0"/>
          <w:i w:val="0"/>
          <w:color w:val="111111"/>
          <w:sz w:val="22"/>
        </w:rPr>
        <w:t>Synthetic dry run: use non-sensitive fixtures to test submission, reset, cancellation, timeouts, artifact collection, scoring, cleanup and outbound filtering. Prove that a canary secret and denied fields cannot leave.</w:t>
      </w:r>
    </w:p>
    <w:p>
      <w:pPr>
        <w:pStyle w:val="ListNumber"/>
        <w:numPr>
          <w:ilvl w:val="0"/>
          <w:numId w:val="22"/>
        </w:numPr>
        <w:spacing w:after="160" w:line="280" w:lineRule="auto"/>
        <w:ind w:left="720" w:hanging="360"/>
      </w:pPr>
      <w:r>
        <w:rPr>
          <w:rFonts w:ascii="Calibri" w:hAnsi="Calibri"/>
          <w:b w:val="0"/>
          <w:i w:val="0"/>
          <w:color w:val="111111"/>
          <w:sz w:val="22"/>
        </w:rPr>
        <w:t>Client workflow conformance: run contract fixtures for every adapter and capability; demonstrate deterministic reset or a declared nondeterminism model; reconcile provider usage, cost and timing.</w:t>
      </w:r>
    </w:p>
    <w:p>
      <w:pPr>
        <w:pStyle w:val="ListNumber"/>
        <w:numPr>
          <w:ilvl w:val="0"/>
          <w:numId w:val="22"/>
        </w:numPr>
        <w:spacing w:after="160" w:line="280" w:lineRule="auto"/>
        <w:ind w:left="720" w:hanging="360"/>
      </w:pPr>
      <w:r>
        <w:rPr>
          <w:rFonts w:ascii="Calibri" w:hAnsi="Calibri"/>
          <w:b w:val="0"/>
          <w:i w:val="0"/>
          <w:color w:val="111111"/>
          <w:sz w:val="22"/>
        </w:rPr>
        <w:t>Scorer qualification: calibrate deterministic, model-based and human scorers against client-approved labels; freeze versions and false-pass thresholds before optimization.</w:t>
      </w:r>
    </w:p>
    <w:p>
      <w:pPr>
        <w:pStyle w:val="ListNumber"/>
        <w:numPr>
          <w:ilvl w:val="0"/>
          <w:numId w:val="22"/>
        </w:numPr>
        <w:spacing w:after="160" w:line="280" w:lineRule="auto"/>
        <w:ind w:left="720" w:hanging="360"/>
      </w:pPr>
      <w:r>
        <w:rPr>
          <w:rFonts w:ascii="Calibri" w:hAnsi="Calibri"/>
          <w:b w:val="0"/>
          <w:i w:val="0"/>
          <w:color w:val="111111"/>
          <w:sz w:val="22"/>
        </w:rPr>
        <w:t>Baseline study: run paired blocks and repetitions, seal the Evaluation Capsule, generate each approved release class, and have the client sign the benchmark baseline and known limitations.</w:t>
      </w:r>
    </w:p>
    <w:p>
      <w:pPr>
        <w:pStyle w:val="ListNumber"/>
        <w:numPr>
          <w:ilvl w:val="0"/>
          <w:numId w:val="22"/>
        </w:numPr>
        <w:spacing w:after="160" w:line="280" w:lineRule="auto"/>
        <w:ind w:left="720" w:hanging="360"/>
      </w:pPr>
      <w:r>
        <w:rPr>
          <w:rFonts w:ascii="Calibri" w:hAnsi="Calibri"/>
          <w:b w:val="0"/>
          <w:i w:val="0"/>
          <w:color w:val="111111"/>
          <w:sz w:val="22"/>
        </w:rPr>
        <w:t>Repeat and compare: use rescore-only replay when scorers change, controlled reruns when workflows/models change, and live requalification when providers or client environments drift. Publish configuration and result deltas against the signed baseline.</w:t>
      </w:r>
    </w:p>
    <w:p>
      <w:pPr>
        <w:pStyle w:val="Heading2"/>
        <w:keepNext/>
      </w:pPr>
      <w:r>
        <w:rPr>
          <w:rFonts w:ascii="Calibri" w:hAnsi="Calibri"/>
          <w:b/>
          <w:i w:val="0"/>
          <w:color w:val="2E74B5"/>
          <w:sz w:val="26"/>
        </w:rPr>
        <w:t>External enablement effort and human gates</w:t>
      </w:r>
    </w:p>
    <w:p>
      <w:pPr>
        <w:keepNext w:val="0"/>
        <w:spacing w:before="0" w:after="120" w:line="264" w:lineRule="auto"/>
      </w:pPr>
      <w:r>
        <w:rPr>
          <w:rFonts w:ascii="Calibri" w:hAnsi="Calibri"/>
          <w:b w:val="0"/>
          <w:i w:val="0"/>
          <w:color w:val="111111"/>
          <w:sz w:val="22"/>
        </w:rPr>
        <w:t>Model-executable implementation for the reusable client plane—deployment packaging, signed bundles, workload identity integration points, local result filtering, report profiles, conformance fixtures, capsule verification and one reference cloud deployment—is estimated at 55–100 tool calls across 8–14 implement/test/security-review iterations after the core evaluator exists. A second public-cloud template or air-gapped packaging path adds roughly 15–30 tool calls and 2–5 iterations.</w:t>
      </w:r>
    </w:p>
    <w:p>
      <w:pPr>
        <w:keepNext w:val="0"/>
        <w:spacing w:before="0" w:after="120" w:line="264" w:lineRule="auto"/>
      </w:pPr>
      <w:r>
        <w:rPr>
          <w:rFonts w:ascii="Calibri" w:hAnsi="Calibri"/>
          <w:b w:val="0"/>
          <w:i w:val="0"/>
          <w:color w:val="111111"/>
          <w:sz w:val="22"/>
        </w:rPr>
        <w:t>Gating human prerequisites are client approval of the trust boundary and threat model; an account/project/cluster or VM target; identity, KMS, secret-manager and registry access; model/provider quotas; permitted task fixtures; data residency/retention decisions; and named approvers for report release. Production or sensitive-data testing cannot begin until those client-owned inputs exist.</w:t>
      </w:r>
    </w:p>
    <w:p>
      <w:pPr>
        <w:pStyle w:val="Heading1"/>
        <w:keepNext/>
      </w:pPr>
      <w:r>
        <w:rPr>
          <w:rFonts w:ascii="Calibri" w:hAnsi="Calibri"/>
          <w:b/>
          <w:i w:val="0"/>
          <w:color w:val="2E74B5"/>
          <w:sz w:val="32"/>
        </w:rPr>
        <w:t>11. Applying the transition to business workflows</w:t>
      </w:r>
    </w:p>
    <w:tbl>
      <w:tblPr>
        <w:tblW w:type="dxa" w:w="9360"/>
        <w:jc w:val="left"/>
        <w:tblLayout w:type="fixed"/>
        <w:tblLook w:firstColumn="1" w:firstRow="1" w:lastColumn="0" w:lastRow="0" w:noHBand="0" w:noVBand="1" w:val="04A0"/>
        <w:tblInd w:w="120" w:type="dxa"/>
        <w:tblBorders>
          <w:top w:val="single" w:sz="0" w:space="0" w:color="EEF3F8"/>
          <w:left w:val="single" w:sz="0" w:space="0" w:color="EEF3F8"/>
          <w:bottom w:val="single" w:sz="0" w:space="0" w:color="EEF3F8"/>
          <w:right w:val="single" w:sz="0" w:space="0" w:color="EEF3F8"/>
          <w:insideH w:val="single" w:sz="0" w:space="0" w:color="EEF3F8"/>
          <w:insideV w:val="single" w:sz="0" w:space="0" w:color="EEF3F8"/>
        </w:tblBorders>
      </w:tblPr>
      <w:tblGrid>
        <w:gridCol w:w="9360"/>
      </w:tblGrid>
      <w:tr>
        <w:trPr>
          <w:cantSplit/>
        </w:trPr>
        <w:tc>
          <w:tcPr>
            <w:tcW w:type="dxa" w:w="9360"/>
            <w:tcMar>
              <w:top w:w="80" w:type="dxa"/>
              <w:start w:w="120" w:type="dxa"/>
              <w:bottom w:w="80" w:type="dxa"/>
              <w:end w:w="120" w:type="dxa"/>
            </w:tcMar>
            <w:vAlign w:val="center"/>
            <w:shd w:fill="EEF3F8"/>
          </w:tcPr>
          <w:p>
            <w:pPr>
              <w:spacing w:after="0" w:line="269" w:lineRule="auto"/>
            </w:pPr>
            <w:r>
              <w:rPr>
                <w:rFonts w:ascii="Calibri" w:hAnsi="Calibri"/>
                <w:b/>
                <w:i w:val="0"/>
                <w:color w:val="1F4D78"/>
                <w:sz w:val="19"/>
              </w:rPr>
              <w:t xml:space="preserve">CHANGE FROM TODAY  </w:t>
            </w:r>
            <w:r>
              <w:rPr>
                <w:rFonts w:ascii="Calibri" w:hAnsi="Calibri"/>
                <w:b w:val="0"/>
                <w:i w:val="0"/>
                <w:color w:val="111111"/>
                <w:sz w:val="21"/>
              </w:rPr>
              <w:t>Today: Today’s Agentic Builder case provides concrete file and fidelity evidence, while the other named workflows remain illustrative and under-specified.  Change: Use each example to instantiate the same contracts, identify missing client inputs, and add task-family extensions only where the shared schema cannot express necessary evidence.  Proof: Every example either compiles to an approved EvalDesignSpec/WorkflowSpec or produces an explicit gap list; no unconfirmed business assumption becomes evaluation truth.</w:t>
            </w:r>
          </w:p>
        </w:tc>
      </w:tr>
    </w:tbl>
    <w:p>
      <w:pPr>
        <w:spacing w:after="60"/>
      </w:pP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after="0" w:line="269" w:lineRule="auto"/>
            </w:pPr>
            <w:r>
              <w:rPr>
                <w:rFonts w:ascii="Calibri" w:hAnsi="Calibri"/>
                <w:b/>
                <w:i w:val="0"/>
                <w:color w:val="0B2545"/>
                <w:sz w:val="19"/>
              </w:rPr>
              <w:t xml:space="preserve">PURPOSE  </w:t>
            </w:r>
            <w:r>
              <w:rPr>
                <w:rFonts w:ascii="Calibri" w:hAnsi="Calibri"/>
                <w:b w:val="0"/>
                <w:i w:val="0"/>
                <w:color w:val="111111"/>
                <w:sz w:val="21"/>
              </w:rPr>
              <w:t>These examples are not product requirements for the named businesses. They are illustrative configurations based only on the workflow categories supplied for this plan; client product, domain, privacy, risk, latency, and business owners must confirm the assumptions before the cases become evaluation evidence.</w:t>
            </w:r>
          </w:p>
        </w:tc>
      </w:tr>
    </w:tbl>
    <w:p>
      <w:pPr>
        <w:spacing w:after="60"/>
      </w:pPr>
    </w:p>
    <w:p>
      <w:pPr>
        <w:pStyle w:val="Heading2"/>
        <w:keepNext/>
      </w:pPr>
      <w:r>
        <w:rPr>
          <w:rFonts w:ascii="Calibri" w:hAnsi="Calibri"/>
          <w:b/>
          <w:i w:val="0"/>
          <w:color w:val="2E74B5"/>
          <w:sz w:val="26"/>
        </w:rPr>
        <w:t>Example A — Business-grounded PRD generation</w:t>
      </w:r>
    </w:p>
    <w:p>
      <w:pPr>
        <w:keepNext w:val="0"/>
        <w:spacing w:before="0" w:after="120" w:line="264" w:lineRule="auto"/>
      </w:pPr>
      <w:r>
        <w:rPr>
          <w:rFonts w:ascii="Calibri" w:hAnsi="Calibri"/>
          <w:b w:val="0"/>
          <w:i w:val="0"/>
          <w:color w:val="111111"/>
          <w:sz w:val="22"/>
        </w:rPr>
        <w:t>The evaluation target is not “a polished PRD.” It is both (1) a traceable decision artifact that connects business evidence to user behavior, functionality, measurement, and validation and (2) an executable specification package from which design, engineering, and product-capability evals can begin without silently inventing product behavior. PRD_EVAL_GUIDE_v2 is the detailed task-family specification for this example; the general evaluator supplies the execution, trace, calibration, comparison, security, and optimization substrate.</w:t>
      </w: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after="0" w:line="269" w:lineRule="auto"/>
            </w:pPr>
            <w:r>
              <w:rPr>
                <w:rFonts w:ascii="Calibri" w:hAnsi="Calibri"/>
                <w:b/>
                <w:i w:val="0"/>
                <w:color w:val="0B2545"/>
                <w:sz w:val="19"/>
              </w:rPr>
              <w:t xml:space="preserve">TWO LINKED BUT DISTINCT EVALUATION OBJECTS  </w:t>
            </w:r>
            <w:r>
              <w:rPr>
                <w:rFonts w:ascii="Calibri" w:hAnsi="Calibri"/>
                <w:b w:val="0"/>
                <w:i w:val="0"/>
                <w:color w:val="111111"/>
                <w:sz w:val="21"/>
              </w:rPr>
              <w:t>The PRD-generator dataset evaluates whether a workflow creates a good PRD from a business context packet and outcome brief. The product-capability datasets are created or referenced by that PRD to define how each eventual deterministic or probabilistic feature must behave. A strong PRD must do both jobs, but the cases, targets, and release decisions must not be conflated.</w:t>
            </w:r>
          </w:p>
        </w:tc>
      </w:tr>
    </w:tbl>
    <w:p>
      <w:pPr>
        <w:spacing w:after="60"/>
      </w:pP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2150"/>
        <w:gridCol w:w="7210"/>
      </w:tblGrid>
      <w:tr>
        <w:trPr>
          <w:tblHeader w:val="true"/>
          <w:cantSplit/>
        </w:trPr>
        <w:tc>
          <w:tcPr>
            <w:tcW w:type="dxa" w:w="21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Specification element</w:t>
            </w:r>
          </w:p>
        </w:tc>
        <w:tc>
          <w:tcPr>
            <w:tcW w:type="dxa" w:w="721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Illustrative PRD evaluation</w:t>
            </w:r>
          </w:p>
        </w:tc>
      </w:tr>
      <w:tr>
        <w:trPr>
          <w:cantSplit/>
        </w:trPr>
        <w:tc>
          <w:tcPr>
            <w:tcW w:type="dxa" w:w="2150"/>
            <w:tcMar>
              <w:top w:w="80" w:type="dxa"/>
              <w:start w:w="120" w:type="dxa"/>
              <w:bottom w:w="80" w:type="dxa"/>
              <w:end w:w="120" w:type="dxa"/>
            </w:tcMar>
            <w:vAlign w:val="center"/>
          </w:tcPr>
          <w:p>
            <w:pPr>
              <w:spacing w:after="0" w:line="257" w:lineRule="auto"/>
            </w:pPr>
            <w:r>
              <w:rPr>
                <w:rFonts w:ascii="Calibri" w:hAnsi="Calibri"/>
                <w:b w:val="0"/>
                <w:i w:val="0"/>
                <w:color w:val="111111"/>
                <w:sz w:val="16"/>
              </w:rPr>
              <w:t>Versioned inputs</w:t>
            </w:r>
          </w:p>
        </w:tc>
        <w:tc>
          <w:tcPr>
            <w:tcW w:type="dxa" w:w="7210"/>
            <w:tcMar>
              <w:top w:w="80" w:type="dxa"/>
              <w:start w:w="120" w:type="dxa"/>
              <w:bottom w:w="80" w:type="dxa"/>
              <w:end w:w="120" w:type="dxa"/>
            </w:tcMar>
            <w:vAlign w:val="center"/>
          </w:tcPr>
          <w:p>
            <w:pPr>
              <w:spacing w:after="0" w:line="257" w:lineRule="auto"/>
            </w:pPr>
            <w:r>
              <w:rPr>
                <w:rFonts w:ascii="Calibri" w:hAnsi="Calibri"/>
                <w:b w:val="0"/>
                <w:i w:val="0"/>
                <w:color w:val="111111"/>
                <w:sz w:val="16"/>
              </w:rPr>
              <w:t>Business context packet with stable source IDs, dates, owners, evidence classes and prohibited inferences; outcome brief with metric, baseline or explicit unknown, target/direction, segment, timeframe, measurement source and guardrails; product prompt; evaluation policy.</w:t>
            </w:r>
          </w:p>
        </w:tc>
      </w:tr>
      <w:tr>
        <w:trPr>
          <w:cantSplit/>
        </w:trPr>
        <w:tc>
          <w:tcPr>
            <w:tcW w:type="dxa" w:w="2150"/>
            <w:tcMar>
              <w:top w:w="80" w:type="dxa"/>
              <w:start w:w="120" w:type="dxa"/>
              <w:bottom w:w="80" w:type="dxa"/>
              <w:end w:w="120" w:type="dxa"/>
            </w:tcMar>
            <w:vAlign w:val="center"/>
          </w:tcPr>
          <w:p>
            <w:pPr>
              <w:spacing w:after="0" w:line="257" w:lineRule="auto"/>
            </w:pPr>
            <w:r>
              <w:rPr>
                <w:rFonts w:ascii="Calibri" w:hAnsi="Calibri"/>
                <w:b w:val="0"/>
                <w:i w:val="0"/>
                <w:color w:val="111111"/>
                <w:sz w:val="16"/>
              </w:rPr>
              <w:t>Required logical outputs</w:t>
            </w:r>
          </w:p>
        </w:tc>
        <w:tc>
          <w:tcPr>
            <w:tcW w:type="dxa" w:w="7210"/>
            <w:tcMar>
              <w:top w:w="80" w:type="dxa"/>
              <w:start w:w="120" w:type="dxa"/>
              <w:bottom w:w="80" w:type="dxa"/>
              <w:end w:w="120" w:type="dxa"/>
            </w:tcMar>
            <w:vAlign w:val="center"/>
          </w:tcPr>
          <w:p>
            <w:pPr>
              <w:spacing w:after="0" w:line="257" w:lineRule="auto"/>
            </w:pPr>
            <w:r>
              <w:rPr>
                <w:rFonts w:ascii="Calibri" w:hAnsi="Calibri"/>
                <w:b w:val="0"/>
                <w:i w:val="0"/>
                <w:color w:val="111111"/>
                <w:sz w:val="16"/>
              </w:rPr>
              <w:t>Business evidence ledger; outcome tree; feature-to-outcome map; atomic requirements; assumption/decision register; optional prior-art cards and UX direction; AI capability inventory; machine-readable schemas, acceptance/eval references and stable IDs.</w:t>
            </w:r>
          </w:p>
        </w:tc>
      </w:tr>
      <w:tr>
        <w:trPr>
          <w:cantSplit/>
        </w:trPr>
        <w:tc>
          <w:tcPr>
            <w:tcW w:type="dxa" w:w="2150"/>
            <w:tcMar>
              <w:top w:w="80" w:type="dxa"/>
              <w:start w:w="120" w:type="dxa"/>
              <w:bottom w:w="80" w:type="dxa"/>
              <w:end w:w="120" w:type="dxa"/>
            </w:tcMar>
            <w:vAlign w:val="center"/>
          </w:tcPr>
          <w:p>
            <w:pPr>
              <w:spacing w:after="0" w:line="257" w:lineRule="auto"/>
            </w:pPr>
            <w:r>
              <w:rPr>
                <w:rFonts w:ascii="Calibri" w:hAnsi="Calibri"/>
                <w:b w:val="0"/>
                <w:i w:val="0"/>
                <w:color w:val="111111"/>
                <w:sz w:val="16"/>
              </w:rPr>
              <w:t>Target behavior</w:t>
            </w:r>
          </w:p>
        </w:tc>
        <w:tc>
          <w:tcPr>
            <w:tcW w:type="dxa" w:w="7210"/>
            <w:tcMar>
              <w:top w:w="80" w:type="dxa"/>
              <w:start w:w="120" w:type="dxa"/>
              <w:bottom w:w="80" w:type="dxa"/>
              <w:end w:w="120" w:type="dxa"/>
            </w:tcMar>
            <w:vAlign w:val="center"/>
          </w:tcPr>
          <w:p>
            <w:pPr>
              <w:spacing w:after="0" w:line="257" w:lineRule="auto"/>
            </w:pPr>
            <w:r>
              <w:rPr>
                <w:rFonts w:ascii="Calibri" w:hAnsi="Calibri"/>
                <w:b w:val="0"/>
                <w:i w:val="0"/>
                <w:color w:val="111111"/>
                <w:sz w:val="16"/>
              </w:rPr>
              <w:t>Separate facts, client statements, supported inferences, hypotheses, unresolved questions and recommendations; diagnose a business-relevant problem; map every P0 function through a plausible mechanism to a leading metric and outcome; expose uncertainty, alternatives, boundaries and validation.</w:t>
            </w:r>
          </w:p>
        </w:tc>
      </w:tr>
      <w:tr>
        <w:trPr>
          <w:cantSplit/>
        </w:trPr>
        <w:tc>
          <w:tcPr>
            <w:tcW w:type="dxa" w:w="2150"/>
            <w:tcMar>
              <w:top w:w="80" w:type="dxa"/>
              <w:start w:w="120" w:type="dxa"/>
              <w:bottom w:w="80" w:type="dxa"/>
              <w:end w:w="120" w:type="dxa"/>
            </w:tcMar>
            <w:vAlign w:val="center"/>
          </w:tcPr>
          <w:p>
            <w:pPr>
              <w:spacing w:after="0" w:line="257" w:lineRule="auto"/>
            </w:pPr>
            <w:r>
              <w:rPr>
                <w:rFonts w:ascii="Calibri" w:hAnsi="Calibri"/>
                <w:b w:val="0"/>
                <w:i w:val="0"/>
                <w:color w:val="111111"/>
                <w:sz w:val="16"/>
              </w:rPr>
              <w:t>Test cases</w:t>
            </w:r>
          </w:p>
        </w:tc>
        <w:tc>
          <w:tcPr>
            <w:tcW w:type="dxa" w:w="7210"/>
            <w:tcMar>
              <w:top w:w="80" w:type="dxa"/>
              <w:start w:w="120" w:type="dxa"/>
              <w:bottom w:w="80" w:type="dxa"/>
              <w:end w:w="120" w:type="dxa"/>
            </w:tcMar>
            <w:vAlign w:val="center"/>
          </w:tcPr>
          <w:p>
            <w:pPr>
              <w:spacing w:after="0" w:line="257" w:lineRule="auto"/>
            </w:pPr>
            <w:r>
              <w:rPr>
                <w:rFonts w:ascii="Calibri" w:hAnsi="Calibri"/>
                <w:b w:val="0"/>
                <w:i w:val="0"/>
                <w:color w:val="111111"/>
                <w:sz w:val="16"/>
              </w:rPr>
              <w:t>Complete and sparse briefs; conflicting stakeholder statements; missing baseline metrics; regulated or high-risk constraints; incumbent workflow evidence; ambiguous user segments; tempting but unsupported feature requests.</w:t>
            </w:r>
          </w:p>
        </w:tc>
      </w:tr>
      <w:tr>
        <w:trPr>
          <w:cantSplit/>
        </w:trPr>
        <w:tc>
          <w:tcPr>
            <w:tcW w:type="dxa" w:w="2150"/>
            <w:tcMar>
              <w:top w:w="80" w:type="dxa"/>
              <w:start w:w="120" w:type="dxa"/>
              <w:bottom w:w="80" w:type="dxa"/>
              <w:end w:w="120" w:type="dxa"/>
            </w:tcMar>
            <w:vAlign w:val="center"/>
          </w:tcPr>
          <w:p>
            <w:pPr>
              <w:spacing w:after="0" w:line="257" w:lineRule="auto"/>
            </w:pPr>
            <w:r>
              <w:rPr>
                <w:rFonts w:ascii="Calibri" w:hAnsi="Calibri"/>
                <w:b w:val="0"/>
                <w:i w:val="0"/>
                <w:color w:val="111111"/>
                <w:sz w:val="16"/>
              </w:rPr>
              <w:t>Critical failures</w:t>
            </w:r>
          </w:p>
        </w:tc>
        <w:tc>
          <w:tcPr>
            <w:tcW w:type="dxa" w:w="7210"/>
            <w:tcMar>
              <w:top w:w="80" w:type="dxa"/>
              <w:start w:w="120" w:type="dxa"/>
              <w:bottom w:w="80" w:type="dxa"/>
              <w:end w:w="120" w:type="dxa"/>
            </w:tcMar>
            <w:vAlign w:val="center"/>
          </w:tcPr>
          <w:p>
            <w:pPr>
              <w:spacing w:after="0" w:line="257" w:lineRule="auto"/>
            </w:pPr>
            <w:r>
              <w:rPr>
                <w:rFonts w:ascii="Calibri" w:hAnsi="Calibri"/>
                <w:b w:val="0"/>
                <w:i w:val="0"/>
                <w:color w:val="111111"/>
                <w:sz w:val="16"/>
              </w:rPr>
              <w:t>Invented business facts or targets; authoritative-source contradiction; loss of material qualification; orphan P0 features or outcomes; scope/exclusion conflicts; unpreserved security/privacy constraints; hidden assumptions; missing executable contract for a P0 capability.</w:t>
            </w:r>
          </w:p>
        </w:tc>
      </w:tr>
      <w:tr>
        <w:trPr>
          <w:cantSplit/>
        </w:trPr>
        <w:tc>
          <w:tcPr>
            <w:tcW w:type="dxa" w:w="2150"/>
            <w:tcMar>
              <w:top w:w="80" w:type="dxa"/>
              <w:start w:w="120" w:type="dxa"/>
              <w:bottom w:w="80" w:type="dxa"/>
              <w:end w:w="120" w:type="dxa"/>
            </w:tcMar>
            <w:vAlign w:val="center"/>
          </w:tcPr>
          <w:p>
            <w:pPr>
              <w:spacing w:after="0" w:line="257" w:lineRule="auto"/>
            </w:pPr>
            <w:r>
              <w:rPr>
                <w:rFonts w:ascii="Calibri" w:hAnsi="Calibri"/>
                <w:b w:val="0"/>
                <w:i w:val="0"/>
                <w:color w:val="111111"/>
                <w:sz w:val="16"/>
              </w:rPr>
              <w:t>Primary evidence</w:t>
            </w:r>
          </w:p>
        </w:tc>
        <w:tc>
          <w:tcPr>
            <w:tcW w:type="dxa" w:w="7210"/>
            <w:tcMar>
              <w:top w:w="80" w:type="dxa"/>
              <w:start w:w="120" w:type="dxa"/>
              <w:bottom w:w="80" w:type="dxa"/>
              <w:end w:w="120" w:type="dxa"/>
            </w:tcMar>
            <w:vAlign w:val="center"/>
          </w:tcPr>
          <w:p>
            <w:pPr>
              <w:spacing w:after="0" w:line="257" w:lineRule="auto"/>
            </w:pPr>
            <w:r>
              <w:rPr>
                <w:rFonts w:ascii="Calibri" w:hAnsi="Calibri"/>
                <w:b w:val="0"/>
                <w:i w:val="0"/>
                <w:color w:val="111111"/>
                <w:sz w:val="16"/>
              </w:rPr>
              <w:t>Evidence Coverage and Source Fidelity; Unsupported Claim and Contradiction Rates; Outcome Definition and Feature-to-Outcome Coverage; geometric-mean Feature Path Strength; Requirement, acceptance-test, state/edge, instrumentation and scope coverage; assumption readiness.</w:t>
            </w:r>
          </w:p>
        </w:tc>
      </w:tr>
      <w:tr>
        <w:trPr>
          <w:cantSplit/>
        </w:trPr>
        <w:tc>
          <w:tcPr>
            <w:tcW w:type="dxa" w:w="2150"/>
            <w:tcMar>
              <w:top w:w="80" w:type="dxa"/>
              <w:start w:w="120" w:type="dxa"/>
              <w:bottom w:w="80" w:type="dxa"/>
              <w:end w:w="120" w:type="dxa"/>
            </w:tcMar>
            <w:vAlign w:val="center"/>
          </w:tcPr>
          <w:p>
            <w:pPr>
              <w:spacing w:after="0" w:line="257" w:lineRule="auto"/>
            </w:pPr>
            <w:r>
              <w:rPr>
                <w:rFonts w:ascii="Calibri" w:hAnsi="Calibri"/>
                <w:b w:val="0"/>
                <w:i w:val="0"/>
                <w:color w:val="111111"/>
                <w:sz w:val="16"/>
              </w:rPr>
              <w:t>Residual judgment</w:t>
            </w:r>
          </w:p>
        </w:tc>
        <w:tc>
          <w:tcPr>
            <w:tcW w:type="dxa" w:w="7210"/>
            <w:tcMar>
              <w:top w:w="80" w:type="dxa"/>
              <w:start w:w="120" w:type="dxa"/>
              <w:bottom w:w="80" w:type="dxa"/>
              <w:end w:w="120" w:type="dxa"/>
            </w:tcMar>
            <w:vAlign w:val="center"/>
          </w:tcPr>
          <w:p>
            <w:pPr>
              <w:spacing w:after="0" w:line="257" w:lineRule="auto"/>
            </w:pPr>
            <w:r>
              <w:rPr>
                <w:rFonts w:ascii="Calibri" w:hAnsi="Calibri"/>
                <w:b w:val="0"/>
                <w:i w:val="0"/>
                <w:color w:val="111111"/>
                <w:sz w:val="16"/>
              </w:rPr>
              <w:t>Business plausibility, prioritization quality, clarity, and decision usefulness after grounding gates pass. Use calibrated pairwise comparison, not an unanchored absolute score.</w:t>
            </w:r>
          </w:p>
        </w:tc>
      </w:tr>
      <w:tr>
        <w:trPr>
          <w:cantSplit/>
        </w:trPr>
        <w:tc>
          <w:tcPr>
            <w:tcW w:type="dxa" w:w="2150"/>
            <w:tcMar>
              <w:top w:w="80" w:type="dxa"/>
              <w:start w:w="120" w:type="dxa"/>
              <w:bottom w:w="80" w:type="dxa"/>
              <w:end w:w="120" w:type="dxa"/>
            </w:tcMar>
            <w:vAlign w:val="center"/>
          </w:tcPr>
          <w:p>
            <w:pPr>
              <w:spacing w:after="0" w:line="257" w:lineRule="auto"/>
            </w:pPr>
            <w:r>
              <w:rPr>
                <w:rFonts w:ascii="Calibri" w:hAnsi="Calibri"/>
                <w:b w:val="0"/>
                <w:i w:val="0"/>
                <w:color w:val="111111"/>
                <w:sz w:val="16"/>
              </w:rPr>
              <w:t>Optional bonus</w:t>
            </w:r>
          </w:p>
        </w:tc>
        <w:tc>
          <w:tcPr>
            <w:tcW w:type="dxa" w:w="7210"/>
            <w:tcMar>
              <w:top w:w="80" w:type="dxa"/>
              <w:start w:w="120" w:type="dxa"/>
              <w:bottom w:w="80" w:type="dxa"/>
              <w:end w:w="120" w:type="dxa"/>
            </w:tcMar>
            <w:vAlign w:val="center"/>
          </w:tcPr>
          <w:p>
            <w:pPr>
              <w:spacing w:after="0" w:line="257" w:lineRule="auto"/>
            </w:pPr>
            <w:r>
              <w:rPr>
                <w:rFonts w:ascii="Calibri" w:hAnsi="Calibri"/>
                <w:b w:val="0"/>
                <w:i w:val="0"/>
                <w:color w:val="111111"/>
                <w:sz w:val="16"/>
              </w:rPr>
              <w:t>Comparable-product evidence scored for existence, outcome evidence, and transferability; UX/UI approach assessed from a flow or prototype for hierarchy, interaction economy, trust, accessibility, platform and brand fit.</w:t>
            </w:r>
          </w:p>
        </w:tc>
      </w:tr>
    </w:tbl>
    <w:p>
      <w:pPr>
        <w:spacing w:after="40"/>
      </w:pPr>
    </w:p>
    <w:p>
      <w:pPr>
        <w:pStyle w:val="Heading3"/>
        <w:keepNext/>
      </w:pPr>
      <w:r>
        <w:rPr>
          <w:rFonts w:ascii="Calibri" w:hAnsi="Calibri"/>
          <w:b/>
          <w:i w:val="0"/>
          <w:color w:val="1F4D78"/>
          <w:sz w:val="24"/>
        </w:rPr>
        <w:t>PRD-specific layered evaluation</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710"/>
        <w:gridCol w:w="5050"/>
        <w:gridCol w:w="2600"/>
      </w:tblGrid>
      <w:tr>
        <w:trPr>
          <w:tblHeader w:val="true"/>
          <w:cantSplit/>
        </w:trPr>
        <w:tc>
          <w:tcPr>
            <w:tcW w:type="dxa" w:w="171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Layer</w:t>
            </w:r>
          </w:p>
        </w:tc>
        <w:tc>
          <w:tcPr>
            <w:tcW w:type="dxa" w:w="50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What is measured</w:t>
            </w:r>
          </w:p>
        </w:tc>
        <w:tc>
          <w:tcPr>
            <w:tcW w:type="dxa" w:w="26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Selection role</w:t>
            </w:r>
          </w:p>
        </w:tc>
      </w:tr>
      <w:tr>
        <w:trPr>
          <w:cantSplit/>
        </w:trPr>
        <w:tc>
          <w:tcPr>
            <w:tcW w:type="dxa" w:w="1710"/>
            <w:tcMar>
              <w:top w:w="80" w:type="dxa"/>
              <w:start w:w="120" w:type="dxa"/>
              <w:bottom w:w="80" w:type="dxa"/>
              <w:end w:w="120" w:type="dxa"/>
            </w:tcMar>
            <w:vAlign w:val="center"/>
          </w:tcPr>
          <w:p>
            <w:pPr>
              <w:spacing w:after="0" w:line="257" w:lineRule="auto"/>
            </w:pPr>
            <w:r>
              <w:rPr>
                <w:rFonts w:ascii="Calibri" w:hAnsi="Calibri"/>
                <w:b w:val="0"/>
                <w:i w:val="0"/>
                <w:color w:val="111111"/>
                <w:sz w:val="15"/>
              </w:rPr>
              <w:t>0 — Validity and coverage</w:t>
            </w:r>
          </w:p>
        </w:tc>
        <w:tc>
          <w:tcPr>
            <w:tcW w:type="dxa" w:w="5050"/>
            <w:tcMar>
              <w:top w:w="80" w:type="dxa"/>
              <w:start w:w="120" w:type="dxa"/>
              <w:bottom w:w="80" w:type="dxa"/>
              <w:end w:w="120" w:type="dxa"/>
            </w:tcMar>
            <w:vAlign w:val="center"/>
          </w:tcPr>
          <w:p>
            <w:pPr>
              <w:spacing w:after="0" w:line="257" w:lineRule="auto"/>
            </w:pPr>
            <w:r>
              <w:rPr>
                <w:rFonts w:ascii="Calibri" w:hAnsi="Calibri"/>
                <w:b w:val="0"/>
                <w:i w:val="0"/>
                <w:color w:val="111111"/>
                <w:sz w:val="15"/>
              </w:rPr>
              <w:t>Correct case/workflow ran; inputs and output are complete; budgets/policies were respected; applicable evaluators ran.</w:t>
            </w:r>
          </w:p>
        </w:tc>
        <w:tc>
          <w:tcPr>
            <w:tcW w:type="dxa" w:w="2600"/>
            <w:tcMar>
              <w:top w:w="80" w:type="dxa"/>
              <w:start w:w="120" w:type="dxa"/>
              <w:bottom w:w="80" w:type="dxa"/>
              <w:end w:w="120" w:type="dxa"/>
            </w:tcMar>
            <w:vAlign w:val="center"/>
          </w:tcPr>
          <w:p>
            <w:pPr>
              <w:spacing w:after="0" w:line="257" w:lineRule="auto"/>
            </w:pPr>
            <w:r>
              <w:rPr>
                <w:rFonts w:ascii="Calibri" w:hAnsi="Calibri"/>
                <w:b w:val="0"/>
                <w:i w:val="0"/>
                <w:color w:val="111111"/>
                <w:sz w:val="15"/>
              </w:rPr>
              <w:t>A report is not final when applicable evaluation is missing.</w:t>
            </w:r>
          </w:p>
        </w:tc>
      </w:tr>
      <w:tr>
        <w:trPr>
          <w:cantSplit/>
        </w:trPr>
        <w:tc>
          <w:tcPr>
            <w:tcW w:type="dxa" w:w="1710"/>
            <w:tcMar>
              <w:top w:w="80" w:type="dxa"/>
              <w:start w:w="120" w:type="dxa"/>
              <w:bottom w:w="80" w:type="dxa"/>
              <w:end w:w="120" w:type="dxa"/>
            </w:tcMar>
            <w:vAlign w:val="center"/>
          </w:tcPr>
          <w:p>
            <w:pPr>
              <w:spacing w:after="0" w:line="257" w:lineRule="auto"/>
            </w:pPr>
            <w:r>
              <w:rPr>
                <w:rFonts w:ascii="Calibri" w:hAnsi="Calibri"/>
                <w:b w:val="0"/>
                <w:i w:val="0"/>
                <w:color w:val="111111"/>
                <w:sz w:val="15"/>
              </w:rPr>
              <w:t>1 — Critical eligibility</w:t>
            </w:r>
          </w:p>
        </w:tc>
        <w:tc>
          <w:tcPr>
            <w:tcW w:type="dxa" w:w="5050"/>
            <w:tcMar>
              <w:top w:w="80" w:type="dxa"/>
              <w:start w:w="120" w:type="dxa"/>
              <w:bottom w:w="80" w:type="dxa"/>
              <w:end w:w="120" w:type="dxa"/>
            </w:tcMar>
            <w:vAlign w:val="center"/>
          </w:tcPr>
          <w:p>
            <w:pPr>
              <w:spacing w:after="0" w:line="257" w:lineRule="auto"/>
            </w:pPr>
            <w:r>
              <w:rPr>
                <w:rFonts w:ascii="Calibri" w:hAnsi="Calibri"/>
                <w:b w:val="0"/>
                <w:i w:val="0"/>
                <w:color w:val="111111"/>
                <w:sz w:val="15"/>
              </w:rPr>
              <w:t>Readable/resolvable package; no fabricated critical facts or unresolved authoritative contradiction; every P0 feature has a problem/outcome path; consequential constraints and scope boundaries are preserved; capability contracts resolve.</w:t>
            </w:r>
          </w:p>
        </w:tc>
        <w:tc>
          <w:tcPr>
            <w:tcW w:type="dxa" w:w="2600"/>
            <w:tcMar>
              <w:top w:w="80" w:type="dxa"/>
              <w:start w:w="120" w:type="dxa"/>
              <w:bottom w:w="80" w:type="dxa"/>
              <w:end w:w="120" w:type="dxa"/>
            </w:tcMar>
            <w:vAlign w:val="center"/>
          </w:tcPr>
          <w:p>
            <w:pPr>
              <w:spacing w:after="0" w:line="257" w:lineRule="auto"/>
            </w:pPr>
            <w:r>
              <w:rPr>
                <w:rFonts w:ascii="Calibri" w:hAnsi="Calibri"/>
                <w:b w:val="0"/>
                <w:i w:val="0"/>
                <w:color w:val="111111"/>
                <w:sz w:val="15"/>
              </w:rPr>
              <w:t>Lexicographic gate; attractive prose, prior art or UX cannot compensate.</w:t>
            </w:r>
          </w:p>
        </w:tc>
      </w:tr>
      <w:tr>
        <w:trPr>
          <w:cantSplit/>
        </w:trPr>
        <w:tc>
          <w:tcPr>
            <w:tcW w:type="dxa" w:w="1710"/>
            <w:tcMar>
              <w:top w:w="80" w:type="dxa"/>
              <w:start w:w="120" w:type="dxa"/>
              <w:bottom w:w="80" w:type="dxa"/>
              <w:end w:w="120" w:type="dxa"/>
            </w:tcMar>
            <w:vAlign w:val="center"/>
          </w:tcPr>
          <w:p>
            <w:pPr>
              <w:spacing w:after="0" w:line="257" w:lineRule="auto"/>
            </w:pPr>
            <w:r>
              <w:rPr>
                <w:rFonts w:ascii="Calibri" w:hAnsi="Calibri"/>
                <w:b w:val="0"/>
                <w:i w:val="0"/>
                <w:color w:val="111111"/>
                <w:sz w:val="15"/>
              </w:rPr>
              <w:t>2–3 — Grounding and causal coherence</w:t>
            </w:r>
          </w:p>
        </w:tc>
        <w:tc>
          <w:tcPr>
            <w:tcW w:type="dxa" w:w="5050"/>
            <w:tcMar>
              <w:top w:w="80" w:type="dxa"/>
              <w:start w:w="120" w:type="dxa"/>
              <w:bottom w:w="80" w:type="dxa"/>
              <w:end w:w="120" w:type="dxa"/>
            </w:tcMar>
            <w:vAlign w:val="center"/>
          </w:tcPr>
          <w:p>
            <w:pPr>
              <w:spacing w:after="0" w:line="257" w:lineRule="auto"/>
            </w:pPr>
            <w:r>
              <w:rPr>
                <w:rFonts w:ascii="Calibri" w:hAnsi="Calibri"/>
                <w:b w:val="0"/>
                <w:i w:val="0"/>
                <w:color w:val="111111"/>
                <w:sz w:val="15"/>
              </w:rPr>
              <w:t>Atomic claim support/fidelity; contradictions; outcome-definition fields; P0 path completeness and minimum-sensitive link strength; orphan features/outcomes; conviction supported by falsifiability.</w:t>
            </w:r>
          </w:p>
        </w:tc>
        <w:tc>
          <w:tcPr>
            <w:tcW w:type="dxa" w:w="2600"/>
            <w:tcMar>
              <w:top w:w="80" w:type="dxa"/>
              <w:start w:w="120" w:type="dxa"/>
              <w:bottom w:w="80" w:type="dxa"/>
              <w:end w:w="120" w:type="dxa"/>
            </w:tcMar>
            <w:vAlign w:val="center"/>
          </w:tcPr>
          <w:p>
            <w:pPr>
              <w:spacing w:after="0" w:line="257" w:lineRule="auto"/>
            </w:pPr>
            <w:r>
              <w:rPr>
                <w:rFonts w:ascii="Calibri" w:hAnsi="Calibri"/>
                <w:b w:val="0"/>
                <w:i w:val="0"/>
                <w:color w:val="111111"/>
                <w:sz w:val="15"/>
              </w:rPr>
              <w:t>Minimum thresholds, then vector comparison with uncertainty.</w:t>
            </w:r>
          </w:p>
        </w:tc>
      </w:tr>
      <w:tr>
        <w:trPr>
          <w:cantSplit/>
        </w:trPr>
        <w:tc>
          <w:tcPr>
            <w:tcW w:type="dxa" w:w="1710"/>
            <w:tcMar>
              <w:top w:w="80" w:type="dxa"/>
              <w:start w:w="120" w:type="dxa"/>
              <w:bottom w:w="80" w:type="dxa"/>
              <w:end w:w="120" w:type="dxa"/>
            </w:tcMar>
            <w:vAlign w:val="center"/>
          </w:tcPr>
          <w:p>
            <w:pPr>
              <w:spacing w:after="0" w:line="257" w:lineRule="auto"/>
            </w:pPr>
            <w:r>
              <w:rPr>
                <w:rFonts w:ascii="Calibri" w:hAnsi="Calibri"/>
                <w:b w:val="0"/>
                <w:i w:val="0"/>
                <w:color w:val="111111"/>
                <w:sz w:val="15"/>
              </w:rPr>
              <w:t>4–5 — Functional and decision readiness</w:t>
            </w:r>
          </w:p>
        </w:tc>
        <w:tc>
          <w:tcPr>
            <w:tcW w:type="dxa" w:w="5050"/>
            <w:tcMar>
              <w:top w:w="80" w:type="dxa"/>
              <w:start w:w="120" w:type="dxa"/>
              <w:bottom w:w="80" w:type="dxa"/>
              <w:end w:w="120" w:type="dxa"/>
            </w:tcMar>
            <w:vAlign w:val="center"/>
          </w:tcPr>
          <w:p>
            <w:pPr>
              <w:spacing w:after="0" w:line="257" w:lineRule="auto"/>
            </w:pPr>
            <w:r>
              <w:rPr>
                <w:rFonts w:ascii="Calibri" w:hAnsi="Calibri"/>
                <w:b w:val="0"/>
                <w:i w:val="0"/>
                <w:color w:val="111111"/>
                <w:sz w:val="15"/>
              </w:rPr>
              <w:t>Requirement completeness; acceptance, state/edge, instrumentation, dependency and scope coverage; assumptions, alternatives and exclusions; downstream executability.</w:t>
            </w:r>
          </w:p>
        </w:tc>
        <w:tc>
          <w:tcPr>
            <w:tcW w:type="dxa" w:w="2600"/>
            <w:tcMar>
              <w:top w:w="80" w:type="dxa"/>
              <w:start w:w="120" w:type="dxa"/>
              <w:bottom w:w="80" w:type="dxa"/>
              <w:end w:w="120" w:type="dxa"/>
            </w:tcMar>
            <w:vAlign w:val="center"/>
          </w:tcPr>
          <w:p>
            <w:pPr>
              <w:spacing w:after="0" w:line="257" w:lineRule="auto"/>
            </w:pPr>
            <w:r>
              <w:rPr>
                <w:rFonts w:ascii="Calibri" w:hAnsi="Calibri"/>
                <w:b w:val="0"/>
                <w:i w:val="0"/>
                <w:color w:val="111111"/>
                <w:sz w:val="15"/>
              </w:rPr>
              <w:t>Blocks release when ambiguity forces unapproved product invention.</w:t>
            </w:r>
          </w:p>
        </w:tc>
      </w:tr>
      <w:tr>
        <w:trPr>
          <w:cantSplit/>
        </w:trPr>
        <w:tc>
          <w:tcPr>
            <w:tcW w:type="dxa" w:w="1710"/>
            <w:tcMar>
              <w:top w:w="80" w:type="dxa"/>
              <w:start w:w="120" w:type="dxa"/>
              <w:bottom w:w="80" w:type="dxa"/>
              <w:end w:w="120" w:type="dxa"/>
            </w:tcMar>
            <w:vAlign w:val="center"/>
          </w:tcPr>
          <w:p>
            <w:pPr>
              <w:spacing w:after="0" w:line="257" w:lineRule="auto"/>
            </w:pPr>
            <w:r>
              <w:rPr>
                <w:rFonts w:ascii="Calibri" w:hAnsi="Calibri"/>
                <w:b w:val="0"/>
                <w:i w:val="0"/>
                <w:color w:val="111111"/>
                <w:sz w:val="15"/>
              </w:rPr>
              <w:t>6–8 — Secondary and AI readiness</w:t>
            </w:r>
          </w:p>
        </w:tc>
        <w:tc>
          <w:tcPr>
            <w:tcW w:type="dxa" w:w="5050"/>
            <w:tcMar>
              <w:top w:w="80" w:type="dxa"/>
              <w:start w:w="120" w:type="dxa"/>
              <w:bottom w:w="80" w:type="dxa"/>
              <w:end w:w="120" w:type="dxa"/>
            </w:tcMar>
            <w:vAlign w:val="center"/>
          </w:tcPr>
          <w:p>
            <w:pPr>
              <w:spacing w:after="0" w:line="257" w:lineRule="auto"/>
            </w:pPr>
            <w:r>
              <w:rPr>
                <w:rFonts w:ascii="Calibri" w:hAnsi="Calibri"/>
                <w:b w:val="0"/>
                <w:i w:val="0"/>
                <w:color w:val="111111"/>
                <w:sz w:val="15"/>
              </w:rPr>
              <w:t>Prior-art transferability; pairwise UX preference when appropriate; capability decomposition, task type, input distribution, oracle/rubric, failure budget, fallback, regression and interface coverage.</w:t>
            </w:r>
          </w:p>
        </w:tc>
        <w:tc>
          <w:tcPr>
            <w:tcW w:type="dxa" w:w="2600"/>
            <w:tcMar>
              <w:top w:w="80" w:type="dxa"/>
              <w:start w:w="120" w:type="dxa"/>
              <w:bottom w:w="80" w:type="dxa"/>
              <w:end w:w="120" w:type="dxa"/>
            </w:tcMar>
            <w:vAlign w:val="center"/>
          </w:tcPr>
          <w:p>
            <w:pPr>
              <w:spacing w:after="0" w:line="257" w:lineRule="auto"/>
            </w:pPr>
            <w:r>
              <w:rPr>
                <w:rFonts w:ascii="Calibri" w:hAnsi="Calibri"/>
                <w:b w:val="0"/>
                <w:i w:val="0"/>
                <w:color w:val="111111"/>
                <w:sz w:val="15"/>
              </w:rPr>
              <w:t>Prior art and taste are secondary; AI readiness is promotion-critical for P0 AI behavior.</w:t>
            </w:r>
          </w:p>
        </w:tc>
      </w:tr>
    </w:tbl>
    <w:p>
      <w:pPr>
        <w:spacing w:after="40"/>
      </w:pP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after="0" w:line="269" w:lineRule="auto"/>
            </w:pPr>
            <w:r>
              <w:rPr>
                <w:rFonts w:ascii="Calibri" w:hAnsi="Calibri"/>
                <w:b/>
                <w:i w:val="0"/>
                <w:color w:val="0B2545"/>
                <w:sz w:val="19"/>
              </w:rPr>
              <w:t xml:space="preserve">STATUS MODEL RECONCILIATION  </w:t>
            </w:r>
            <w:r>
              <w:rPr>
                <w:rFonts w:ascii="Calibri" w:hAnsi="Calibri"/>
                <w:b w:val="0"/>
                <w:i w:val="0"/>
                <w:color w:val="111111"/>
                <w:sz w:val="21"/>
              </w:rPr>
              <w:t>Keep execution and verdict as separate fields. execution_status records executed, skipped, never_invoked, not_observable, or evaluator_error. assessment_status records pass, partial, fail, not_applicable, or not_evaluated; detector-style checks may additionally record finding or no_finding. An applicable check without a valid execution can never become a pass.</w:t>
            </w:r>
          </w:p>
        </w:tc>
      </w:tr>
    </w:tbl>
    <w:p>
      <w:pPr>
        <w:spacing w:after="60"/>
      </w:pPr>
    </w:p>
    <w:p>
      <w:pPr>
        <w:pStyle w:val="Heading3"/>
        <w:keepNext/>
      </w:pPr>
      <w:r>
        <w:rPr>
          <w:rFonts w:ascii="Calibri" w:hAnsi="Calibri"/>
          <w:b/>
          <w:i w:val="0"/>
          <w:color w:val="1F4D78"/>
          <w:sz w:val="24"/>
        </w:rPr>
        <w:t>PRD as an executable AI and implementation contract</w:t>
      </w:r>
    </w:p>
    <w:p>
      <w:pPr>
        <w:pStyle w:val="ListBullet"/>
        <w:spacing w:after="160" w:line="280" w:lineRule="auto"/>
        <w:ind w:left="720" w:hanging="360"/>
      </w:pPr>
      <w:r>
        <w:rPr>
          <w:rFonts w:ascii="Calibri" w:hAnsi="Calibri"/>
          <w:b w:val="0"/>
          <w:i w:val="0"/>
          <w:color w:val="111111"/>
          <w:sz w:val="22"/>
        </w:rPr>
        <w:t>Decompose every independently failing P0 behavior and assign a stable capability ID plus task type: deterministic, classification, extraction, generation, retrieval/ranking, tool-use/agentic, or mixed. Split mixed capabilities into independently evaluable components.</w:t>
      </w:r>
    </w:p>
    <w:p>
      <w:pPr>
        <w:pStyle w:val="ListBullet"/>
        <w:spacing w:after="160" w:line="280" w:lineRule="auto"/>
        <w:ind w:left="720" w:hanging="360"/>
      </w:pPr>
      <w:r>
        <w:rPr>
          <w:rFonts w:ascii="Calibri" w:hAnsi="Calibri"/>
          <w:b w:val="0"/>
          <w:i w:val="0"/>
          <w:color w:val="111111"/>
          <w:sz w:val="22"/>
        </w:rPr>
        <w:t>For every probabilistic capability, require a versioned input-distribution description; oracle/rubric with positive, negative and boundary examples; per-axis release thresholds and failure budget tied to business consequence; fallback behavior; and a regression rule naming replay triggers, baseline, tolerated delta, owner and exception approval.</w:t>
      </w:r>
    </w:p>
    <w:p>
      <w:pPr>
        <w:pStyle w:val="ListBullet"/>
        <w:spacing w:after="160" w:line="280" w:lineRule="auto"/>
        <w:ind w:left="720" w:hanging="360"/>
      </w:pPr>
      <w:r>
        <w:rPr>
          <w:rFonts w:ascii="Calibri" w:hAnsi="Calibri"/>
          <w:b w:val="0"/>
          <w:i w:val="0"/>
          <w:color w:val="111111"/>
          <w:sz w:val="22"/>
        </w:rPr>
        <w:t>Require at least three nonredundant suite purposes for each release-critical AI feature: modal-use/happy-path, highest-blast-radius/worst-case, and frozen regression. These are purposes—not a permanent limit of three files or metrics.</w:t>
      </w:r>
    </w:p>
    <w:p>
      <w:pPr>
        <w:pStyle w:val="ListBullet"/>
        <w:spacing w:after="160" w:line="280" w:lineRule="auto"/>
        <w:ind w:left="720" w:hanging="360"/>
      </w:pPr>
      <w:r>
        <w:rPr>
          <w:rFonts w:ascii="Calibri" w:hAnsi="Calibri"/>
          <w:b w:val="0"/>
          <w:i w:val="0"/>
          <w:color w:val="111111"/>
          <w:sz w:val="22"/>
        </w:rPr>
        <w:t>Emit a versioned handoff package containing the narrative PRD plus business evidence, outcomes, capabilities, atomic requirements, assumptions, schemas, interface/event contracts, per-capability cases/rubrics/release policies, deterministic acceptance tests, and UX flows or constraints. All references and IDs must resolve.</w:t>
      </w:r>
    </w:p>
    <w:p>
      <w:pPr>
        <w:pStyle w:val="Heading3"/>
        <w:keepNext/>
      </w:pPr>
      <w:r>
        <w:rPr>
          <w:rFonts w:ascii="Calibri" w:hAnsi="Calibri"/>
          <w:b/>
          <w:i w:val="0"/>
          <w:color w:val="1F4D78"/>
          <w:sz w:val="24"/>
        </w:rPr>
        <w:t>Continuous result vector and downstream proof</w:t>
      </w:r>
    </w:p>
    <w:p>
      <w:pPr>
        <w:keepNext w:val="0"/>
        <w:spacing w:before="0" w:after="120" w:line="264" w:lineRule="auto"/>
      </w:pPr>
      <w:r>
        <w:rPr>
          <w:rFonts w:ascii="Calibri" w:hAnsi="Calibri"/>
          <w:b w:val="0"/>
          <w:i w:val="0"/>
          <w:color w:val="111111"/>
          <w:sz w:val="22"/>
        </w:rPr>
        <w:t>Derive the scorecard from atomic evidence rather than one holistic grade. Preserve separate measures for grounding, causal coherence, functional sufficiency, decision discipline, AI eval readiness, and handoff executability. In addition to claim, outcome, path, requirement and assumption measures, report:</w:t>
      </w:r>
    </w:p>
    <w:p>
      <w:pPr>
        <w:pStyle w:val="ListBullet"/>
        <w:spacing w:after="160" w:line="280" w:lineRule="auto"/>
        <w:ind w:left="720" w:hanging="360"/>
      </w:pPr>
      <w:r>
        <w:rPr>
          <w:rFonts w:ascii="Calibri" w:hAnsi="Calibri"/>
          <w:b w:val="0"/>
          <w:i w:val="0"/>
          <w:color w:val="111111"/>
          <w:sz w:val="22"/>
        </w:rPr>
        <w:t>Capability Decomposition, Task-Type Assignment, Executable Contract, Input-Distribution, Failure-Budget, Fallback, Regression-Rule and Interface-Contract Coverage.</w:t>
      </w:r>
    </w:p>
    <w:p>
      <w:pPr>
        <w:pStyle w:val="ListBullet"/>
        <w:spacing w:after="160" w:line="280" w:lineRule="auto"/>
        <w:ind w:left="720" w:hanging="360"/>
      </w:pPr>
      <w:r>
        <w:rPr>
          <w:rFonts w:ascii="Calibri" w:hAnsi="Calibri"/>
          <w:b w:val="0"/>
          <w:i w:val="0"/>
          <w:color w:val="111111"/>
          <w:sz w:val="22"/>
        </w:rPr>
        <w:t>Unresolved Build Ambiguity Rate, Invented Product Decision Rate, Test-Stubbability and Traceable Implementation Coverage from an independent coding agent given only the released package and repository baseline.</w:t>
      </w:r>
    </w:p>
    <w:p>
      <w:pPr>
        <w:pStyle w:val="ListBullet"/>
        <w:spacing w:after="160" w:line="280" w:lineRule="auto"/>
        <w:ind w:left="720" w:hanging="360"/>
      </w:pPr>
      <w:r>
        <w:rPr>
          <w:rFonts w:ascii="Calibri" w:hAnsi="Calibri"/>
          <w:b w:val="0"/>
          <w:i w:val="0"/>
          <w:color w:val="111111"/>
          <w:sz w:val="22"/>
        </w:rPr>
        <w:t>Pairwise preference probability and confidence interval only among candidates that pass the core gates; cost per acceptable PRD and end-to-end latency are operating metrics, not substitutes for quality.</w:t>
      </w:r>
    </w:p>
    <w:tbl>
      <w:tblPr>
        <w:tblW w:type="dxa" w:w="9360"/>
        <w:jc w:val="left"/>
        <w:tblLayout w:type="fixed"/>
        <w:tblLook w:firstColumn="1" w:firstRow="1" w:lastColumn="0" w:lastRow="0" w:noHBand="0" w:noVBand="1" w:val="04A0"/>
        <w:tblInd w:w="120" w:type="dxa"/>
        <w:tblBorders>
          <w:top w:val="single" w:sz="0" w:space="0" w:color="EAF3EC"/>
          <w:left w:val="single" w:sz="0" w:space="0" w:color="EAF3EC"/>
          <w:bottom w:val="single" w:sz="0" w:space="0" w:color="EAF3EC"/>
          <w:right w:val="single" w:sz="0" w:space="0" w:color="EAF3EC"/>
          <w:insideH w:val="single" w:sz="0" w:space="0" w:color="EAF3EC"/>
          <w:insideV w:val="single" w:sz="0" w:space="0" w:color="EAF3EC"/>
        </w:tblBorders>
      </w:tblPr>
      <w:tblGrid>
        <w:gridCol w:w="9360"/>
      </w:tblGrid>
      <w:tr>
        <w:trPr>
          <w:cantSplit/>
        </w:trPr>
        <w:tc>
          <w:tcPr>
            <w:tcW w:type="dxa" w:w="9360"/>
            <w:tcMar>
              <w:top w:w="80" w:type="dxa"/>
              <w:start w:w="120" w:type="dxa"/>
              <w:bottom w:w="80" w:type="dxa"/>
              <w:end w:w="120" w:type="dxa"/>
            </w:tcMar>
            <w:vAlign w:val="center"/>
            <w:shd w:fill="EAF3EC"/>
          </w:tcPr>
          <w:p>
            <w:pPr>
              <w:spacing w:after="0" w:line="269" w:lineRule="auto"/>
            </w:pPr>
            <w:r>
              <w:rPr>
                <w:rFonts w:ascii="Calibri" w:hAnsi="Calibri"/>
                <w:b/>
                <w:i w:val="0"/>
                <w:color w:val="276749"/>
                <w:sz w:val="19"/>
              </w:rPr>
              <w:t xml:space="preserve">PRD DECISION RULE  </w:t>
            </w:r>
            <w:r>
              <w:rPr>
                <w:rFonts w:ascii="Calibri" w:hAnsi="Calibri"/>
                <w:b w:val="0"/>
                <w:i w:val="0"/>
                <w:color w:val="111111"/>
                <w:sz w:val="21"/>
              </w:rPr>
              <w:t>Validate run/evaluator coverage → apply critical gates → require minimum grounding and source fidelity → require minimum causal and functional sufficiency → require AI implementation/eval readiness and an independent coding-agent handoff → compare the surviving metric vectors → use blinded preference for residual qualitative differences → optimize cost or latency among quality-non-inferior candidates → confirm on the sealed holdout.</w:t>
            </w:r>
          </w:p>
        </w:tc>
      </w:tr>
    </w:tbl>
    <w:p>
      <w:pPr>
        <w:spacing w:after="60"/>
      </w:pPr>
    </w:p>
    <w:p>
      <w:pPr>
        <w:pStyle w:val="Heading2"/>
        <w:keepNext/>
      </w:pPr>
      <w:r>
        <w:rPr>
          <w:rFonts w:ascii="Calibri" w:hAnsi="Calibri"/>
          <w:b/>
          <w:i w:val="0"/>
          <w:color w:val="2E74B5"/>
          <w:sz w:val="26"/>
        </w:rPr>
        <w:t>Example B — PRD handoff into code generation / Agentic Builder</w:t>
      </w:r>
    </w:p>
    <w:p>
      <w:pPr>
        <w:keepNext w:val="0"/>
        <w:spacing w:before="0" w:after="120" w:line="264" w:lineRule="auto"/>
      </w:pPr>
      <w:r>
        <w:rPr>
          <w:rFonts w:ascii="Calibri" w:hAnsi="Calibri"/>
          <w:b w:val="0"/>
          <w:i w:val="0"/>
          <w:color w:val="111111"/>
          <w:sz w:val="22"/>
        </w:rPr>
        <w:t>This example evaluates both the handoff and the implementation. The PRD is a versioned source contract; the downstream agent must preserve requirement identity, surface ambiguity, and produce executable evidence. The existing EVAL.md practices provide the operational baseline: deterministic file checks, explicit check-execution coverage, source-fidelity comparison, first-build time, post-generation human edits, and stable failure/repair telemetry.</w:t>
      </w:r>
    </w:p>
    <w:p>
      <w:pPr>
        <w:pStyle w:val="ListBullet"/>
        <w:spacing w:after="160" w:line="280" w:lineRule="auto"/>
        <w:ind w:left="720" w:hanging="360"/>
      </w:pPr>
      <w:r>
        <w:rPr>
          <w:rFonts w:ascii="Calibri" w:hAnsi="Calibri"/>
          <w:b w:val="0"/>
          <w:i w:val="0"/>
          <w:color w:val="111111"/>
          <w:sz w:val="22"/>
        </w:rPr>
        <w:t>Target behavior: ingest the released PRD package; map every approved P0 requirement, capability contract, constraint, acceptance criterion, eval case, and unresolved question into implementation tasks and test/eval stubs; request clarification or abstain when the package is insufficient; preserve requirement and capability IDs through plans, code, tests, and final report.</w:t>
      </w:r>
    </w:p>
    <w:p>
      <w:pPr>
        <w:pStyle w:val="ListBullet"/>
        <w:spacing w:after="160" w:line="280" w:lineRule="auto"/>
        <w:ind w:left="720" w:hanging="360"/>
      </w:pPr>
      <w:r>
        <w:rPr>
          <w:rFonts w:ascii="Calibri" w:hAnsi="Calibri"/>
          <w:b w:val="0"/>
          <w:i w:val="0"/>
          <w:color w:val="111111"/>
          <w:sz w:val="22"/>
        </w:rPr>
        <w:t>Test cases: CRUD and stateful workflows; permissions; asynchronous jobs; external integrations; migrations; concurrent edits; failure/retry paths; deliberately incomplete or contradictory PRDs; protected existing behavior; and long-horizon interruption/resume.</w:t>
      </w:r>
    </w:p>
    <w:p>
      <w:pPr>
        <w:pStyle w:val="ListBullet"/>
        <w:spacing w:after="160" w:line="280" w:lineRule="auto"/>
        <w:ind w:left="720" w:hanging="360"/>
      </w:pPr>
      <w:r>
        <w:rPr>
          <w:rFonts w:ascii="Calibri" w:hAnsi="Calibri"/>
          <w:b w:val="0"/>
          <w:i w:val="0"/>
          <w:color w:val="111111"/>
          <w:sz w:val="22"/>
        </w:rPr>
        <w:t>Failure modes: silent requirement omission, invented behavior, implementation-to-PRD contradiction, tests that do not cover the claimed behavior, a gate installed but never invoked, duplicate side effects on retry, scope creep, and passing the build while failing the business workflow.</w:t>
      </w:r>
    </w:p>
    <w:p>
      <w:pPr>
        <w:pStyle w:val="ListBullet"/>
        <w:spacing w:after="160" w:line="280" w:lineRule="auto"/>
        <w:ind w:left="720" w:hanging="360"/>
      </w:pPr>
      <w:r>
        <w:rPr>
          <w:rFonts w:ascii="Calibri" w:hAnsi="Calibri"/>
          <w:b w:val="0"/>
          <w:i w:val="0"/>
          <w:color w:val="111111"/>
          <w:sz w:val="22"/>
        </w:rPr>
        <w:t>Scoring: hard build/test/security/state gates; executed-versus-never-run scorer coverage; requirement/capability-to-test and code traceability; unresolved build ambiguity; invented product decisions; test-stubbability; correct end state; first-success time; cost per successful implementation; repair burden; unnecessary steps; checkpoint recovery; and independent usefulness review where outcomes remain subjective.</w:t>
      </w:r>
    </w:p>
    <w:p>
      <w:pPr>
        <w:pStyle w:val="ListBullet"/>
        <w:spacing w:after="160" w:line="280" w:lineRule="auto"/>
        <w:ind w:left="720" w:hanging="360"/>
      </w:pPr>
      <w:r>
        <w:rPr>
          <w:rFonts w:ascii="Calibri" w:hAnsi="Calibri"/>
          <w:b w:val="0"/>
          <w:i w:val="0"/>
          <w:color w:val="111111"/>
          <w:sz w:val="22"/>
        </w:rPr>
        <w:t>Controls: compare the composed PRD→code workflow with the best single-model workflow; hold the source PRD, environment, budget, provider, and tools fixed during prompt/model ablations; charge handoff/context/cache overhead to the composed workflow.</w:t>
      </w:r>
    </w:p>
    <w:p>
      <w:pPr>
        <w:pStyle w:val="Heading2"/>
        <w:keepNext/>
      </w:pPr>
      <w:r>
        <w:rPr>
          <w:rFonts w:ascii="Calibri" w:hAnsi="Calibri"/>
          <w:b/>
          <w:i w:val="0"/>
          <w:color w:val="2E74B5"/>
          <w:sz w:val="26"/>
        </w:rPr>
        <w:t>Example C — Nestmed-style live transcription to contextual answers</w:t>
      </w:r>
    </w:p>
    <w:p>
      <w:pPr>
        <w:keepNext w:val="0"/>
        <w:spacing w:before="0" w:after="120" w:line="264" w:lineRule="auto"/>
      </w:pPr>
      <w:r>
        <w:rPr>
          <w:rFonts w:ascii="Calibri" w:hAnsi="Calibri"/>
          <w:b w:val="0"/>
          <w:i w:val="0"/>
          <w:color w:val="111111"/>
          <w:sz w:val="22"/>
        </w:rPr>
        <w:t>Illustrative pipeline: streaming audio → partial/final transcript → speaker/time alignment → domain entity and relation extraction → contextual state → grounded answer, summary, or structured note. Business outcomes such as reduced documentation time, faster response, fewer corrections, or higher completion must be confirmed and baselined by the client rather than assumed by the evaluator.</w:t>
      </w:r>
    </w:p>
    <w:p>
      <w:pPr>
        <w:pStyle w:val="ListBullet"/>
        <w:spacing w:after="160" w:line="280" w:lineRule="auto"/>
        <w:ind w:left="720" w:hanging="360"/>
      </w:pPr>
      <w:r>
        <w:rPr>
          <w:rFonts w:ascii="Calibri" w:hAnsi="Calibri"/>
          <w:b w:val="0"/>
          <w:i w:val="0"/>
          <w:color w:val="111111"/>
          <w:sz w:val="22"/>
        </w:rPr>
        <w:t>Target behavior: low-latency partial output that revises safely; faithful final transcript; correct speakers, timing, terminology, negation and uncertainty; answers supported by transcript evidence; abstention or escalation when audio/context is insufficient; no unapproved persistence or disclosure.</w:t>
      </w:r>
    </w:p>
    <w:p>
      <w:pPr>
        <w:pStyle w:val="ListBullet"/>
        <w:spacing w:after="160" w:line="280" w:lineRule="auto"/>
        <w:ind w:left="720" w:hanging="360"/>
      </w:pPr>
      <w:r>
        <w:rPr>
          <w:rFonts w:ascii="Calibri" w:hAnsi="Calibri"/>
          <w:b w:val="0"/>
          <w:i w:val="0"/>
          <w:color w:val="111111"/>
          <w:sz w:val="22"/>
        </w:rPr>
        <w:t>Test cases: accents, code-switching, domain terminology, overlap, interruptions, poor audio, dropped segments, late correction, long sessions, ambiguous references, contradictory context, silence, and questions whose answer is absent.</w:t>
      </w:r>
    </w:p>
    <w:p>
      <w:pPr>
        <w:pStyle w:val="ListBullet"/>
        <w:spacing w:after="160" w:line="280" w:lineRule="auto"/>
        <w:ind w:left="720" w:hanging="360"/>
      </w:pPr>
      <w:r>
        <w:rPr>
          <w:rFonts w:ascii="Calibri" w:hAnsi="Calibri"/>
          <w:b w:val="0"/>
          <w:i w:val="0"/>
          <w:color w:val="111111"/>
          <w:sz w:val="22"/>
        </w:rPr>
        <w:t>Failure modes: semantically important omission despite acceptable word error rate, wrong speaker, lost negation, stale partial transcript used after revision, hallucinated answer, unsupported confidence, excessive latency, privacy leakage, and failure to abstain.</w:t>
      </w:r>
    </w:p>
    <w:p>
      <w:pPr>
        <w:pStyle w:val="ListBullet"/>
        <w:spacing w:after="160" w:line="280" w:lineRule="auto"/>
        <w:ind w:left="720" w:hanging="360"/>
      </w:pPr>
      <w:r>
        <w:rPr>
          <w:rFonts w:ascii="Calibri" w:hAnsi="Calibri"/>
          <w:b w:val="0"/>
          <w:i w:val="0"/>
          <w:color w:val="111111"/>
          <w:sz w:val="22"/>
        </w:rPr>
        <w:t>Scoring: streaming lag and finalization latency; word/character error rate as diagnostics; weighted domain-entity and relation precision/recall; speaker/timestamp accuracy; semantic fact and negation preservation; answer citation/support coverage; abstention calibration; session-level acceptable-output rate; and task/business outcome measures supplied by the client.</w:t>
      </w:r>
    </w:p>
    <w:p>
      <w:pPr>
        <w:pStyle w:val="Heading2"/>
        <w:keepNext/>
      </w:pPr>
      <w:r>
        <w:rPr>
          <w:rFonts w:ascii="Calibri" w:hAnsi="Calibri"/>
          <w:b/>
          <w:i w:val="0"/>
          <w:color w:val="2E74B5"/>
          <w:sz w:val="26"/>
        </w:rPr>
        <w:t>Example D — Kangxin-style extraction, contextual understanding, and form filling</w:t>
      </w:r>
    </w:p>
    <w:p>
      <w:pPr>
        <w:keepNext w:val="0"/>
        <w:spacing w:before="0" w:after="120" w:line="264" w:lineRule="auto"/>
      </w:pPr>
      <w:r>
        <w:rPr>
          <w:rFonts w:ascii="Calibri" w:hAnsi="Calibri"/>
          <w:b w:val="0"/>
          <w:i w:val="0"/>
          <w:color w:val="111111"/>
          <w:sz w:val="22"/>
        </w:rPr>
        <w:t>Illustrative pipeline: document/image/text input → OCR or text extraction → layout/field/entity understanding → contextual resolution across pages or records → question answering or proposed form values → human or policy-controlled commit. The exact source types, fields, and authorization boundary must be provided by the client.</w:t>
      </w:r>
    </w:p>
    <w:p>
      <w:pPr>
        <w:pStyle w:val="ListBullet"/>
        <w:spacing w:after="160" w:line="280" w:lineRule="auto"/>
        <w:ind w:left="720" w:hanging="360"/>
      </w:pPr>
      <w:r>
        <w:rPr>
          <w:rFonts w:ascii="Calibri" w:hAnsi="Calibri"/>
          <w:b w:val="0"/>
          <w:i w:val="0"/>
          <w:color w:val="111111"/>
          <w:sz w:val="22"/>
        </w:rPr>
        <w:t>Target behavior: preserve source spans and coordinates; normalize only under declared rules; resolve entities and fields using allowed context; attach confidence/provenance to every answer or value; distinguish absent, illegible, conflicting and not-applicable; require approval before consequential writes where policy demands it.</w:t>
      </w:r>
    </w:p>
    <w:p>
      <w:pPr>
        <w:pStyle w:val="ListBullet"/>
        <w:spacing w:after="160" w:line="280" w:lineRule="auto"/>
        <w:ind w:left="720" w:hanging="360"/>
      </w:pPr>
      <w:r>
        <w:rPr>
          <w:rFonts w:ascii="Calibri" w:hAnsi="Calibri"/>
          <w:b w:val="0"/>
          <w:i w:val="0"/>
          <w:color w:val="111111"/>
          <w:sz w:val="22"/>
        </w:rPr>
        <w:t>Test cases: scans, tables, handwriting, multiple templates, rotated/noisy pages, duplicate names, units and dates, cross-page references, conflicting sources, missing required fields, adversarial instructions embedded in documents, and versioned form schemas.</w:t>
      </w:r>
    </w:p>
    <w:p>
      <w:pPr>
        <w:pStyle w:val="ListBullet"/>
        <w:spacing w:after="160" w:line="280" w:lineRule="auto"/>
        <w:ind w:left="720" w:hanging="360"/>
      </w:pPr>
      <w:r>
        <w:rPr>
          <w:rFonts w:ascii="Calibri" w:hAnsi="Calibri"/>
          <w:b w:val="0"/>
          <w:i w:val="0"/>
          <w:color w:val="111111"/>
          <w:sz w:val="22"/>
        </w:rPr>
        <w:t>Failure modes: transcription error that changes meaning, column/row misassociation, unsupported normalization, evidence from the wrong person/document, invented required values, overwriting a populated field, silent schema mismatch, and answer leakage across clients or records.</w:t>
      </w:r>
    </w:p>
    <w:p>
      <w:pPr>
        <w:pStyle w:val="ListBullet"/>
        <w:spacing w:after="160" w:line="280" w:lineRule="auto"/>
        <w:ind w:left="720" w:hanging="360"/>
      </w:pPr>
      <w:r>
        <w:rPr>
          <w:rFonts w:ascii="Calibri" w:hAnsi="Calibri"/>
          <w:b w:val="0"/>
          <w:i w:val="0"/>
          <w:color w:val="111111"/>
          <w:sz w:val="22"/>
        </w:rPr>
        <w:t>Scoring: field/entity precision and recall weighted by business consequence; exact/normalized match; source-span and page/region correctness; cross-document relation accuracy; form completion with false-fill and overwrite rates; grounded-answer correctness; abstention/escalation quality; latency and cost per accepted record; and downstream human correction time.</w:t>
      </w:r>
    </w:p>
    <w:p>
      <w:pPr>
        <w:pStyle w:val="Heading2"/>
        <w:keepNext/>
      </w:pPr>
      <w:r>
        <w:rPr>
          <w:rFonts w:ascii="Calibri" w:hAnsi="Calibri"/>
          <w:b/>
          <w:i w:val="0"/>
          <w:color w:val="2E74B5"/>
          <w:sz w:val="26"/>
        </w:rPr>
        <w:t>What the examples force into the shared contracts</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2380"/>
        <w:gridCol w:w="6980"/>
      </w:tblGrid>
      <w:tr>
        <w:trPr>
          <w:tblHeader w:val="true"/>
          <w:cantSplit/>
        </w:trPr>
        <w:tc>
          <w:tcPr>
            <w:tcW w:type="dxa" w:w="238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Example pressure</w:t>
            </w:r>
          </w:p>
        </w:tc>
        <w:tc>
          <w:tcPr>
            <w:tcW w:type="dxa" w:w="698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Required general capability</w:t>
            </w:r>
          </w:p>
        </w:tc>
      </w:tr>
      <w:tr>
        <w:trPr>
          <w:cantSplit/>
        </w:trPr>
        <w:tc>
          <w:tcPr>
            <w:tcW w:type="dxa" w:w="2380"/>
            <w:tcMar>
              <w:top w:w="80" w:type="dxa"/>
              <w:start w:w="120" w:type="dxa"/>
              <w:bottom w:w="80" w:type="dxa"/>
              <w:end w:w="120" w:type="dxa"/>
            </w:tcMar>
            <w:vAlign w:val="center"/>
          </w:tcPr>
          <w:p>
            <w:pPr>
              <w:spacing w:after="0" w:line="257" w:lineRule="auto"/>
            </w:pPr>
            <w:r>
              <w:rPr>
                <w:rFonts w:ascii="Calibri" w:hAnsi="Calibri"/>
                <w:b w:val="0"/>
                <w:i w:val="0"/>
                <w:color w:val="111111"/>
                <w:sz w:val="16"/>
              </w:rPr>
              <w:t>PRD business grounding</w:t>
            </w:r>
          </w:p>
        </w:tc>
        <w:tc>
          <w:tcPr>
            <w:tcW w:type="dxa" w:w="6980"/>
            <w:tcMar>
              <w:top w:w="80" w:type="dxa"/>
              <w:start w:w="120" w:type="dxa"/>
              <w:bottom w:w="80" w:type="dxa"/>
              <w:end w:w="120" w:type="dxa"/>
            </w:tcMar>
            <w:vAlign w:val="center"/>
          </w:tcPr>
          <w:p>
            <w:pPr>
              <w:spacing w:after="0" w:line="257" w:lineRule="auto"/>
            </w:pPr>
            <w:r>
              <w:rPr>
                <w:rFonts w:ascii="Calibri" w:hAnsi="Calibri"/>
                <w:b w:val="0"/>
                <w:i w:val="0"/>
                <w:color w:val="111111"/>
                <w:sz w:val="16"/>
              </w:rPr>
              <w:t>Claim/evidence provenance; fact/client-statement/inference/hypothesis/question/recommendation types; outcome and causal-link records; separate PRD-generator and product-capability datasets; comparable-product evidence; pairwise UX review.</w:t>
            </w:r>
          </w:p>
        </w:tc>
      </w:tr>
      <w:tr>
        <w:trPr>
          <w:cantSplit/>
        </w:trPr>
        <w:tc>
          <w:tcPr>
            <w:tcW w:type="dxa" w:w="2380"/>
            <w:tcMar>
              <w:top w:w="80" w:type="dxa"/>
              <w:start w:w="120" w:type="dxa"/>
              <w:bottom w:w="80" w:type="dxa"/>
              <w:end w:w="120" w:type="dxa"/>
            </w:tcMar>
            <w:vAlign w:val="center"/>
          </w:tcPr>
          <w:p>
            <w:pPr>
              <w:spacing w:after="0" w:line="257" w:lineRule="auto"/>
            </w:pPr>
            <w:r>
              <w:rPr>
                <w:rFonts w:ascii="Calibri" w:hAnsi="Calibri"/>
                <w:b w:val="0"/>
                <w:i w:val="0"/>
                <w:color w:val="111111"/>
                <w:sz w:val="16"/>
              </w:rPr>
              <w:t>PRD-to-code handoff</w:t>
            </w:r>
          </w:p>
        </w:tc>
        <w:tc>
          <w:tcPr>
            <w:tcW w:type="dxa" w:w="6980"/>
            <w:tcMar>
              <w:top w:w="80" w:type="dxa"/>
              <w:start w:w="120" w:type="dxa"/>
              <w:bottom w:w="80" w:type="dxa"/>
              <w:end w:w="120" w:type="dxa"/>
            </w:tcMar>
            <w:vAlign w:val="center"/>
          </w:tcPr>
          <w:p>
            <w:pPr>
              <w:spacing w:after="0" w:line="257" w:lineRule="auto"/>
            </w:pPr>
            <w:r>
              <w:rPr>
                <w:rFonts w:ascii="Calibri" w:hAnsi="Calibri"/>
                <w:b w:val="0"/>
                <w:i w:val="0"/>
                <w:color w:val="111111"/>
                <w:sz w:val="16"/>
              </w:rPr>
              <w:t>Stable requirement and capability IDs; task-type-specific eval blocks; resolvable schemas/interfaces/cases/rubrics/release policies; build-ambiguity and invented-decision measures; cross-stage lineage; check-execution states; environment assertions; exact-once side effects; checkpoint/recovery evidence.</w:t>
            </w:r>
          </w:p>
        </w:tc>
      </w:tr>
      <w:tr>
        <w:trPr>
          <w:cantSplit/>
        </w:trPr>
        <w:tc>
          <w:tcPr>
            <w:tcW w:type="dxa" w:w="2380"/>
            <w:tcMar>
              <w:top w:w="80" w:type="dxa"/>
              <w:start w:w="120" w:type="dxa"/>
              <w:bottom w:w="80" w:type="dxa"/>
              <w:end w:w="120" w:type="dxa"/>
            </w:tcMar>
            <w:vAlign w:val="center"/>
          </w:tcPr>
          <w:p>
            <w:pPr>
              <w:spacing w:after="0" w:line="257" w:lineRule="auto"/>
            </w:pPr>
            <w:r>
              <w:rPr>
                <w:rFonts w:ascii="Calibri" w:hAnsi="Calibri"/>
                <w:b w:val="0"/>
                <w:i w:val="0"/>
                <w:color w:val="111111"/>
                <w:sz w:val="16"/>
              </w:rPr>
              <w:t>Live transcription</w:t>
            </w:r>
          </w:p>
        </w:tc>
        <w:tc>
          <w:tcPr>
            <w:tcW w:type="dxa" w:w="6980"/>
            <w:tcMar>
              <w:top w:w="80" w:type="dxa"/>
              <w:start w:w="120" w:type="dxa"/>
              <w:bottom w:w="80" w:type="dxa"/>
              <w:end w:w="120" w:type="dxa"/>
            </w:tcMar>
            <w:vAlign w:val="center"/>
          </w:tcPr>
          <w:p>
            <w:pPr>
              <w:spacing w:after="0" w:line="257" w:lineRule="auto"/>
            </w:pPr>
            <w:r>
              <w:rPr>
                <w:rFonts w:ascii="Calibri" w:hAnsi="Calibri"/>
                <w:b w:val="0"/>
                <w:i w:val="0"/>
                <w:color w:val="111111"/>
                <w:sz w:val="16"/>
              </w:rPr>
              <w:t>Streaming partial/final revisions, time-coded evidence, session-level aggregation, latency distributions, abstention, and late-correction semantics.</w:t>
            </w:r>
          </w:p>
        </w:tc>
      </w:tr>
      <w:tr>
        <w:trPr>
          <w:cantSplit/>
        </w:trPr>
        <w:tc>
          <w:tcPr>
            <w:tcW w:type="dxa" w:w="2380"/>
            <w:tcMar>
              <w:top w:w="80" w:type="dxa"/>
              <w:start w:w="120" w:type="dxa"/>
              <w:bottom w:w="80" w:type="dxa"/>
              <w:end w:w="120" w:type="dxa"/>
            </w:tcMar>
            <w:vAlign w:val="center"/>
          </w:tcPr>
          <w:p>
            <w:pPr>
              <w:spacing w:after="0" w:line="257" w:lineRule="auto"/>
            </w:pPr>
            <w:r>
              <w:rPr>
                <w:rFonts w:ascii="Calibri" w:hAnsi="Calibri"/>
                <w:b w:val="0"/>
                <w:i w:val="0"/>
                <w:color w:val="111111"/>
                <w:sz w:val="16"/>
              </w:rPr>
              <w:t>Extraction and form filling</w:t>
            </w:r>
          </w:p>
        </w:tc>
        <w:tc>
          <w:tcPr>
            <w:tcW w:type="dxa" w:w="6980"/>
            <w:tcMar>
              <w:top w:w="80" w:type="dxa"/>
              <w:start w:w="120" w:type="dxa"/>
              <w:bottom w:w="80" w:type="dxa"/>
              <w:end w:w="120" w:type="dxa"/>
            </w:tcMar>
            <w:vAlign w:val="center"/>
          </w:tcPr>
          <w:p>
            <w:pPr>
              <w:spacing w:after="0" w:line="257" w:lineRule="auto"/>
            </w:pPr>
            <w:r>
              <w:rPr>
                <w:rFonts w:ascii="Calibri" w:hAnsi="Calibri"/>
                <w:b w:val="0"/>
                <w:i w:val="0"/>
                <w:color w:val="111111"/>
                <w:sz w:val="16"/>
              </w:rPr>
              <w:t>Source spans/coordinates, field-level confidence, schema versions, missing/conflict states, policy-controlled write proposals, and correction telemetry.</w:t>
            </w:r>
          </w:p>
        </w:tc>
      </w:tr>
      <w:tr>
        <w:trPr>
          <w:cantSplit/>
        </w:trPr>
        <w:tc>
          <w:tcPr>
            <w:tcW w:type="dxa" w:w="2380"/>
            <w:tcMar>
              <w:top w:w="80" w:type="dxa"/>
              <w:start w:w="120" w:type="dxa"/>
              <w:bottom w:w="80" w:type="dxa"/>
              <w:end w:w="120" w:type="dxa"/>
            </w:tcMar>
            <w:vAlign w:val="center"/>
          </w:tcPr>
          <w:p>
            <w:pPr>
              <w:spacing w:after="0" w:line="257" w:lineRule="auto"/>
            </w:pPr>
            <w:r>
              <w:rPr>
                <w:rFonts w:ascii="Calibri" w:hAnsi="Calibri"/>
                <w:b w:val="0"/>
                <w:i w:val="0"/>
                <w:color w:val="111111"/>
                <w:sz w:val="16"/>
              </w:rPr>
              <w:t>All external clients</w:t>
            </w:r>
          </w:p>
        </w:tc>
        <w:tc>
          <w:tcPr>
            <w:tcW w:type="dxa" w:w="6980"/>
            <w:tcMar>
              <w:top w:w="80" w:type="dxa"/>
              <w:start w:w="120" w:type="dxa"/>
              <w:bottom w:w="80" w:type="dxa"/>
              <w:end w:w="120" w:type="dxa"/>
            </w:tcMar>
            <w:vAlign w:val="center"/>
          </w:tcPr>
          <w:p>
            <w:pPr>
              <w:spacing w:after="0" w:line="257" w:lineRule="auto"/>
            </w:pPr>
            <w:r>
              <w:rPr>
                <w:rFonts w:ascii="Calibri" w:hAnsi="Calibri"/>
                <w:b w:val="0"/>
                <w:i w:val="0"/>
                <w:color w:val="111111"/>
                <w:sz w:val="16"/>
              </w:rPr>
              <w:t>Client-local data/secrets, allowlisted exports, human approval roles, task-specific business outcomes, signed versions, and reproducibility within statistical tolerance.</w:t>
            </w:r>
          </w:p>
        </w:tc>
      </w:tr>
    </w:tbl>
    <w:p>
      <w:pPr>
        <w:spacing w:after="40"/>
      </w:pPr>
    </w:p>
    <w:p>
      <w:pPr>
        <w:pStyle w:val="Heading2"/>
        <w:keepNext/>
      </w:pPr>
      <w:r>
        <w:rPr>
          <w:rFonts w:ascii="Calibri" w:hAnsi="Calibri"/>
          <w:b/>
          <w:i w:val="0"/>
          <w:color w:val="2E74B5"/>
          <w:sz w:val="26"/>
        </w:rPr>
        <w:t>Example-driven completeness and iteration loop</w:t>
      </w:r>
    </w:p>
    <w:p>
      <w:pPr>
        <w:pStyle w:val="ListNumber"/>
        <w:numPr>
          <w:ilvl w:val="0"/>
          <w:numId w:val="23"/>
        </w:numPr>
        <w:spacing w:after="160" w:line="280" w:lineRule="auto"/>
        <w:ind w:left="720" w:hanging="360"/>
      </w:pPr>
      <w:r>
        <w:rPr>
          <w:rFonts w:ascii="Calibri" w:hAnsi="Calibri"/>
          <w:b w:val="0"/>
          <w:i w:val="0"/>
          <w:color w:val="111111"/>
          <w:sz w:val="22"/>
        </w:rPr>
        <w:t>Instantiate each example as a complete EvalDesignSpec and WorkflowSpec, including target behavior, cases, failures, scorers, sampling, business measures, privacy policy, and release profile.</w:t>
      </w:r>
    </w:p>
    <w:p>
      <w:pPr>
        <w:pStyle w:val="ListNumber"/>
        <w:numPr>
          <w:ilvl w:val="0"/>
          <w:numId w:val="23"/>
        </w:numPr>
        <w:spacing w:after="160" w:line="280" w:lineRule="auto"/>
        <w:ind w:left="720" w:hanging="360"/>
      </w:pPr>
      <w:r>
        <w:rPr>
          <w:rFonts w:ascii="Calibri" w:hAnsi="Calibri"/>
          <w:b w:val="0"/>
          <w:i w:val="0"/>
          <w:color w:val="111111"/>
          <w:sz w:val="22"/>
        </w:rPr>
        <w:t>Run schema and coverage analysis. A required concept that cannot be represented is a contract gap; a representable but unspecified concept is an example/intake gap. Do not confuse the two.</w:t>
      </w:r>
    </w:p>
    <w:p>
      <w:pPr>
        <w:pStyle w:val="ListNumber"/>
        <w:numPr>
          <w:ilvl w:val="0"/>
          <w:numId w:val="23"/>
        </w:numPr>
        <w:spacing w:after="160" w:line="280" w:lineRule="auto"/>
        <w:ind w:left="720" w:hanging="360"/>
      </w:pPr>
      <w:r>
        <w:rPr>
          <w:rFonts w:ascii="Calibri" w:hAnsi="Calibri"/>
          <w:b w:val="0"/>
          <w:i w:val="0"/>
          <w:color w:val="111111"/>
          <w:sz w:val="22"/>
        </w:rPr>
        <w:t>Add a general contract field only when at least two task families need the concept or the omission is safety-critical; otherwise use a versioned task-family extension so the core does not become an unbounded schema.</w:t>
      </w:r>
    </w:p>
    <w:p>
      <w:pPr>
        <w:pStyle w:val="ListNumber"/>
        <w:numPr>
          <w:ilvl w:val="0"/>
          <w:numId w:val="23"/>
        </w:numPr>
        <w:spacing w:after="160" w:line="280" w:lineRule="auto"/>
        <w:ind w:left="720" w:hanging="360"/>
      </w:pPr>
      <w:r>
        <w:rPr>
          <w:rFonts w:ascii="Calibri" w:hAnsi="Calibri"/>
          <w:b w:val="0"/>
          <w:i w:val="0"/>
          <w:color w:val="111111"/>
          <w:sz w:val="22"/>
        </w:rPr>
        <w:t>Generate synthetic and perturbation cases to fill declared coverage gaps, then require SME solvability review and preserve provenance. Add real failure traces only after privacy review and de-identification policy approval.</w:t>
      </w:r>
    </w:p>
    <w:p>
      <w:pPr>
        <w:pStyle w:val="ListNumber"/>
        <w:numPr>
          <w:ilvl w:val="0"/>
          <w:numId w:val="23"/>
        </w:numPr>
        <w:spacing w:after="160" w:line="280" w:lineRule="auto"/>
        <w:ind w:left="720" w:hanging="360"/>
      </w:pPr>
      <w:r>
        <w:rPr>
          <w:rFonts w:ascii="Calibri" w:hAnsi="Calibri"/>
          <w:b w:val="0"/>
          <w:i w:val="0"/>
          <w:color w:val="111111"/>
          <w:sz w:val="22"/>
        </w:rPr>
        <w:t>Calibrate deterministic/reference scorers, judges, and human instructions against labeled examples. Revise prompts or methodology on the development/calibration partitions, rerun paired validation, and confirm only the promoted candidate on the sealed holdout.</w:t>
      </w:r>
    </w:p>
    <w:p>
      <w:pPr>
        <w:pStyle w:val="ListNumber"/>
        <w:numPr>
          <w:ilvl w:val="0"/>
          <w:numId w:val="23"/>
        </w:numPr>
        <w:spacing w:after="160" w:line="280" w:lineRule="auto"/>
        <w:ind w:left="720" w:hanging="360"/>
      </w:pPr>
      <w:r>
        <w:rPr>
          <w:rFonts w:ascii="Calibri" w:hAnsi="Calibri"/>
          <w:b w:val="0"/>
          <w:i w:val="0"/>
          <w:color w:val="111111"/>
          <w:sz w:val="22"/>
        </w:rPr>
        <w:t>At each release, publish a completeness matrix: behavior/failure coverage, scorer execution, unobservable fields, dataset slices, calibration error, business-outcome linkage, unresolved assumptions, and which examples remain unsupported.</w:t>
      </w:r>
    </w:p>
    <w:tbl>
      <w:tblPr>
        <w:tblW w:type="dxa" w:w="9360"/>
        <w:jc w:val="left"/>
        <w:tblLayout w:type="fixed"/>
        <w:tblLook w:firstColumn="1" w:firstRow="1" w:lastColumn="0" w:lastRow="0" w:noHBand="0" w:noVBand="1" w:val="04A0"/>
        <w:tblInd w:w="120" w:type="dxa"/>
        <w:tblBorders>
          <w:top w:val="single" w:sz="0" w:space="0" w:color="F4F6F9"/>
          <w:left w:val="single" w:sz="0" w:space="0" w:color="F4F6F9"/>
          <w:bottom w:val="single" w:sz="0" w:space="0" w:color="F4F6F9"/>
          <w:right w:val="single" w:sz="0" w:space="0" w:color="F4F6F9"/>
          <w:insideH w:val="single" w:sz="0" w:space="0" w:color="F4F6F9"/>
          <w:insideV w:val="single" w:sz="0" w:space="0"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after="0" w:line="269" w:lineRule="auto"/>
            </w:pPr>
            <w:r>
              <w:rPr>
                <w:rFonts w:ascii="Calibri" w:hAnsi="Calibri"/>
                <w:b/>
                <w:i w:val="0"/>
                <w:color w:val="0B2545"/>
                <w:sz w:val="19"/>
              </w:rPr>
              <w:t xml:space="preserve">INITIAL COMPLETENESS VERDICT  </w:t>
            </w:r>
            <w:r>
              <w:rPr>
                <w:rFonts w:ascii="Calibri" w:hAnsi="Calibri"/>
                <w:b w:val="0"/>
                <w:i w:val="0"/>
                <w:color w:val="111111"/>
                <w:sz w:val="21"/>
              </w:rPr>
              <w:t>The shared architecture is sufficient only if it represents source lineage and business-outcome graphs for PRDs, cross-stage requirement lineage and executed-check status for Agentic Builder, streaming revision/time evidence for transcription, and source-span/field-write semantics for extraction and forms. These become contract tests, not prose-only aspirations.</w:t>
            </w:r>
          </w:p>
        </w:tc>
      </w:tr>
    </w:tbl>
    <w:p>
      <w:pPr>
        <w:spacing w:after="60"/>
      </w:pPr>
    </w:p>
    <w:p>
      <w:pPr>
        <w:pStyle w:val="Heading1"/>
        <w:keepNext/>
      </w:pPr>
      <w:r>
        <w:rPr>
          <w:rFonts w:ascii="Calibri" w:hAnsi="Calibri"/>
          <w:b/>
          <w:i w:val="0"/>
          <w:color w:val="2E74B5"/>
          <w:sz w:val="32"/>
        </w:rPr>
        <w:t>12. Concrete migration and implementation plan</w:t>
      </w:r>
    </w:p>
    <w:tbl>
      <w:tblPr>
        <w:tblW w:type="dxa" w:w="9360"/>
        <w:jc w:val="left"/>
        <w:tblLayout w:type="fixed"/>
        <w:tblLook w:firstColumn="1" w:firstRow="1" w:lastColumn="0" w:lastRow="0" w:noHBand="0" w:noVBand="1" w:val="04A0"/>
        <w:tblInd w:w="120" w:type="dxa"/>
        <w:tblBorders>
          <w:top w:val="single" w:sz="0" w:space="0" w:color="EEF3F8"/>
          <w:left w:val="single" w:sz="0" w:space="0" w:color="EEF3F8"/>
          <w:bottom w:val="single" w:sz="0" w:space="0" w:color="EEF3F8"/>
          <w:right w:val="single" w:sz="0" w:space="0" w:color="EEF3F8"/>
          <w:insideH w:val="single" w:sz="0" w:space="0" w:color="EEF3F8"/>
          <w:insideV w:val="single" w:sz="0" w:space="0" w:color="EEF3F8"/>
        </w:tblBorders>
      </w:tblPr>
      <w:tblGrid>
        <w:gridCol w:w="9360"/>
      </w:tblGrid>
      <w:tr>
        <w:trPr>
          <w:cantSplit/>
        </w:trPr>
        <w:tc>
          <w:tcPr>
            <w:tcW w:type="dxa" w:w="9360"/>
            <w:tcMar>
              <w:top w:w="80" w:type="dxa"/>
              <w:start w:w="120" w:type="dxa"/>
              <w:bottom w:w="80" w:type="dxa"/>
              <w:end w:w="120" w:type="dxa"/>
            </w:tcMar>
            <w:vAlign w:val="center"/>
            <w:shd w:fill="EEF3F8"/>
          </w:tcPr>
          <w:p>
            <w:pPr>
              <w:spacing w:after="0" w:line="269" w:lineRule="auto"/>
            </w:pPr>
            <w:r>
              <w:rPr>
                <w:rFonts w:ascii="Calibri" w:hAnsi="Calibri"/>
                <w:b/>
                <w:i w:val="0"/>
                <w:color w:val="1F4D78"/>
                <w:sz w:val="19"/>
              </w:rPr>
              <w:t xml:space="preserve">CHANGE FROM TODAY  </w:t>
            </w:r>
            <w:r>
              <w:rPr>
                <w:rFonts w:ascii="Calibri" w:hAnsi="Calibri"/>
                <w:b w:val="0"/>
                <w:i w:val="0"/>
                <w:color w:val="111111"/>
                <w:sz w:val="21"/>
              </w:rPr>
              <w:t>Today: A working evaluator must continue serving Agentic Builder while new capabilities are introduced.  Change: Deliver through compatibility, shadow dual-write, controlled cutover, and independently gated extensions; do not make a dashboard, gateway, or new runner the migration boundary.  Proof: Existing users retain current behavior throughout; each milestone has parity, conformance, security, and rollback evidence.</w:t>
            </w:r>
          </w:p>
        </w:tc>
      </w:tr>
    </w:tbl>
    <w:p>
      <w:pPr>
        <w:spacing w:after="60"/>
      </w:pPr>
    </w:p>
    <w:p>
      <w:pPr>
        <w:pStyle w:val="Heading2"/>
        <w:keepNext/>
      </w:pPr>
      <w:r>
        <w:rPr>
          <w:rFonts w:ascii="Calibri" w:hAnsi="Calibri"/>
          <w:b/>
          <w:i w:val="0"/>
          <w:color w:val="2E74B5"/>
          <w:sz w:val="26"/>
        </w:rPr>
        <w:t>Scope boundary: core v1 and extension tracks</w:t>
      </w:r>
    </w:p>
    <w:p>
      <w:pPr>
        <w:keepNext w:val="0"/>
        <w:spacing w:before="0" w:after="120" w:line="264" w:lineRule="auto"/>
      </w:pPr>
      <w:r>
        <w:rPr>
          <w:rFonts w:ascii="Calibri" w:hAnsi="Calibri"/>
          <w:b w:val="0"/>
          <w:i w:val="0"/>
          <w:color w:val="111111"/>
          <w:sz w:val="22"/>
        </w:rPr>
        <w:t>The full architecture is intentionally broader than the first release. Core v1 begins by preserving current Agentic Builder behavior, not by replacing it. It then proves measurement validity and portability before adding every modality and deployment pattern, while still including one external-customer pilot: a client-supplied workflow and approved data run in the client environment, using local credentials and exporting only a policy-filtered result envelope. Treat the reusable multi-client plane, gateway laboratory, continuous production routing, and video evaluation as separately gated extensions that reuse the same contracts.</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750"/>
        <w:gridCol w:w="4650"/>
        <w:gridCol w:w="2960"/>
      </w:tblGrid>
      <w:tr>
        <w:trPr>
          <w:tblHeader w:val="true"/>
          <w:cantSplit/>
        </w:trPr>
        <w:tc>
          <w:tcPr>
            <w:tcW w:type="dxa" w:w="17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Release track</w:t>
            </w:r>
          </w:p>
        </w:tc>
        <w:tc>
          <w:tcPr>
            <w:tcW w:type="dxa" w:w="46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Included outcome</w:t>
            </w:r>
          </w:p>
        </w:tc>
        <w:tc>
          <w:tcPr>
            <w:tcW w:type="dxa" w:w="296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Explicitly deferred</w:t>
            </w:r>
          </w:p>
        </w:tc>
      </w:tr>
      <w:tr>
        <w:trPr>
          <w:cantSplit/>
        </w:trPr>
        <w:tc>
          <w:tcPr>
            <w:tcW w:type="dxa" w:w="1750"/>
            <w:tcMar>
              <w:top w:w="80" w:type="dxa"/>
              <w:start w:w="120" w:type="dxa"/>
              <w:bottom w:w="80" w:type="dxa"/>
              <w:end w:w="120" w:type="dxa"/>
            </w:tcMar>
            <w:vAlign w:val="center"/>
          </w:tcPr>
          <w:p>
            <w:pPr>
              <w:spacing w:after="0" w:line="257" w:lineRule="auto"/>
            </w:pPr>
            <w:r>
              <w:rPr>
                <w:rFonts w:ascii="Calibri" w:hAnsi="Calibri"/>
                <w:b w:val="0"/>
                <w:i w:val="0"/>
                <w:color w:val="111111"/>
                <w:sz w:val="16"/>
              </w:rPr>
              <w:t>Core v1 / MVP</w:t>
            </w:r>
          </w:p>
        </w:tc>
        <w:tc>
          <w:tcPr>
            <w:tcW w:type="dxa" w:w="4650"/>
            <w:tcMar>
              <w:top w:w="80" w:type="dxa"/>
              <w:start w:w="120" w:type="dxa"/>
              <w:bottom w:w="80" w:type="dxa"/>
              <w:end w:w="120" w:type="dxa"/>
            </w:tcMar>
            <w:vAlign w:val="center"/>
          </w:tcPr>
          <w:p>
            <w:pPr>
              <w:spacing w:after="0" w:line="257" w:lineRule="auto"/>
            </w:pPr>
            <w:r>
              <w:rPr>
                <w:rFonts w:ascii="Calibri" w:hAnsi="Calibri"/>
                <w:b w:val="0"/>
                <w:i w:val="0"/>
                <w:color w:val="111111"/>
                <w:sz w:val="16"/>
              </w:rPr>
              <w:t>Frozen Agentic Builder baseline and parity adapter; canonical contracts; safe aggregation; guided EvalDesignSpec/WorkflowSpec authoring; native-direct adapters; replaceable runner; three task families; deterministic/calibrated scoring; traces; model-role search; workflow tuning; Pareto report; one client pilot with local data/credentials and filtered export.</w:t>
            </w:r>
          </w:p>
        </w:tc>
        <w:tc>
          <w:tcPr>
            <w:tcW w:type="dxa" w:w="2960"/>
            <w:tcMar>
              <w:top w:w="80" w:type="dxa"/>
              <w:start w:w="120" w:type="dxa"/>
              <w:bottom w:w="80" w:type="dxa"/>
              <w:end w:w="120" w:type="dxa"/>
            </w:tcMar>
            <w:vAlign w:val="center"/>
          </w:tcPr>
          <w:p>
            <w:pPr>
              <w:spacing w:after="0" w:line="257" w:lineRule="auto"/>
            </w:pPr>
            <w:r>
              <w:rPr>
                <w:rFonts w:ascii="Calibri" w:hAnsi="Calibri"/>
                <w:b w:val="0"/>
                <w:i w:val="0"/>
                <w:color w:val="111111"/>
                <w:sz w:val="16"/>
              </w:rPr>
              <w:t>Production gateway selection, live adaptive routing, video-specific scoring, reusable multi-client packaging, additional clouds, and air-gapped operation.</w:t>
            </w:r>
          </w:p>
        </w:tc>
      </w:tr>
      <w:tr>
        <w:trPr>
          <w:cantSplit/>
        </w:trPr>
        <w:tc>
          <w:tcPr>
            <w:tcW w:type="dxa" w:w="1750"/>
            <w:tcMar>
              <w:top w:w="80" w:type="dxa"/>
              <w:start w:w="120" w:type="dxa"/>
              <w:bottom w:w="80" w:type="dxa"/>
              <w:end w:w="120" w:type="dxa"/>
            </w:tcMar>
            <w:vAlign w:val="center"/>
          </w:tcPr>
          <w:p>
            <w:pPr>
              <w:spacing w:after="0" w:line="257" w:lineRule="auto"/>
            </w:pPr>
            <w:r>
              <w:rPr>
                <w:rFonts w:ascii="Calibri" w:hAnsi="Calibri"/>
                <w:b w:val="0"/>
                <w:i w:val="0"/>
                <w:color w:val="111111"/>
                <w:sz w:val="16"/>
              </w:rPr>
              <w:t>Gateway qualification</w:t>
            </w:r>
          </w:p>
        </w:tc>
        <w:tc>
          <w:tcPr>
            <w:tcW w:type="dxa" w:w="4650"/>
            <w:tcMar>
              <w:top w:w="80" w:type="dxa"/>
              <w:start w:w="120" w:type="dxa"/>
              <w:bottom w:w="80" w:type="dxa"/>
              <w:end w:w="120" w:type="dxa"/>
            </w:tcMar>
            <w:vAlign w:val="center"/>
          </w:tcPr>
          <w:p>
            <w:pPr>
              <w:spacing w:after="0" w:line="257" w:lineRule="auto"/>
            </w:pPr>
            <w:hyperlink r:id="rId12">
              <w:r>
                <w:rPr>
                  <w:rFonts w:ascii="Calibri" w:hAnsi="Calibri"/>
                  <w:color w:val="2E74B5"/>
                  <w:u w:val="single"/>
                  <w:sz w:val="16"/>
                  <w:szCs w:val="16"/>
                </w:rPr>
                <w:t>Bifrost</w:t>
              </w:r>
            </w:hyperlink>
            <w:r>
              <w:rPr>
                <w:rFonts w:ascii="Calibri" w:hAnsi="Calibri"/>
                <w:b w:val="0"/>
                <w:i w:val="0"/>
                <w:color w:val="111111"/>
                <w:sz w:val="16"/>
              </w:rPr>
              <w:t xml:space="preserve">, </w:t>
            </w:r>
            <w:hyperlink r:id="rId13">
              <w:r>
                <w:rPr>
                  <w:rFonts w:ascii="Calibri" w:hAnsi="Calibri"/>
                  <w:color w:val="2E74B5"/>
                  <w:u w:val="single"/>
                  <w:sz w:val="16"/>
                  <w:szCs w:val="16"/>
                </w:rPr>
                <w:t>Portkey</w:t>
              </w:r>
            </w:hyperlink>
            <w:r>
              <w:rPr>
                <w:rFonts w:ascii="Calibri" w:hAnsi="Calibri"/>
                <w:b w:val="0"/>
                <w:i w:val="0"/>
                <w:color w:val="111111"/>
                <w:sz w:val="16"/>
              </w:rPr>
              <w:t xml:space="preserve">, and one managed challenger pass conformance, security, operability, overhead, and migration tests; </w:t>
            </w:r>
            <w:hyperlink r:id="rId14">
              <w:r>
                <w:rPr>
                  <w:rFonts w:ascii="Calibri" w:hAnsi="Calibri"/>
                  <w:color w:val="2E74B5"/>
                  <w:u w:val="single"/>
                  <w:sz w:val="16"/>
                  <w:szCs w:val="16"/>
                </w:rPr>
                <w:t>LiteLLM</w:t>
              </w:r>
            </w:hyperlink>
            <w:r>
              <w:rPr>
                <w:rFonts w:ascii="Calibri" w:hAnsi="Calibri"/>
                <w:b w:val="0"/>
                <w:i w:val="0"/>
                <w:color w:val="111111"/>
                <w:sz w:val="16"/>
              </w:rPr>
              <w:t xml:space="preserve"> covers breadth gaps.</w:t>
            </w:r>
          </w:p>
        </w:tc>
        <w:tc>
          <w:tcPr>
            <w:tcW w:type="dxa" w:w="2960"/>
            <w:tcMar>
              <w:top w:w="80" w:type="dxa"/>
              <w:start w:w="120" w:type="dxa"/>
              <w:bottom w:w="80" w:type="dxa"/>
              <w:end w:w="120" w:type="dxa"/>
            </w:tcMar>
            <w:vAlign w:val="center"/>
          </w:tcPr>
          <w:p>
            <w:pPr>
              <w:spacing w:after="0" w:line="257" w:lineRule="auto"/>
            </w:pPr>
            <w:r>
              <w:rPr>
                <w:rFonts w:ascii="Calibri" w:hAnsi="Calibri"/>
                <w:b w:val="0"/>
                <w:i w:val="0"/>
                <w:color w:val="111111"/>
                <w:sz w:val="16"/>
              </w:rPr>
              <w:t>Automatic cross-model routing until the logical and physical routing planes are independently validated.</w:t>
            </w:r>
          </w:p>
        </w:tc>
      </w:tr>
      <w:tr>
        <w:trPr>
          <w:cantSplit/>
        </w:trPr>
        <w:tc>
          <w:tcPr>
            <w:tcW w:type="dxa" w:w="1750"/>
            <w:tcMar>
              <w:top w:w="80" w:type="dxa"/>
              <w:start w:w="120" w:type="dxa"/>
              <w:bottom w:w="80" w:type="dxa"/>
              <w:end w:w="120" w:type="dxa"/>
            </w:tcMar>
            <w:vAlign w:val="center"/>
          </w:tcPr>
          <w:p>
            <w:pPr>
              <w:spacing w:after="0" w:line="257" w:lineRule="auto"/>
            </w:pPr>
            <w:r>
              <w:rPr>
                <w:rFonts w:ascii="Calibri" w:hAnsi="Calibri"/>
                <w:b w:val="0"/>
                <w:i w:val="0"/>
                <w:color w:val="111111"/>
                <w:sz w:val="16"/>
              </w:rPr>
              <w:t>Video extension</w:t>
            </w:r>
          </w:p>
        </w:tc>
        <w:tc>
          <w:tcPr>
            <w:tcW w:type="dxa" w:w="4650"/>
            <w:tcMar>
              <w:top w:w="80" w:type="dxa"/>
              <w:start w:w="120" w:type="dxa"/>
              <w:bottom w:w="80" w:type="dxa"/>
              <w:end w:w="120" w:type="dxa"/>
            </w:tcMar>
            <w:vAlign w:val="center"/>
          </w:tcPr>
          <w:p>
            <w:pPr>
              <w:spacing w:after="0" w:line="257" w:lineRule="auto"/>
            </w:pPr>
            <w:r>
              <w:rPr>
                <w:rFonts w:ascii="Calibri" w:hAnsi="Calibri"/>
                <w:b w:val="0"/>
                <w:i w:val="0"/>
                <w:color w:val="111111"/>
                <w:sz w:val="16"/>
              </w:rPr>
              <w:t>Asynchronous media adapters, artifact manifests, temporal/identity/design scorer bundles, human calibration, and cost per acceptable clip.</w:t>
            </w:r>
          </w:p>
        </w:tc>
        <w:tc>
          <w:tcPr>
            <w:tcW w:type="dxa" w:w="2960"/>
            <w:tcMar>
              <w:top w:w="80" w:type="dxa"/>
              <w:start w:w="120" w:type="dxa"/>
              <w:bottom w:w="80" w:type="dxa"/>
              <w:end w:w="120" w:type="dxa"/>
            </w:tcMar>
            <w:vAlign w:val="center"/>
          </w:tcPr>
          <w:p>
            <w:pPr>
              <w:spacing w:after="0" w:line="257" w:lineRule="auto"/>
            </w:pPr>
            <w:r>
              <w:rPr>
                <w:rFonts w:ascii="Calibri" w:hAnsi="Calibri"/>
                <w:b w:val="0"/>
                <w:i w:val="0"/>
                <w:color w:val="111111"/>
                <w:sz w:val="16"/>
              </w:rPr>
              <w:t>Universal claims across use cases without a domain-specific rubric and labeled calibration set.</w:t>
            </w:r>
          </w:p>
        </w:tc>
      </w:tr>
      <w:tr>
        <w:trPr>
          <w:cantSplit/>
        </w:trPr>
        <w:tc>
          <w:tcPr>
            <w:tcW w:type="dxa" w:w="1750"/>
            <w:tcMar>
              <w:top w:w="80" w:type="dxa"/>
              <w:start w:w="120" w:type="dxa"/>
              <w:bottom w:w="80" w:type="dxa"/>
              <w:end w:w="120" w:type="dxa"/>
            </w:tcMar>
            <w:vAlign w:val="center"/>
          </w:tcPr>
          <w:p>
            <w:pPr>
              <w:spacing w:after="0" w:line="257" w:lineRule="auto"/>
            </w:pPr>
            <w:r>
              <w:rPr>
                <w:rFonts w:ascii="Calibri" w:hAnsi="Calibri"/>
                <w:b w:val="0"/>
                <w:i w:val="0"/>
                <w:color w:val="111111"/>
                <w:sz w:val="16"/>
              </w:rPr>
              <w:t>External-client plane</w:t>
            </w:r>
          </w:p>
        </w:tc>
        <w:tc>
          <w:tcPr>
            <w:tcW w:type="dxa" w:w="4650"/>
            <w:tcMar>
              <w:top w:w="80" w:type="dxa"/>
              <w:start w:w="120" w:type="dxa"/>
              <w:bottom w:w="80" w:type="dxa"/>
              <w:end w:w="120" w:type="dxa"/>
            </w:tcMar>
            <w:vAlign w:val="center"/>
          </w:tcPr>
          <w:p>
            <w:pPr>
              <w:spacing w:after="0" w:line="257" w:lineRule="auto"/>
            </w:pPr>
            <w:r>
              <w:rPr>
                <w:rFonts w:ascii="Calibri" w:hAnsi="Calibri"/>
                <w:b w:val="0"/>
                <w:i w:val="0"/>
                <w:color w:val="111111"/>
                <w:sz w:val="16"/>
              </w:rPr>
              <w:t>Reusable signed bundles, client-hosted execution, local secrets/data, filtered results, reproducibility capsules, and a reference-cloud deployment beyond the MVP pilot.</w:t>
            </w:r>
          </w:p>
        </w:tc>
        <w:tc>
          <w:tcPr>
            <w:tcW w:type="dxa" w:w="2960"/>
            <w:tcMar>
              <w:top w:w="80" w:type="dxa"/>
              <w:start w:w="120" w:type="dxa"/>
              <w:bottom w:w="80" w:type="dxa"/>
              <w:end w:w="120" w:type="dxa"/>
            </w:tcMar>
            <w:vAlign w:val="center"/>
          </w:tcPr>
          <w:p>
            <w:pPr>
              <w:spacing w:after="0" w:line="257" w:lineRule="auto"/>
            </w:pPr>
            <w:r>
              <w:rPr>
                <w:rFonts w:ascii="Calibri" w:hAnsi="Calibri"/>
                <w:b w:val="0"/>
                <w:i w:val="0"/>
                <w:color w:val="111111"/>
                <w:sz w:val="16"/>
              </w:rPr>
              <w:t>Additional clouds, air-gapped packaging, and production sensitive-data runs until client gates are satisfied.</w:t>
            </w:r>
          </w:p>
        </w:tc>
      </w:tr>
    </w:tbl>
    <w:p>
      <w:pPr>
        <w:spacing w:after="40"/>
      </w:pPr>
    </w:p>
    <w:p>
      <w:pPr>
        <w:pStyle w:val="Heading2"/>
        <w:keepNext/>
      </w:pPr>
      <w:r>
        <w:rPr>
          <w:rFonts w:ascii="Calibri" w:hAnsi="Calibri"/>
          <w:b/>
          <w:i w:val="0"/>
          <w:color w:val="2E74B5"/>
          <w:sz w:val="26"/>
        </w:rPr>
        <w:t>Suggested repository structure</w:t>
      </w:r>
    </w:p>
    <w:tbl>
      <w:tblPr>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9360"/>
      </w:tblGrid>
      <w:tr>
        <w:trPr>
          <w:cantSplit/>
        </w:trPr>
        <w:tc>
          <w:tcPr>
            <w:tcW w:type="dxa" w:w="9360"/>
            <w:tcMar>
              <w:top w:w="80" w:type="dxa"/>
              <w:start w:w="120" w:type="dxa"/>
              <w:bottom w:w="80" w:type="dxa"/>
              <w:end w:w="120" w:type="dxa"/>
            </w:tcMar>
            <w:vAlign w:val="center"/>
            <w:shd w:fill="F7F8FA"/>
          </w:tcPr>
          <w:p>
            <w:pPr>
              <w:spacing w:after="0" w:line="240" w:lineRule="auto"/>
            </w:pPr>
            <w:r>
              <w:rPr>
                <w:rFonts w:ascii="Menlo" w:hAnsi="Menlo"/>
                <w:b w:val="0"/>
                <w:i w:val="0"/>
                <w:color w:val="263238"/>
                <w:sz w:val="16"/>
              </w:rPr>
              <w:t>agentic-evaluator/</w:t>
              <w:br/>
            </w:r>
            <w:r>
              <w:rPr>
                <w:rFonts w:ascii="Menlo" w:hAnsi="Menlo"/>
                <w:b w:val="0"/>
                <w:i w:val="0"/>
                <w:color w:val="263238"/>
                <w:sz w:val="16"/>
              </w:rPr>
              <w:t xml:space="preserve">  contracts/        # versioned JSON Schema / Pydantic types</w:t>
              <w:br/>
            </w:r>
            <w:r>
              <w:rPr>
                <w:rFonts w:ascii="Menlo" w:hAnsi="Menlo"/>
                <w:b w:val="0"/>
                <w:i w:val="0"/>
                <w:color w:val="263238"/>
                <w:sz w:val="16"/>
              </w:rPr>
              <w:t xml:space="preserve">  design_studio/    # guided task, data, scorer, judge-prompt and workflow-prompt drafting</w:t>
              <w:br/>
            </w:r>
            <w:r>
              <w:rPr>
                <w:rFonts w:ascii="Menlo" w:hAnsi="Menlo"/>
                <w:b w:val="0"/>
                <w:i w:val="0"/>
                <w:color w:val="263238"/>
                <w:sz w:val="16"/>
              </w:rPr>
              <w:t xml:space="preserve">  adapters/         # agent, provider, tool, sandbox, evaluator adapters</w:t>
              <w:br/>
            </w:r>
            <w:r>
              <w:rPr>
                <w:rFonts w:ascii="Menlo" w:hAnsi="Menlo"/>
                <w:b w:val="0"/>
                <w:i w:val="0"/>
                <w:color w:val="263238"/>
                <w:sz w:val="16"/>
              </w:rPr>
              <w:t xml:space="preserve">  scenarios/        # task specs, fixtures, resets, outcome assertions</w:t>
              <w:br/>
            </w:r>
            <w:r>
              <w:rPr>
                <w:rFonts w:ascii="Menlo" w:hAnsi="Menlo"/>
                <w:b w:val="0"/>
                <w:i w:val="0"/>
                <w:color w:val="263238"/>
                <w:sz w:val="16"/>
              </w:rPr>
              <w:t xml:space="preserve">  workflows/        # versioned graphs, prompts, budgets, policies</w:t>
              <w:br/>
            </w:r>
            <w:r>
              <w:rPr>
                <w:rFonts w:ascii="Menlo" w:hAnsi="Menlo"/>
                <w:b w:val="0"/>
                <w:i w:val="0"/>
                <w:color w:val="263238"/>
                <w:sz w:val="16"/>
              </w:rPr>
              <w:t xml:space="preserve">  runner/           # episode execution, cancellation, replay, checkpoints</w:t>
              <w:br/>
            </w:r>
            <w:r>
              <w:rPr>
                <w:rFonts w:ascii="Menlo" w:hAnsi="Menlo"/>
                <w:b w:val="0"/>
                <w:i w:val="0"/>
                <w:color w:val="263238"/>
                <w:sz w:val="16"/>
              </w:rPr>
              <w:t xml:space="preserve">  telemetry/        # OTel instrumentation, redaction, cost/cache normalization</w:t>
              <w:br/>
            </w:r>
            <w:r>
              <w:rPr>
                <w:rFonts w:ascii="Menlo" w:hAnsi="Menlo"/>
                <w:b w:val="0"/>
                <w:i w:val="0"/>
                <w:color w:val="263238"/>
                <w:sz w:val="16"/>
              </w:rPr>
              <w:t xml:space="preserve">  scorers/          # deterministic, trajectory, LLM judge, human annotation</w:t>
              <w:br/>
            </w:r>
            <w:r>
              <w:rPr>
                <w:rFonts w:ascii="Menlo" w:hAnsi="Menlo"/>
                <w:b w:val="0"/>
                <w:i w:val="0"/>
                <w:color w:val="263238"/>
                <w:sz w:val="16"/>
              </w:rPr>
              <w:t xml:space="preserve">  client_plane/     # signed bundles, local policy, workload identity, report filtering</w:t>
              <w:br/>
            </w:r>
            <w:r>
              <w:rPr>
                <w:rFonts w:ascii="Menlo" w:hAnsi="Menlo"/>
                <w:b w:val="0"/>
                <w:i w:val="0"/>
                <w:color w:val="263238"/>
                <w:sz w:val="16"/>
              </w:rPr>
              <w:t xml:space="preserve">  optimizer/        # search spaces, schedulers, Pareto and policy selection</w:t>
              <w:br/>
            </w:r>
            <w:r>
              <w:rPr>
                <w:rFonts w:ascii="Menlo" w:hAnsi="Menlo"/>
                <w:b w:val="0"/>
                <w:i w:val="0"/>
                <w:color w:val="263238"/>
                <w:sz w:val="16"/>
              </w:rPr>
              <w:t xml:space="preserve">  storage/          # manifests, trace sink, artifacts, migrations</w:t>
              <w:br/>
            </w:r>
            <w:r>
              <w:rPr>
                <w:rFonts w:ascii="Menlo" w:hAnsi="Menlo"/>
                <w:b w:val="0"/>
                <w:i w:val="0"/>
                <w:color w:val="263238"/>
                <w:sz w:val="16"/>
              </w:rPr>
              <w:t xml:space="preserve">  reports/          # analysis notebooks/queries and release summaries</w:t>
              <w:br/>
            </w:r>
            <w:r>
              <w:rPr>
                <w:rFonts w:ascii="Menlo" w:hAnsi="Menlo"/>
                <w:b w:val="0"/>
                <w:i w:val="0"/>
                <w:color w:val="263238"/>
                <w:sz w:val="16"/>
              </w:rPr>
              <w:t xml:space="preserve">  tests/            # contract, adapter, scorer, reset, replay, fault-injection</w:t>
              <w:br/>
            </w:r>
            <w:r>
              <w:rPr>
                <w:rFonts w:ascii="Menlo" w:hAnsi="Menlo"/>
                <w:b w:val="0"/>
                <w:i w:val="0"/>
                <w:color w:val="263238"/>
                <w:sz w:val="16"/>
              </w:rPr>
              <w:t xml:space="preserve">  deploy/           # local compose, CI, Kubernetes/worker definitions</w:t>
            </w:r>
          </w:p>
        </w:tc>
      </w:tr>
    </w:tbl>
    <w:p>
      <w:pPr>
        <w:spacing w:after="40"/>
      </w:pPr>
    </w:p>
    <w:p>
      <w:pPr>
        <w:pStyle w:val="Heading2"/>
        <w:keepNext/>
      </w:pPr>
      <w:r>
        <w:rPr>
          <w:rFonts w:ascii="Calibri" w:hAnsi="Calibri"/>
          <w:b/>
          <w:i w:val="0"/>
          <w:color w:val="2E74B5"/>
          <w:sz w:val="26"/>
        </w:rPr>
        <w:t>Milestones and model-executable effort</w:t>
      </w:r>
    </w:p>
    <w:p>
      <w:pPr>
        <w:keepNext w:val="0"/>
        <w:spacing w:before="0" w:after="120" w:line="264" w:lineRule="auto"/>
      </w:pPr>
      <w:r>
        <w:rPr>
          <w:rFonts w:ascii="Calibri" w:hAnsi="Calibri"/>
          <w:b w:val="0"/>
          <w:i w:val="0"/>
          <w:color w:val="111111"/>
          <w:sz w:val="22"/>
        </w:rPr>
        <w:t>The estimates below are model-execution units for implementing against an available repository. They exclude waiting for account approvals, quotas, annotations, or compute provisioning.</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1750"/>
        <w:gridCol w:w="5150"/>
        <w:gridCol w:w="2460"/>
      </w:tblGrid>
      <w:tr>
        <w:trPr>
          <w:tblHeader w:val="true"/>
          <w:cantSplit/>
        </w:trPr>
        <w:tc>
          <w:tcPr>
            <w:tcW w:type="dxa" w:w="17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Milestone</w:t>
            </w:r>
          </w:p>
        </w:tc>
        <w:tc>
          <w:tcPr>
            <w:tcW w:type="dxa" w:w="51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Deliverable</w:t>
            </w:r>
          </w:p>
        </w:tc>
        <w:tc>
          <w:tcPr>
            <w:tcW w:type="dxa" w:w="246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Model execution estimate</w:t>
            </w:r>
          </w:p>
        </w:tc>
      </w:tr>
      <w:tr>
        <w:trPr>
          <w:cantSplit/>
        </w:trPr>
        <w:tc>
          <w:tcPr>
            <w:tcW w:type="dxa" w:w="1750"/>
            <w:tcMar>
              <w:top w:w="80" w:type="dxa"/>
              <w:start w:w="120" w:type="dxa"/>
              <w:bottom w:w="80" w:type="dxa"/>
              <w:end w:w="120" w:type="dxa"/>
            </w:tcMar>
            <w:vAlign w:val="center"/>
          </w:tcPr>
          <w:p>
            <w:pPr>
              <w:spacing w:after="0" w:line="257" w:lineRule="auto"/>
            </w:pPr>
            <w:r>
              <w:rPr>
                <w:rFonts w:ascii="Calibri" w:hAnsi="Calibri"/>
                <w:b w:val="0"/>
                <w:i w:val="0"/>
                <w:color w:val="111111"/>
                <w:sz w:val="17"/>
              </w:rPr>
              <w:t>M0 — Compatibility and architecture spike</w:t>
            </w:r>
          </w:p>
        </w:tc>
        <w:tc>
          <w:tcPr>
            <w:tcW w:type="dxa" w:w="5150"/>
            <w:tcMar>
              <w:top w:w="80" w:type="dxa"/>
              <w:start w:w="120" w:type="dxa"/>
              <w:bottom w:w="80" w:type="dxa"/>
              <w:end w:w="120" w:type="dxa"/>
            </w:tcMar>
            <w:vAlign w:val="center"/>
          </w:tcPr>
          <w:p>
            <w:pPr>
              <w:spacing w:after="0" w:line="257" w:lineRule="auto"/>
            </w:pPr>
            <w:r>
              <w:rPr>
                <w:rFonts w:ascii="Calibri" w:hAnsi="Calibri"/>
                <w:b w:val="0"/>
                <w:i w:val="0"/>
                <w:color w:val="111111"/>
                <w:sz w:val="17"/>
              </w:rPr>
              <w:t>Frozen Agentic Builder golden fixtures; current-result adapter; dual-write parity; canonical score/trace round-trip; one current task through two model deployments; stored-trace rescore.</w:t>
            </w:r>
          </w:p>
        </w:tc>
        <w:tc>
          <w:tcPr>
            <w:tcW w:type="dxa" w:w="2460"/>
            <w:tcMar>
              <w:top w:w="80" w:type="dxa"/>
              <w:start w:w="120" w:type="dxa"/>
              <w:bottom w:w="80" w:type="dxa"/>
              <w:end w:w="120" w:type="dxa"/>
            </w:tcMar>
            <w:vAlign w:val="center"/>
          </w:tcPr>
          <w:p>
            <w:pPr>
              <w:spacing w:after="0" w:line="257" w:lineRule="auto"/>
            </w:pPr>
            <w:r>
              <w:rPr>
                <w:rFonts w:ascii="Calibri" w:hAnsi="Calibri"/>
                <w:b w:val="0"/>
                <w:i w:val="0"/>
                <w:color w:val="111111"/>
                <w:sz w:val="17"/>
              </w:rPr>
              <w:t>35–60 tool calls; 5–9 implement/test iterations</w:t>
            </w:r>
          </w:p>
        </w:tc>
      </w:tr>
      <w:tr>
        <w:trPr>
          <w:cantSplit/>
        </w:trPr>
        <w:tc>
          <w:tcPr>
            <w:tcW w:type="dxa" w:w="1750"/>
            <w:tcMar>
              <w:top w:w="80" w:type="dxa"/>
              <w:start w:w="120" w:type="dxa"/>
              <w:bottom w:w="80" w:type="dxa"/>
              <w:end w:w="120" w:type="dxa"/>
            </w:tcMar>
            <w:vAlign w:val="center"/>
          </w:tcPr>
          <w:p>
            <w:pPr>
              <w:spacing w:after="0" w:line="257" w:lineRule="auto"/>
            </w:pPr>
            <w:r>
              <w:rPr>
                <w:rFonts w:ascii="Calibri" w:hAnsi="Calibri"/>
                <w:b w:val="0"/>
                <w:i w:val="0"/>
                <w:color w:val="111111"/>
                <w:sz w:val="17"/>
              </w:rPr>
              <w:t>M1 — MVP evidence expansion</w:t>
            </w:r>
          </w:p>
        </w:tc>
        <w:tc>
          <w:tcPr>
            <w:tcW w:type="dxa" w:w="5150"/>
            <w:tcMar>
              <w:top w:w="80" w:type="dxa"/>
              <w:start w:w="120" w:type="dxa"/>
              <w:bottom w:w="80" w:type="dxa"/>
              <w:end w:w="120" w:type="dxa"/>
            </w:tcMar>
            <w:vAlign w:val="center"/>
          </w:tcPr>
          <w:p>
            <w:pPr>
              <w:spacing w:after="0" w:line="257" w:lineRule="auto"/>
            </w:pPr>
            <w:r>
              <w:rPr>
                <w:rFonts w:ascii="Calibri" w:hAnsi="Calibri"/>
                <w:b w:val="0"/>
                <w:i w:val="0"/>
                <w:color w:val="111111"/>
                <w:sz w:val="17"/>
              </w:rPr>
              <w:t>Safe cross-project aggregation; controlled current-workflow baseline; guided first-pass eval design; 3 task families; resettable sandboxes; deterministic/calibrated scoring; checkpoint/restart; manifests; basic report; and one client pilot with local secrets/data and filtered export.</w:t>
            </w:r>
          </w:p>
        </w:tc>
        <w:tc>
          <w:tcPr>
            <w:tcW w:type="dxa" w:w="2460"/>
            <w:tcMar>
              <w:top w:w="80" w:type="dxa"/>
              <w:start w:w="120" w:type="dxa"/>
              <w:bottom w:w="80" w:type="dxa"/>
              <w:end w:w="120" w:type="dxa"/>
            </w:tcMar>
            <w:vAlign w:val="center"/>
          </w:tcPr>
          <w:p>
            <w:pPr>
              <w:spacing w:after="0" w:line="257" w:lineRule="auto"/>
            </w:pPr>
            <w:r>
              <w:rPr>
                <w:rFonts w:ascii="Calibri" w:hAnsi="Calibri"/>
                <w:b w:val="0"/>
                <w:i w:val="0"/>
                <w:color w:val="111111"/>
                <w:sz w:val="17"/>
              </w:rPr>
              <w:t>90–150 tool calls; 12–20 iterations</w:t>
            </w:r>
          </w:p>
        </w:tc>
      </w:tr>
      <w:tr>
        <w:trPr>
          <w:cantSplit/>
        </w:trPr>
        <w:tc>
          <w:tcPr>
            <w:tcW w:type="dxa" w:w="1750"/>
            <w:tcMar>
              <w:top w:w="80" w:type="dxa"/>
              <w:start w:w="120" w:type="dxa"/>
              <w:bottom w:w="80" w:type="dxa"/>
              <w:end w:w="120" w:type="dxa"/>
            </w:tcMar>
            <w:vAlign w:val="center"/>
          </w:tcPr>
          <w:p>
            <w:pPr>
              <w:spacing w:after="0" w:line="257" w:lineRule="auto"/>
            </w:pPr>
            <w:r>
              <w:rPr>
                <w:rFonts w:ascii="Calibri" w:hAnsi="Calibri"/>
                <w:b w:val="0"/>
                <w:i w:val="0"/>
                <w:color w:val="111111"/>
                <w:sz w:val="17"/>
              </w:rPr>
              <w:t>M2 — Model search</w:t>
            </w:r>
          </w:p>
        </w:tc>
        <w:tc>
          <w:tcPr>
            <w:tcW w:type="dxa" w:w="5150"/>
            <w:tcMar>
              <w:top w:w="80" w:type="dxa"/>
              <w:start w:w="120" w:type="dxa"/>
              <w:bottom w:w="80" w:type="dxa"/>
              <w:end w:w="120" w:type="dxa"/>
            </w:tcMar>
            <w:vAlign w:val="center"/>
          </w:tcPr>
          <w:p>
            <w:pPr>
              <w:spacing w:after="0" w:line="257" w:lineRule="auto"/>
            </w:pPr>
            <w:r>
              <w:rPr>
                <w:rFonts w:ascii="Calibri" w:hAnsi="Calibri"/>
                <w:b w:val="0"/>
                <w:i w:val="0"/>
                <w:color w:val="111111"/>
                <w:sz w:val="17"/>
              </w:rPr>
              <w:t>Role/topology search, paired runs, early stopping, Pareto report, ablations.</w:t>
            </w:r>
          </w:p>
        </w:tc>
        <w:tc>
          <w:tcPr>
            <w:tcW w:type="dxa" w:w="2460"/>
            <w:tcMar>
              <w:top w:w="80" w:type="dxa"/>
              <w:start w:w="120" w:type="dxa"/>
              <w:bottom w:w="80" w:type="dxa"/>
              <w:end w:w="120" w:type="dxa"/>
            </w:tcMar>
            <w:vAlign w:val="center"/>
          </w:tcPr>
          <w:p>
            <w:pPr>
              <w:spacing w:after="0" w:line="257" w:lineRule="auto"/>
            </w:pPr>
            <w:r>
              <w:rPr>
                <w:rFonts w:ascii="Calibri" w:hAnsi="Calibri"/>
                <w:b w:val="0"/>
                <w:i w:val="0"/>
                <w:color w:val="111111"/>
                <w:sz w:val="17"/>
              </w:rPr>
              <w:t>40–75 tool calls; 6–10 iterations</w:t>
            </w:r>
          </w:p>
        </w:tc>
      </w:tr>
      <w:tr>
        <w:trPr>
          <w:cantSplit/>
        </w:trPr>
        <w:tc>
          <w:tcPr>
            <w:tcW w:type="dxa" w:w="1750"/>
            <w:tcMar>
              <w:top w:w="80" w:type="dxa"/>
              <w:start w:w="120" w:type="dxa"/>
              <w:bottom w:w="80" w:type="dxa"/>
              <w:end w:w="120" w:type="dxa"/>
            </w:tcMar>
            <w:vAlign w:val="center"/>
          </w:tcPr>
          <w:p>
            <w:pPr>
              <w:spacing w:after="0" w:line="257" w:lineRule="auto"/>
            </w:pPr>
            <w:r>
              <w:rPr>
                <w:rFonts w:ascii="Calibri" w:hAnsi="Calibri"/>
                <w:b w:val="0"/>
                <w:i w:val="0"/>
                <w:color w:val="111111"/>
                <w:sz w:val="17"/>
              </w:rPr>
              <w:t>M3 — Workflow and evaluator tuning</w:t>
            </w:r>
          </w:p>
        </w:tc>
        <w:tc>
          <w:tcPr>
            <w:tcW w:type="dxa" w:w="5150"/>
            <w:tcMar>
              <w:top w:w="80" w:type="dxa"/>
              <w:start w:w="120" w:type="dxa"/>
              <w:bottom w:w="80" w:type="dxa"/>
              <w:end w:w="120" w:type="dxa"/>
            </w:tcMar>
            <w:vAlign w:val="center"/>
          </w:tcPr>
          <w:p>
            <w:pPr>
              <w:spacing w:after="0" w:line="257" w:lineRule="auto"/>
            </w:pPr>
            <w:r>
              <w:rPr>
                <w:rFonts w:ascii="Calibri" w:hAnsi="Calibri"/>
                <w:b w:val="0"/>
                <w:i w:val="0"/>
                <w:color w:val="111111"/>
                <w:sz w:val="17"/>
              </w:rPr>
              <w:t>Trace-guided workflow prompts; judge-prompt, dataset and scoring workbenches; step taxonomy; cache instrumentation; cold/warm arms; context and retry policies.</w:t>
            </w:r>
          </w:p>
        </w:tc>
        <w:tc>
          <w:tcPr>
            <w:tcW w:type="dxa" w:w="2460"/>
            <w:tcMar>
              <w:top w:w="80" w:type="dxa"/>
              <w:start w:w="120" w:type="dxa"/>
              <w:bottom w:w="80" w:type="dxa"/>
              <w:end w:w="120" w:type="dxa"/>
            </w:tcMar>
            <w:vAlign w:val="center"/>
          </w:tcPr>
          <w:p>
            <w:pPr>
              <w:spacing w:after="0" w:line="257" w:lineRule="auto"/>
            </w:pPr>
            <w:r>
              <w:rPr>
                <w:rFonts w:ascii="Calibri" w:hAnsi="Calibri"/>
                <w:b w:val="0"/>
                <w:i w:val="0"/>
                <w:color w:val="111111"/>
                <w:sz w:val="17"/>
              </w:rPr>
              <w:t>55–100 tool calls; 8–14 iterations</w:t>
            </w:r>
          </w:p>
        </w:tc>
      </w:tr>
      <w:tr>
        <w:trPr>
          <w:cantSplit/>
        </w:trPr>
        <w:tc>
          <w:tcPr>
            <w:tcW w:type="dxa" w:w="1750"/>
            <w:tcMar>
              <w:top w:w="80" w:type="dxa"/>
              <w:start w:w="120" w:type="dxa"/>
              <w:bottom w:w="80" w:type="dxa"/>
              <w:end w:w="120" w:type="dxa"/>
            </w:tcMar>
            <w:vAlign w:val="center"/>
          </w:tcPr>
          <w:p>
            <w:pPr>
              <w:spacing w:after="0" w:line="257" w:lineRule="auto"/>
            </w:pPr>
            <w:r>
              <w:rPr>
                <w:rFonts w:ascii="Calibri" w:hAnsi="Calibri"/>
                <w:b w:val="0"/>
                <w:i w:val="0"/>
                <w:color w:val="111111"/>
                <w:sz w:val="17"/>
              </w:rPr>
              <w:t>M4 — External client plane</w:t>
            </w:r>
          </w:p>
        </w:tc>
        <w:tc>
          <w:tcPr>
            <w:tcW w:type="dxa" w:w="5150"/>
            <w:tcMar>
              <w:top w:w="80" w:type="dxa"/>
              <w:start w:w="120" w:type="dxa"/>
              <w:bottom w:w="80" w:type="dxa"/>
              <w:end w:w="120" w:type="dxa"/>
            </w:tcMar>
            <w:vAlign w:val="center"/>
          </w:tcPr>
          <w:p>
            <w:pPr>
              <w:spacing w:after="0" w:line="257" w:lineRule="auto"/>
            </w:pPr>
            <w:r>
              <w:rPr>
                <w:rFonts w:ascii="Calibri" w:hAnsi="Calibri"/>
                <w:b w:val="0"/>
                <w:i w:val="0"/>
                <w:color w:val="111111"/>
                <w:sz w:val="17"/>
              </w:rPr>
              <w:t>Signed bundles, client-hosted runner, identity/policy controls, filtered reporting, repeatability capsule.</w:t>
            </w:r>
          </w:p>
        </w:tc>
        <w:tc>
          <w:tcPr>
            <w:tcW w:type="dxa" w:w="2460"/>
            <w:tcMar>
              <w:top w:w="80" w:type="dxa"/>
              <w:start w:w="120" w:type="dxa"/>
              <w:bottom w:w="80" w:type="dxa"/>
              <w:end w:w="120" w:type="dxa"/>
            </w:tcMar>
            <w:vAlign w:val="center"/>
          </w:tcPr>
          <w:p>
            <w:pPr>
              <w:spacing w:after="0" w:line="257" w:lineRule="auto"/>
            </w:pPr>
            <w:r>
              <w:rPr>
                <w:rFonts w:ascii="Calibri" w:hAnsi="Calibri"/>
                <w:b w:val="0"/>
                <w:i w:val="0"/>
                <w:color w:val="111111"/>
                <w:sz w:val="17"/>
              </w:rPr>
              <w:t>55–100 tool calls; 8–14 iterations</w:t>
            </w:r>
          </w:p>
        </w:tc>
      </w:tr>
      <w:tr>
        <w:trPr>
          <w:cantSplit/>
        </w:trPr>
        <w:tc>
          <w:tcPr>
            <w:tcW w:type="dxa" w:w="1750"/>
            <w:tcMar>
              <w:top w:w="80" w:type="dxa"/>
              <w:start w:w="120" w:type="dxa"/>
              <w:bottom w:w="80" w:type="dxa"/>
              <w:end w:w="120" w:type="dxa"/>
            </w:tcMar>
            <w:vAlign w:val="center"/>
          </w:tcPr>
          <w:p>
            <w:pPr>
              <w:spacing w:after="0" w:line="257" w:lineRule="auto"/>
            </w:pPr>
            <w:r>
              <w:rPr>
                <w:rFonts w:ascii="Calibri" w:hAnsi="Calibri"/>
                <w:b w:val="0"/>
                <w:i w:val="0"/>
                <w:color w:val="111111"/>
                <w:sz w:val="17"/>
              </w:rPr>
              <w:t>M5 — Provider lab</w:t>
            </w:r>
          </w:p>
        </w:tc>
        <w:tc>
          <w:tcPr>
            <w:tcW w:type="dxa" w:w="5150"/>
            <w:tcMar>
              <w:top w:w="80" w:type="dxa"/>
              <w:start w:w="120" w:type="dxa"/>
              <w:bottom w:w="80" w:type="dxa"/>
              <w:end w:w="120" w:type="dxa"/>
            </w:tcMar>
            <w:vAlign w:val="center"/>
          </w:tcPr>
          <w:p>
            <w:pPr>
              <w:spacing w:after="0" w:line="257" w:lineRule="auto"/>
            </w:pPr>
            <w:r>
              <w:rPr>
                <w:rFonts w:ascii="Calibri" w:hAnsi="Calibri"/>
                <w:b w:val="0"/>
                <w:i w:val="0"/>
                <w:color w:val="111111"/>
                <w:sz w:val="17"/>
              </w:rPr>
              <w:t>Direct/native adapters, load profiles, equivalence tests, landed-cost model, failover tests.</w:t>
            </w:r>
          </w:p>
        </w:tc>
        <w:tc>
          <w:tcPr>
            <w:tcW w:type="dxa" w:w="2460"/>
            <w:tcMar>
              <w:top w:w="80" w:type="dxa"/>
              <w:start w:w="120" w:type="dxa"/>
              <w:bottom w:w="80" w:type="dxa"/>
              <w:end w:w="120" w:type="dxa"/>
            </w:tcMar>
            <w:vAlign w:val="center"/>
          </w:tcPr>
          <w:p>
            <w:pPr>
              <w:spacing w:after="0" w:line="257" w:lineRule="auto"/>
            </w:pPr>
            <w:r>
              <w:rPr>
                <w:rFonts w:ascii="Calibri" w:hAnsi="Calibri"/>
                <w:b w:val="0"/>
                <w:i w:val="0"/>
                <w:color w:val="111111"/>
                <w:sz w:val="17"/>
              </w:rPr>
              <w:t>45–85 tool calls; 7–12 iterations</w:t>
            </w:r>
          </w:p>
        </w:tc>
      </w:tr>
      <w:tr>
        <w:trPr>
          <w:cantSplit/>
        </w:trPr>
        <w:tc>
          <w:tcPr>
            <w:tcW w:type="dxa" w:w="1750"/>
            <w:tcMar>
              <w:top w:w="80" w:type="dxa"/>
              <w:start w:w="120" w:type="dxa"/>
              <w:bottom w:w="80" w:type="dxa"/>
              <w:end w:w="120" w:type="dxa"/>
            </w:tcMar>
            <w:vAlign w:val="center"/>
          </w:tcPr>
          <w:p>
            <w:pPr>
              <w:spacing w:after="0" w:line="257" w:lineRule="auto"/>
            </w:pPr>
            <w:r>
              <w:rPr>
                <w:rFonts w:ascii="Calibri" w:hAnsi="Calibri"/>
                <w:b w:val="0"/>
                <w:i w:val="0"/>
                <w:color w:val="111111"/>
                <w:sz w:val="17"/>
              </w:rPr>
              <w:t>M6 — Continuous gates</w:t>
            </w:r>
          </w:p>
        </w:tc>
        <w:tc>
          <w:tcPr>
            <w:tcW w:type="dxa" w:w="5150"/>
            <w:tcMar>
              <w:top w:w="80" w:type="dxa"/>
              <w:start w:w="120" w:type="dxa"/>
              <w:bottom w:w="80" w:type="dxa"/>
              <w:end w:w="120" w:type="dxa"/>
            </w:tcMar>
            <w:vAlign w:val="center"/>
          </w:tcPr>
          <w:p>
            <w:pPr>
              <w:spacing w:after="0" w:line="257" w:lineRule="auto"/>
            </w:pPr>
            <w:r>
              <w:rPr>
                <w:rFonts w:ascii="Calibri" w:hAnsi="Calibri"/>
                <w:b w:val="0"/>
                <w:i w:val="0"/>
                <w:color w:val="111111"/>
                <w:sz w:val="17"/>
              </w:rPr>
              <w:t>CI smoke/full suites, trace mining, shadow/canary rules, drift dashboards.</w:t>
            </w:r>
          </w:p>
        </w:tc>
        <w:tc>
          <w:tcPr>
            <w:tcW w:type="dxa" w:w="2460"/>
            <w:tcMar>
              <w:top w:w="80" w:type="dxa"/>
              <w:start w:w="120" w:type="dxa"/>
              <w:bottom w:w="80" w:type="dxa"/>
              <w:end w:w="120" w:type="dxa"/>
            </w:tcMar>
            <w:vAlign w:val="center"/>
          </w:tcPr>
          <w:p>
            <w:pPr>
              <w:spacing w:after="0" w:line="257" w:lineRule="auto"/>
            </w:pPr>
            <w:r>
              <w:rPr>
                <w:rFonts w:ascii="Calibri" w:hAnsi="Calibri"/>
                <w:b w:val="0"/>
                <w:i w:val="0"/>
                <w:color w:val="111111"/>
                <w:sz w:val="17"/>
              </w:rPr>
              <w:t>35–65 tool calls; 5–9 iterations</w:t>
            </w:r>
          </w:p>
        </w:tc>
      </w:tr>
      <w:tr>
        <w:trPr>
          <w:cantSplit/>
        </w:trPr>
        <w:tc>
          <w:tcPr>
            <w:tcW w:type="dxa" w:w="1750"/>
            <w:tcMar>
              <w:top w:w="80" w:type="dxa"/>
              <w:start w:w="120" w:type="dxa"/>
              <w:bottom w:w="80" w:type="dxa"/>
              <w:end w:w="120" w:type="dxa"/>
            </w:tcMar>
            <w:vAlign w:val="center"/>
          </w:tcPr>
          <w:p>
            <w:pPr>
              <w:spacing w:after="0" w:line="257" w:lineRule="auto"/>
            </w:pPr>
            <w:r>
              <w:rPr>
                <w:rFonts w:ascii="Calibri" w:hAnsi="Calibri"/>
                <w:b w:val="0"/>
                <w:i w:val="0"/>
                <w:color w:val="111111"/>
                <w:sz w:val="17"/>
              </w:rPr>
              <w:t>M7 — Video extension</w:t>
            </w:r>
          </w:p>
        </w:tc>
        <w:tc>
          <w:tcPr>
            <w:tcW w:type="dxa" w:w="5150"/>
            <w:tcMar>
              <w:top w:w="80" w:type="dxa"/>
              <w:start w:w="120" w:type="dxa"/>
              <w:bottom w:w="80" w:type="dxa"/>
              <w:end w:w="120" w:type="dxa"/>
            </w:tcMar>
            <w:vAlign w:val="center"/>
          </w:tcPr>
          <w:p>
            <w:pPr>
              <w:spacing w:after="0" w:line="257" w:lineRule="auto"/>
            </w:pPr>
            <w:r>
              <w:rPr>
                <w:rFonts w:ascii="Calibri" w:hAnsi="Calibri"/>
                <w:b w:val="0"/>
                <w:i w:val="0"/>
                <w:color w:val="111111"/>
                <w:sz w:val="17"/>
              </w:rPr>
              <w:t>Async generation adapters, media manifests, temporal/identity scorers, human-calibration workflow.</w:t>
            </w:r>
          </w:p>
        </w:tc>
        <w:tc>
          <w:tcPr>
            <w:tcW w:type="dxa" w:w="2460"/>
            <w:tcMar>
              <w:top w:w="80" w:type="dxa"/>
              <w:start w:w="120" w:type="dxa"/>
              <w:bottom w:w="80" w:type="dxa"/>
              <w:end w:w="120" w:type="dxa"/>
            </w:tcMar>
            <w:vAlign w:val="center"/>
          </w:tcPr>
          <w:p>
            <w:pPr>
              <w:spacing w:after="0" w:line="257" w:lineRule="auto"/>
            </w:pPr>
            <w:r>
              <w:rPr>
                <w:rFonts w:ascii="Calibri" w:hAnsi="Calibri"/>
                <w:b w:val="0"/>
                <w:i w:val="0"/>
                <w:color w:val="111111"/>
                <w:sz w:val="17"/>
              </w:rPr>
              <w:t>35–70 tool calls; 5–10 iterations</w:t>
            </w:r>
          </w:p>
        </w:tc>
      </w:tr>
    </w:tbl>
    <w:p>
      <w:pPr>
        <w:spacing w:after="40"/>
      </w:pPr>
    </w:p>
    <w:p>
      <w:pPr>
        <w:keepNext w:val="0"/>
        <w:spacing w:before="0" w:after="120" w:line="264" w:lineRule="auto"/>
      </w:pPr>
      <w:r>
        <w:rPr>
          <w:rFonts w:ascii="Calibri" w:hAnsi="Calibri"/>
          <w:b w:val="0"/>
          <w:i w:val="0"/>
          <w:color w:val="111111"/>
          <w:sz w:val="22"/>
        </w:rPr>
        <w:t>Expected model-executable effort for core v1 through the reusable external-client plane (M0–M4), including Agentic Builder parity, safe aggregation, guided evaluation/workflow authoring, and one external-customer MVP pilot, is roughly 275–485 tool calls across 40–70 implement/test/verify iterations. Adding the provider laboratory, continuous gates, and the video extension brings the complete program to roughly 390–705 tool calls across 57–101 iterations, after human gating inputs are available. A compatibility architecture spike is short enough to begin in one working conversation if the current evaluator repository, frozen fixtures, two model credentials/endpoints, and one representative task are available.</w:t>
      </w:r>
    </w:p>
    <w:p>
      <w:pPr>
        <w:pStyle w:val="Heading2"/>
        <w:keepNext/>
      </w:pPr>
      <w:r>
        <w:rPr>
          <w:rFonts w:ascii="Calibri" w:hAnsi="Calibri"/>
          <w:b/>
          <w:i w:val="0"/>
          <w:color w:val="2E74B5"/>
          <w:sz w:val="26"/>
        </w:rPr>
        <w:t>Build order</w:t>
      </w:r>
    </w:p>
    <w:p>
      <w:pPr>
        <w:pStyle w:val="ListNumber"/>
        <w:numPr>
          <w:ilvl w:val="0"/>
          <w:numId w:val="24"/>
        </w:numPr>
        <w:spacing w:after="160" w:line="280" w:lineRule="auto"/>
        <w:ind w:left="720" w:hanging="360"/>
      </w:pPr>
      <w:r>
        <w:rPr>
          <w:rFonts w:ascii="Calibri" w:hAnsi="Calibri"/>
          <w:b w:val="0"/>
          <w:i w:val="0"/>
          <w:color w:val="111111"/>
          <w:sz w:val="22"/>
        </w:rPr>
        <w:t>Freeze today — inventory current checks, severities, invocation states, report consumers, fidelity outputs, and outcome measures; capture golden fixtures before schema design changes behavior.</w:t>
      </w:r>
    </w:p>
    <w:p>
      <w:pPr>
        <w:pStyle w:val="ListNumber"/>
        <w:numPr>
          <w:ilvl w:val="0"/>
          <w:numId w:val="24"/>
        </w:numPr>
        <w:spacing w:after="160" w:line="280" w:lineRule="auto"/>
        <w:ind w:left="720" w:hanging="360"/>
      </w:pPr>
      <w:r>
        <w:rPr>
          <w:rFonts w:ascii="Calibri" w:hAnsi="Calibri"/>
          <w:b w:val="0"/>
          <w:i w:val="0"/>
          <w:color w:val="111111"/>
          <w:sz w:val="22"/>
        </w:rPr>
        <w:t>Compatibility boundary — map current evidence into v0 canonical schemas and generate reconciliation/conformance tests; keep existing commands and reports intact.</w:t>
      </w:r>
    </w:p>
    <w:p>
      <w:pPr>
        <w:pStyle w:val="ListNumber"/>
        <w:numPr>
          <w:ilvl w:val="0"/>
          <w:numId w:val="24"/>
        </w:numPr>
        <w:spacing w:after="160" w:line="280" w:lineRule="auto"/>
        <w:ind w:left="720" w:hanging="360"/>
      </w:pPr>
      <w:r>
        <w:rPr>
          <w:rFonts w:ascii="Calibri" w:hAnsi="Calibri"/>
          <w:b w:val="0"/>
          <w:i w:val="0"/>
          <w:color w:val="111111"/>
          <w:sz w:val="22"/>
        </w:rPr>
        <w:t>Shadow dual-write — emit both current and canonical outputs, compare every fixture and production-safe sample, surface mismatches, and retain a rollback path.</w:t>
      </w:r>
    </w:p>
    <w:p>
      <w:pPr>
        <w:pStyle w:val="ListNumber"/>
        <w:numPr>
          <w:ilvl w:val="0"/>
          <w:numId w:val="24"/>
        </w:numPr>
        <w:spacing w:after="160" w:line="280" w:lineRule="auto"/>
        <w:ind w:left="720" w:hanging="360"/>
      </w:pPr>
      <w:r>
        <w:rPr>
          <w:rFonts w:ascii="Calibri" w:hAnsi="Calibri"/>
          <w:b w:val="0"/>
          <w:i w:val="0"/>
          <w:color w:val="111111"/>
          <w:sz w:val="22"/>
        </w:rPr>
        <w:t>Complete current measurement — add safe aggregation, missing-project visibility, and controlled usefulness/edit/time baselines before claiming broad optimizer value.</w:t>
      </w:r>
    </w:p>
    <w:p>
      <w:pPr>
        <w:pStyle w:val="ListNumber"/>
        <w:numPr>
          <w:ilvl w:val="0"/>
          <w:numId w:val="24"/>
        </w:numPr>
        <w:spacing w:after="160" w:line="280" w:lineRule="auto"/>
        <w:ind w:left="720" w:hanging="360"/>
      </w:pPr>
      <w:r>
        <w:rPr>
          <w:rFonts w:ascii="Calibri" w:hAnsi="Calibri"/>
          <w:b w:val="0"/>
          <w:i w:val="0"/>
          <w:color w:val="111111"/>
          <w:sz w:val="22"/>
        </w:rPr>
        <w:t>Vertical slice — one current scenario → compatibility adapter → one runner → one provider → one canonical trace → deterministic score → reconciled old/new report.</w:t>
      </w:r>
    </w:p>
    <w:p>
      <w:pPr>
        <w:pStyle w:val="ListNumber"/>
        <w:numPr>
          <w:ilvl w:val="0"/>
          <w:numId w:val="24"/>
        </w:numPr>
        <w:spacing w:after="160" w:line="280" w:lineRule="auto"/>
        <w:ind w:left="720" w:hanging="360"/>
      </w:pPr>
      <w:r>
        <w:rPr>
          <w:rFonts w:ascii="Calibri" w:hAnsi="Calibri"/>
          <w:b w:val="0"/>
          <w:i w:val="0"/>
          <w:color w:val="111111"/>
          <w:sz w:val="22"/>
        </w:rPr>
        <w:t>Second provider and open-weight endpoint — prove portability and expose missing capability semantics.</w:t>
      </w:r>
    </w:p>
    <w:p>
      <w:pPr>
        <w:pStyle w:val="ListNumber"/>
        <w:numPr>
          <w:ilvl w:val="0"/>
          <w:numId w:val="24"/>
        </w:numPr>
        <w:spacing w:after="160" w:line="280" w:lineRule="auto"/>
        <w:ind w:left="720" w:hanging="360"/>
      </w:pPr>
      <w:r>
        <w:rPr>
          <w:rFonts w:ascii="Calibri" w:hAnsi="Calibri"/>
          <w:b w:val="0"/>
          <w:i w:val="0"/>
          <w:color w:val="111111"/>
          <w:sz w:val="22"/>
        </w:rPr>
        <w:t>Sandbox/reset/replay — make task state trustworthy before broadening the suite.</w:t>
      </w:r>
    </w:p>
    <w:p>
      <w:pPr>
        <w:pStyle w:val="ListNumber"/>
        <w:numPr>
          <w:ilvl w:val="0"/>
          <w:numId w:val="24"/>
        </w:numPr>
        <w:spacing w:after="160" w:line="280" w:lineRule="auto"/>
        <w:ind w:left="720" w:hanging="360"/>
      </w:pPr>
      <w:r>
        <w:rPr>
          <w:rFonts w:ascii="Calibri" w:hAnsi="Calibri"/>
          <w:b w:val="0"/>
          <w:i w:val="0"/>
          <w:color w:val="111111"/>
          <w:sz w:val="22"/>
        </w:rPr>
        <w:t>Guided evaluation design — draft target behaviors, failure modes, seed and synthetic cases, scorers, and judge prompts; calibrate and approve them before they can influence model selection.</w:t>
      </w:r>
    </w:p>
    <w:p>
      <w:pPr>
        <w:pStyle w:val="ListNumber"/>
        <w:numPr>
          <w:ilvl w:val="0"/>
          <w:numId w:val="24"/>
        </w:numPr>
        <w:spacing w:after="160" w:line="280" w:lineRule="auto"/>
        <w:ind w:left="720" w:hanging="360"/>
      </w:pPr>
      <w:r>
        <w:rPr>
          <w:rFonts w:ascii="Calibri" w:hAnsi="Calibri"/>
          <w:b w:val="0"/>
          <w:i w:val="0"/>
          <w:color w:val="111111"/>
          <w:sz w:val="22"/>
        </w:rPr>
        <w:t>Scorer calibration and human audit workflow — ensure the target metric is valid.</w:t>
      </w:r>
    </w:p>
    <w:p>
      <w:pPr>
        <w:pStyle w:val="ListNumber"/>
        <w:numPr>
          <w:ilvl w:val="0"/>
          <w:numId w:val="24"/>
        </w:numPr>
        <w:spacing w:after="160" w:line="280" w:lineRule="auto"/>
        <w:ind w:left="720" w:hanging="360"/>
      </w:pPr>
      <w:r>
        <w:rPr>
          <w:rFonts w:ascii="Calibri" w:hAnsi="Calibri"/>
          <w:b w:val="0"/>
          <w:i w:val="0"/>
          <w:color w:val="111111"/>
          <w:sz w:val="22"/>
        </w:rPr>
        <w:t>Experiment scheduler and Pareto analysis — only after single-episode correctness and accounting pass.</w:t>
      </w:r>
    </w:p>
    <w:p>
      <w:pPr>
        <w:pStyle w:val="ListNumber"/>
        <w:numPr>
          <w:ilvl w:val="0"/>
          <w:numId w:val="24"/>
        </w:numPr>
        <w:spacing w:after="160" w:line="280" w:lineRule="auto"/>
        <w:ind w:left="720" w:hanging="360"/>
      </w:pPr>
      <w:r>
        <w:rPr>
          <w:rFonts w:ascii="Calibri" w:hAnsi="Calibri"/>
          <w:b w:val="0"/>
          <w:i w:val="0"/>
          <w:color w:val="111111"/>
          <w:sz w:val="22"/>
        </w:rPr>
        <w:t>Workflow and evaluator tuning — establish production-representative task/goal/context prompts, judge prompts, datasets, scoring rules, cache, context, retry, and checkpoint policies under development/calibration/validation/holdout separation.</w:t>
      </w:r>
    </w:p>
    <w:p>
      <w:pPr>
        <w:pStyle w:val="ListNumber"/>
        <w:numPr>
          <w:ilvl w:val="0"/>
          <w:numId w:val="24"/>
        </w:numPr>
        <w:spacing w:after="160" w:line="280" w:lineRule="auto"/>
        <w:ind w:left="720" w:hanging="360"/>
      </w:pPr>
      <w:r>
        <w:rPr>
          <w:rFonts w:ascii="Calibri" w:hAnsi="Calibri"/>
          <w:b w:val="0"/>
          <w:i w:val="0"/>
          <w:color w:val="111111"/>
          <w:sz w:val="22"/>
        </w:rPr>
        <w:t>External-client plane — generalize the MVP pilot into signed bundles, client-hosted execution, local credentials and raw traces, policy-filtered exports, and repeatability capsules. This follows workflow tuning so client studies exercise the actual deployable workflow, not an earlier surrogate.</w:t>
      </w:r>
    </w:p>
    <w:p>
      <w:pPr>
        <w:pStyle w:val="ListNumber"/>
        <w:numPr>
          <w:ilvl w:val="0"/>
          <w:numId w:val="24"/>
        </w:numPr>
        <w:spacing w:after="160" w:line="280" w:lineRule="auto"/>
        <w:ind w:left="720" w:hanging="360"/>
      </w:pPr>
      <w:r>
        <w:rPr>
          <w:rFonts w:ascii="Calibri" w:hAnsi="Calibri"/>
          <w:b w:val="0"/>
          <w:i w:val="0"/>
          <w:color w:val="111111"/>
          <w:sz w:val="22"/>
        </w:rPr>
        <w:t>Provider laboratory — qualify direct/native adapters, realistic request sequences, load profiles, equivalence, and failover without delaying client-boundary validation.</w:t>
      </w:r>
    </w:p>
    <w:p>
      <w:pPr>
        <w:pStyle w:val="ListNumber"/>
        <w:numPr>
          <w:ilvl w:val="0"/>
          <w:numId w:val="24"/>
        </w:numPr>
        <w:spacing w:after="160" w:line="280" w:lineRule="auto"/>
        <w:ind w:left="720" w:hanging="360"/>
      </w:pPr>
      <w:r>
        <w:rPr>
          <w:rFonts w:ascii="Calibri" w:hAnsi="Calibri"/>
          <w:b w:val="0"/>
          <w:i w:val="0"/>
          <w:color w:val="111111"/>
          <w:sz w:val="22"/>
        </w:rPr>
        <w:t>CI, shadow, canary, and drift — operationalize the final policy with rollback.</w:t>
      </w:r>
    </w:p>
    <w:p>
      <w:pPr>
        <w:pStyle w:val="Heading2"/>
        <w:keepNext/>
      </w:pPr>
      <w:r>
        <w:rPr>
          <w:rFonts w:ascii="Calibri" w:hAnsi="Calibri"/>
          <w:b/>
          <w:i w:val="0"/>
          <w:color w:val="2E74B5"/>
          <w:sz w:val="26"/>
        </w:rPr>
        <w:t>Pilot experiment</w:t>
      </w:r>
    </w:p>
    <w:p>
      <w:pPr>
        <w:keepNext w:val="0"/>
        <w:spacing w:before="0" w:after="120" w:line="264" w:lineRule="auto"/>
      </w:pPr>
      <w:r>
        <w:rPr>
          <w:rFonts w:ascii="Calibri" w:hAnsi="Calibri"/>
          <w:b w:val="0"/>
          <w:i w:val="0"/>
          <w:color w:val="111111"/>
          <w:sz w:val="22"/>
        </w:rPr>
        <w:t>A practical first study should be intentionally small: 12–20 representative tasks across three families; 3–4 logical model candidates; three workflow topologies; one canonical provider per model; one smoke attempt for all valid combinations; successive halving to 4–6 finalists; then 5–10 paired repetitions on finalists or a smaller number justified by precision analysis. The pilot’s purpose is to validate instrumentation and reveal interactions—not to crown a permanent winner.</w:t>
      </w:r>
    </w:p>
    <w:p>
      <w:pPr>
        <w:pStyle w:val="Heading2"/>
        <w:keepNext/>
      </w:pPr>
      <w:r>
        <w:rPr>
          <w:rFonts w:ascii="Calibri" w:hAnsi="Calibri"/>
          <w:b/>
          <w:i w:val="0"/>
          <w:color w:val="2E74B5"/>
          <w:sz w:val="26"/>
        </w:rPr>
        <w:t>Example experiment specification</w:t>
      </w:r>
    </w:p>
    <w:tbl>
      <w:tblPr>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9360"/>
      </w:tblGrid>
      <w:tr>
        <w:trPr>
          <w:cantSplit/>
        </w:trPr>
        <w:tc>
          <w:tcPr>
            <w:tcW w:type="dxa" w:w="9360"/>
            <w:tcMar>
              <w:top w:w="80" w:type="dxa"/>
              <w:start w:w="120" w:type="dxa"/>
              <w:bottom w:w="80" w:type="dxa"/>
              <w:end w:w="120" w:type="dxa"/>
            </w:tcMar>
            <w:vAlign w:val="center"/>
            <w:shd w:fill="F7F8FA"/>
          </w:tcPr>
          <w:p>
            <w:pPr>
              <w:spacing w:after="0" w:line="240" w:lineRule="auto"/>
            </w:pPr>
            <w:r>
              <w:rPr>
                <w:rFonts w:ascii="Menlo" w:hAnsi="Menlo"/>
                <w:b w:val="0"/>
                <w:i w:val="0"/>
                <w:color w:val="263238"/>
                <w:sz w:val="16"/>
              </w:rPr>
              <w:t>study: planner_executor_screen_v1</w:t>
              <w:br/>
            </w:r>
            <w:r>
              <w:rPr>
                <w:rFonts w:ascii="Menlo" w:hAnsi="Menlo"/>
                <w:b w:val="0"/>
                <w:i w:val="0"/>
                <w:color w:val="263238"/>
                <w:sz w:val="16"/>
              </w:rPr>
              <w:t>dataset: internal_core_v0.3</w:t>
              <w:br/>
            </w:r>
            <w:r>
              <w:rPr>
                <w:rFonts w:ascii="Menlo" w:hAnsi="Menlo"/>
                <w:b w:val="0"/>
                <w:i w:val="0"/>
                <w:color w:val="263238"/>
                <w:sz w:val="16"/>
              </w:rPr>
              <w:t>task_slices: [coding, web_ops, research]</w:t>
              <w:br/>
            </w:r>
            <w:r>
              <w:rPr>
                <w:rFonts w:ascii="Menlo" w:hAnsi="Menlo"/>
                <w:b w:val="0"/>
                <w:i w:val="0"/>
                <w:color w:val="263238"/>
                <w:sz w:val="16"/>
              </w:rPr>
              <w:t>topologies: [single, planner_executor, router_executor_verifier]</w:t>
              <w:br/>
            </w:r>
            <w:r>
              <w:rPr>
                <w:rFonts w:ascii="Menlo" w:hAnsi="Menlo"/>
                <w:b w:val="0"/>
                <w:i w:val="0"/>
                <w:color w:val="263238"/>
                <w:sz w:val="16"/>
              </w:rPr>
              <w:t>models_by_role:</w:t>
              <w:br/>
            </w:r>
            <w:r>
              <w:rPr>
                <w:rFonts w:ascii="Menlo" w:hAnsi="Menlo"/>
                <w:b w:val="0"/>
                <w:i w:val="0"/>
                <w:color w:val="263238"/>
                <w:sz w:val="16"/>
              </w:rPr>
              <w:t xml:space="preserve">  planner: [model_a, model_b, model_c]</w:t>
              <w:br/>
            </w:r>
            <w:r>
              <w:rPr>
                <w:rFonts w:ascii="Menlo" w:hAnsi="Menlo"/>
                <w:b w:val="0"/>
                <w:i w:val="0"/>
                <w:color w:val="263238"/>
                <w:sz w:val="16"/>
              </w:rPr>
              <w:t xml:space="preserve">  executor: [model_a, model_b, model_d]</w:t>
              <w:br/>
            </w:r>
            <w:r>
              <w:rPr>
                <w:rFonts w:ascii="Menlo" w:hAnsi="Menlo"/>
                <w:b w:val="0"/>
                <w:i w:val="0"/>
                <w:color w:val="263238"/>
                <w:sz w:val="16"/>
              </w:rPr>
              <w:t xml:space="preserve">  verifier: [none, model_b, model_e]</w:t>
              <w:br/>
            </w:r>
            <w:r>
              <w:rPr>
                <w:rFonts w:ascii="Menlo" w:hAnsi="Menlo"/>
                <w:b w:val="0"/>
                <w:i w:val="0"/>
                <w:color w:val="263238"/>
                <w:sz w:val="16"/>
              </w:rPr>
              <w:t>switch_policy: [fixed_by_role, adaptive_uncertainty]</w:t>
              <w:br/>
            </w:r>
            <w:r>
              <w:rPr>
                <w:rFonts w:ascii="Menlo" w:hAnsi="Menlo"/>
                <w:b w:val="0"/>
                <w:i w:val="0"/>
                <w:color w:val="263238"/>
                <w:sz w:val="16"/>
              </w:rPr>
              <w:t>handoff_schema: step_result_v1</w:t>
              <w:br/>
            </w:r>
            <w:r>
              <w:rPr>
                <w:rFonts w:ascii="Menlo" w:hAnsi="Menlo"/>
                <w:b w:val="0"/>
                <w:i w:val="0"/>
                <w:color w:val="263238"/>
                <w:sz w:val="16"/>
              </w:rPr>
              <w:t>max_model_hops: 2</w:t>
              <w:br/>
            </w:r>
            <w:r>
              <w:rPr>
                <w:rFonts w:ascii="Menlo" w:hAnsi="Menlo"/>
                <w:b w:val="0"/>
                <w:i w:val="0"/>
                <w:color w:val="263238"/>
                <w:sz w:val="16"/>
              </w:rPr>
              <w:t>measure_switch_cost: true</w:t>
              <w:br/>
            </w:r>
            <w:r>
              <w:rPr>
                <w:rFonts w:ascii="Menlo" w:hAnsi="Menlo"/>
                <w:b w:val="0"/>
                <w:i w:val="0"/>
                <w:color w:val="263238"/>
                <w:sz w:val="16"/>
              </w:rPr>
              <w:t>controls:</w:t>
              <w:br/>
            </w:r>
            <w:r>
              <w:rPr>
                <w:rFonts w:ascii="Menlo" w:hAnsi="Menlo"/>
                <w:b w:val="0"/>
                <w:i w:val="0"/>
                <w:color w:val="263238"/>
                <w:sz w:val="16"/>
              </w:rPr>
              <w:t xml:space="preserve">  provider_mode: canonical</w:t>
              <w:br/>
            </w:r>
            <w:r>
              <w:rPr>
                <w:rFonts w:ascii="Menlo" w:hAnsi="Menlo"/>
                <w:b w:val="0"/>
                <w:i w:val="0"/>
                <w:color w:val="263238"/>
                <w:sz w:val="16"/>
              </w:rPr>
              <w:t xml:space="preserve">  cache_mode: isolated_cold</w:t>
              <w:br/>
            </w:r>
            <w:r>
              <w:rPr>
                <w:rFonts w:ascii="Menlo" w:hAnsi="Menlo"/>
                <w:b w:val="0"/>
                <w:i w:val="0"/>
                <w:color w:val="263238"/>
                <w:sz w:val="16"/>
              </w:rPr>
              <w:t xml:space="preserve">  prompt_revision: wf_2026_09_02_01</w:t>
              <w:br/>
            </w:r>
            <w:r>
              <w:rPr>
                <w:rFonts w:ascii="Menlo" w:hAnsi="Menlo"/>
                <w:b w:val="0"/>
                <w:i w:val="0"/>
                <w:color w:val="263238"/>
                <w:sz w:val="16"/>
              </w:rPr>
              <w:t xml:space="preserve">  max_episode_seconds: 900</w:t>
              <w:br/>
            </w:r>
            <w:r>
              <w:rPr>
                <w:rFonts w:ascii="Menlo" w:hAnsi="Menlo"/>
                <w:b w:val="0"/>
                <w:i w:val="0"/>
                <w:color w:val="263238"/>
                <w:sz w:val="16"/>
              </w:rPr>
              <w:t>gates:</w:t>
              <w:br/>
            </w:r>
            <w:r>
              <w:rPr>
                <w:rFonts w:ascii="Menlo" w:hAnsi="Menlo"/>
                <w:b w:val="0"/>
                <w:i w:val="0"/>
                <w:color w:val="263238"/>
                <w:sz w:val="16"/>
              </w:rPr>
              <w:t xml:space="preserve">  success_rate_lcb: 0.80</w:t>
              <w:br/>
            </w:r>
            <w:r>
              <w:rPr>
                <w:rFonts w:ascii="Menlo" w:hAnsi="Menlo"/>
                <w:b w:val="0"/>
                <w:i w:val="0"/>
                <w:color w:val="263238"/>
                <w:sz w:val="16"/>
              </w:rPr>
              <w:t xml:space="preserve">  critical_safety_failures: 0</w:t>
              <w:br/>
            </w:r>
            <w:r>
              <w:rPr>
                <w:rFonts w:ascii="Menlo" w:hAnsi="Menlo"/>
                <w:b w:val="0"/>
                <w:i w:val="0"/>
                <w:color w:val="263238"/>
                <w:sz w:val="16"/>
              </w:rPr>
              <w:t xml:space="preserve">  deadline_success_lcb: 0.75</w:t>
              <w:br/>
            </w:r>
            <w:r>
              <w:rPr>
                <w:rFonts w:ascii="Menlo" w:hAnsi="Menlo"/>
                <w:b w:val="0"/>
                <w:i w:val="0"/>
                <w:color w:val="263238"/>
                <w:sz w:val="16"/>
              </w:rPr>
              <w:t>selection: pareto(cost_per_success, p95_time, redundant_steps)</w:t>
              <w:br/>
            </w:r>
            <w:r>
              <w:rPr>
                <w:rFonts w:ascii="Menlo" w:hAnsi="Menlo"/>
                <w:b w:val="0"/>
                <w:i w:val="0"/>
                <w:color w:val="263238"/>
                <w:sz w:val="16"/>
              </w:rPr>
              <w:t>analysis: paired_clustered_bootstrap</w:t>
            </w:r>
          </w:p>
        </w:tc>
      </w:tr>
    </w:tbl>
    <w:p>
      <w:pPr>
        <w:spacing w:after="40"/>
      </w:pPr>
    </w:p>
    <w:p>
      <w:pPr>
        <w:pStyle w:val="Heading1"/>
        <w:keepNext/>
      </w:pPr>
      <w:r>
        <w:rPr>
          <w:rFonts w:ascii="Calibri" w:hAnsi="Calibri"/>
          <w:b/>
          <w:i w:val="0"/>
          <w:color w:val="2E74B5"/>
          <w:sz w:val="32"/>
        </w:rPr>
        <w:t>13. Human prerequisites, gates, and operational ownership</w:t>
      </w:r>
    </w:p>
    <w:tbl>
      <w:tblPr>
        <w:tblW w:type="dxa" w:w="9360"/>
        <w:jc w:val="left"/>
        <w:tblLayout w:type="fixed"/>
        <w:tblLook w:firstColumn="1" w:firstRow="1" w:lastColumn="0" w:lastRow="0" w:noHBand="0" w:noVBand="1" w:val="04A0"/>
        <w:tblInd w:w="120" w:type="dxa"/>
        <w:tblBorders>
          <w:top w:val="single" w:sz="0" w:space="0" w:color="EEF3F8"/>
          <w:left w:val="single" w:sz="0" w:space="0" w:color="EEF3F8"/>
          <w:bottom w:val="single" w:sz="0" w:space="0" w:color="EEF3F8"/>
          <w:right w:val="single" w:sz="0" w:space="0" w:color="EEF3F8"/>
          <w:insideH w:val="single" w:sz="0" w:space="0" w:color="EEF3F8"/>
          <w:insideV w:val="single" w:sz="0" w:space="0" w:color="EEF3F8"/>
        </w:tblBorders>
      </w:tblPr>
      <w:tblGrid>
        <w:gridCol w:w="9360"/>
      </w:tblGrid>
      <w:tr>
        <w:trPr>
          <w:cantSplit/>
        </w:trPr>
        <w:tc>
          <w:tcPr>
            <w:tcW w:type="dxa" w:w="9360"/>
            <w:tcMar>
              <w:top w:w="80" w:type="dxa"/>
              <w:start w:w="120" w:type="dxa"/>
              <w:bottom w:w="80" w:type="dxa"/>
              <w:end w:w="120" w:type="dxa"/>
            </w:tcMar>
            <w:vAlign w:val="center"/>
            <w:shd w:fill="EEF3F8"/>
          </w:tcPr>
          <w:p>
            <w:pPr>
              <w:spacing w:after="0" w:line="269" w:lineRule="auto"/>
            </w:pPr>
            <w:r>
              <w:rPr>
                <w:rFonts w:ascii="Calibri" w:hAnsi="Calibri"/>
                <w:b/>
                <w:i w:val="0"/>
                <w:color w:val="1F4D78"/>
                <w:sz w:val="19"/>
              </w:rPr>
              <w:t xml:space="preserve">CHANGE FROM TODAY  </w:t>
            </w:r>
            <w:r>
              <w:rPr>
                <w:rFonts w:ascii="Calibri" w:hAnsi="Calibri"/>
                <w:b w:val="0"/>
                <w:i w:val="0"/>
                <w:color w:val="111111"/>
                <w:sz w:val="21"/>
              </w:rPr>
              <w:t>Today: Current evaluation knowledge is partly embedded in engineering practice and workflow owners.  Change: Make task ownership, approval, security, annotation, release, and operational responsibilities explicit without asking AI-authored artifacts to approve themselves.  Proof: Every promoted evaluator, dataset, workflow, client report, and production policy has a named human owner, approval record, and rollback target.</w:t>
            </w:r>
          </w:p>
        </w:tc>
      </w:tr>
    </w:tbl>
    <w:p>
      <w:pPr>
        <w:spacing w:after="60"/>
      </w:pPr>
    </w:p>
    <w:tbl>
      <w:tblPr>
        <w:tblW w:type="dxa" w:w="9360"/>
        <w:jc w:val="left"/>
        <w:tblLayout w:type="fixed"/>
        <w:tblLook w:firstColumn="1" w:firstRow="1" w:lastColumn="0" w:lastRow="0" w:noHBand="0" w:noVBand="1" w:val="04A0"/>
        <w:tblInd w:w="120" w:type="dxa"/>
        <w:tblBorders>
          <w:top w:val="single" w:sz="0" w:space="0" w:color="FFF8E8"/>
          <w:left w:val="single" w:sz="0" w:space="0" w:color="FFF8E8"/>
          <w:bottom w:val="single" w:sz="0" w:space="0" w:color="FFF8E8"/>
          <w:right w:val="single" w:sz="0" w:space="0" w:color="FFF8E8"/>
          <w:insideH w:val="single" w:sz="0" w:space="0" w:color="FFF8E8"/>
          <w:insideV w:val="single" w:sz="0" w:space="0" w:color="FFF8E8"/>
        </w:tblBorders>
      </w:tblPr>
      <w:tblGrid>
        <w:gridCol w:w="9360"/>
      </w:tblGrid>
      <w:tr>
        <w:trPr>
          <w:cantSplit/>
        </w:trPr>
        <w:tc>
          <w:tcPr>
            <w:tcW w:type="dxa" w:w="9360"/>
            <w:tcMar>
              <w:top w:w="80" w:type="dxa"/>
              <w:start w:w="120" w:type="dxa"/>
              <w:bottom w:w="80" w:type="dxa"/>
              <w:end w:w="120" w:type="dxa"/>
            </w:tcMar>
            <w:vAlign w:val="center"/>
            <w:shd w:fill="FFF8E8"/>
          </w:tcPr>
          <w:p>
            <w:pPr>
              <w:spacing w:after="0" w:line="269" w:lineRule="auto"/>
            </w:pPr>
            <w:r>
              <w:rPr>
                <w:rFonts w:ascii="Calibri" w:hAnsi="Calibri"/>
                <w:b/>
                <w:i w:val="0"/>
                <w:color w:val="7A5A00"/>
                <w:sz w:val="19"/>
              </w:rPr>
              <w:t xml:space="preserve">GATING HUMAN INPUTS  </w:t>
            </w:r>
            <w:r>
              <w:rPr>
                <w:rFonts w:ascii="Calibri" w:hAnsi="Calibri"/>
                <w:b w:val="0"/>
                <w:i w:val="0"/>
                <w:color w:val="111111"/>
                <w:sz w:val="21"/>
              </w:rPr>
              <w:t>Model implementation can proceed only after the first representative task definition, authorized provider credentials/endpoints, permitted data/fixtures, and a budget/timeout ceiling are available. These are prerequisites, not parallel “implementation estimates.”</w:t>
            </w:r>
          </w:p>
        </w:tc>
      </w:tr>
    </w:tbl>
    <w:p>
      <w:pPr>
        <w:spacing w:after="60"/>
      </w:pP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3000"/>
        <w:gridCol w:w="3650"/>
        <w:gridCol w:w="2710"/>
      </w:tblGrid>
      <w:tr>
        <w:trPr>
          <w:tblHeader w:val="true"/>
          <w:cantSplit/>
        </w:trPr>
        <w:tc>
          <w:tcPr>
            <w:tcW w:type="dxa" w:w="30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Human prerequisite / follow-up</w:t>
            </w:r>
          </w:p>
        </w:tc>
        <w:tc>
          <w:tcPr>
            <w:tcW w:type="dxa" w:w="365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Why it is needed</w:t>
            </w:r>
          </w:p>
        </w:tc>
        <w:tc>
          <w:tcPr>
            <w:tcW w:type="dxa" w:w="271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Blocks</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Task owners approve success criteria and prohibited actions</w:t>
            </w:r>
          </w:p>
        </w:tc>
        <w:tc>
          <w:tcPr>
            <w:tcW w:type="dxa" w:w="3650"/>
            <w:tcMar>
              <w:top w:w="80" w:type="dxa"/>
              <w:start w:w="120" w:type="dxa"/>
              <w:bottom w:w="80" w:type="dxa"/>
              <w:end w:w="120" w:type="dxa"/>
            </w:tcMar>
            <w:vAlign w:val="center"/>
          </w:tcPr>
          <w:p>
            <w:pPr>
              <w:spacing w:after="0" w:line="257" w:lineRule="auto"/>
            </w:pPr>
            <w:r>
              <w:rPr>
                <w:rFonts w:ascii="Calibri" w:hAnsi="Calibri"/>
                <w:b w:val="0"/>
                <w:i w:val="0"/>
                <w:color w:val="111111"/>
                <w:sz w:val="17"/>
              </w:rPr>
              <w:t>Prevents optimizing the wrong behavior.</w:t>
            </w:r>
          </w:p>
        </w:tc>
        <w:tc>
          <w:tcPr>
            <w:tcW w:type="dxa" w:w="2710"/>
            <w:tcMar>
              <w:top w:w="80" w:type="dxa"/>
              <w:start w:w="120" w:type="dxa"/>
              <w:bottom w:w="80" w:type="dxa"/>
              <w:end w:w="120" w:type="dxa"/>
            </w:tcMar>
            <w:vAlign w:val="center"/>
          </w:tcPr>
          <w:p>
            <w:pPr>
              <w:spacing w:after="0" w:line="257" w:lineRule="auto"/>
            </w:pPr>
            <w:r>
              <w:rPr>
                <w:rFonts w:ascii="Calibri" w:hAnsi="Calibri"/>
                <w:b w:val="0"/>
                <w:i w:val="0"/>
                <w:color w:val="111111"/>
                <w:sz w:val="17"/>
              </w:rPr>
              <w:t>Scorer finalization and release gates</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Security/legal approve datasets, retention, and provider use</w:t>
            </w:r>
          </w:p>
        </w:tc>
        <w:tc>
          <w:tcPr>
            <w:tcW w:type="dxa" w:w="3650"/>
            <w:tcMar>
              <w:top w:w="80" w:type="dxa"/>
              <w:start w:w="120" w:type="dxa"/>
              <w:bottom w:w="80" w:type="dxa"/>
              <w:end w:w="120" w:type="dxa"/>
            </w:tcMar>
            <w:vAlign w:val="center"/>
          </w:tcPr>
          <w:p>
            <w:pPr>
              <w:spacing w:after="0" w:line="257" w:lineRule="auto"/>
            </w:pPr>
            <w:r>
              <w:rPr>
                <w:rFonts w:ascii="Calibri" w:hAnsi="Calibri"/>
                <w:b w:val="0"/>
                <w:i w:val="0"/>
                <w:color w:val="111111"/>
                <w:sz w:val="17"/>
              </w:rPr>
              <w:t>Traces may contain prompts, PII, credentials, code, or customer data.</w:t>
            </w:r>
          </w:p>
        </w:tc>
        <w:tc>
          <w:tcPr>
            <w:tcW w:type="dxa" w:w="2710"/>
            <w:tcMar>
              <w:top w:w="80" w:type="dxa"/>
              <w:start w:w="120" w:type="dxa"/>
              <w:bottom w:w="80" w:type="dxa"/>
              <w:end w:w="120" w:type="dxa"/>
            </w:tcMar>
            <w:vAlign w:val="center"/>
          </w:tcPr>
          <w:p>
            <w:pPr>
              <w:spacing w:after="0" w:line="257" w:lineRule="auto"/>
            </w:pPr>
            <w:r>
              <w:rPr>
                <w:rFonts w:ascii="Calibri" w:hAnsi="Calibri"/>
                <w:b w:val="0"/>
                <w:i w:val="0"/>
                <w:color w:val="111111"/>
                <w:sz w:val="17"/>
              </w:rPr>
              <w:t>Live-data studies and production tracing</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API accounts, keys, quotas, regional access, and spend caps</w:t>
            </w:r>
          </w:p>
        </w:tc>
        <w:tc>
          <w:tcPr>
            <w:tcW w:type="dxa" w:w="3650"/>
            <w:tcMar>
              <w:top w:w="80" w:type="dxa"/>
              <w:start w:w="120" w:type="dxa"/>
              <w:bottom w:w="80" w:type="dxa"/>
              <w:end w:w="120" w:type="dxa"/>
            </w:tcMar>
            <w:vAlign w:val="center"/>
          </w:tcPr>
          <w:p>
            <w:pPr>
              <w:spacing w:after="0" w:line="257" w:lineRule="auto"/>
            </w:pPr>
            <w:r>
              <w:rPr>
                <w:rFonts w:ascii="Calibri" w:hAnsi="Calibri"/>
                <w:b w:val="0"/>
                <w:i w:val="0"/>
                <w:color w:val="111111"/>
                <w:sz w:val="17"/>
              </w:rPr>
              <w:t>Closed providers and managed tools require user-owned accounts.</w:t>
            </w:r>
          </w:p>
        </w:tc>
        <w:tc>
          <w:tcPr>
            <w:tcW w:type="dxa" w:w="2710"/>
            <w:tcMar>
              <w:top w:w="80" w:type="dxa"/>
              <w:start w:w="120" w:type="dxa"/>
              <w:bottom w:w="80" w:type="dxa"/>
              <w:end w:w="120" w:type="dxa"/>
            </w:tcMar>
            <w:vAlign w:val="center"/>
          </w:tcPr>
          <w:p>
            <w:pPr>
              <w:spacing w:after="0" w:line="257" w:lineRule="auto"/>
            </w:pPr>
            <w:r>
              <w:rPr>
                <w:rFonts w:ascii="Calibri" w:hAnsi="Calibri"/>
                <w:b w:val="0"/>
                <w:i w:val="0"/>
                <w:color w:val="111111"/>
                <w:sz w:val="17"/>
              </w:rPr>
              <w:t>External model/provider runs</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GPU/hosting decision and quota for open models</w:t>
            </w:r>
          </w:p>
        </w:tc>
        <w:tc>
          <w:tcPr>
            <w:tcW w:type="dxa" w:w="3650"/>
            <w:tcMar>
              <w:top w:w="80" w:type="dxa"/>
              <w:start w:w="120" w:type="dxa"/>
              <w:bottom w:w="80" w:type="dxa"/>
              <w:end w:w="120" w:type="dxa"/>
            </w:tcMar>
            <w:vAlign w:val="center"/>
          </w:tcPr>
          <w:p>
            <w:pPr>
              <w:spacing w:after="0" w:line="257" w:lineRule="auto"/>
            </w:pPr>
            <w:r>
              <w:rPr>
                <w:rFonts w:ascii="Calibri" w:hAnsi="Calibri"/>
                <w:b w:val="0"/>
                <w:i w:val="0"/>
                <w:color w:val="111111"/>
                <w:sz w:val="17"/>
              </w:rPr>
              <w:t>Open weights still require provisioned hardware and networking.</w:t>
            </w:r>
          </w:p>
        </w:tc>
        <w:tc>
          <w:tcPr>
            <w:tcW w:type="dxa" w:w="2710"/>
            <w:tcMar>
              <w:top w:w="80" w:type="dxa"/>
              <w:start w:w="120" w:type="dxa"/>
              <w:bottom w:w="80" w:type="dxa"/>
              <w:end w:w="120" w:type="dxa"/>
            </w:tcMar>
            <w:vAlign w:val="center"/>
          </w:tcPr>
          <w:p>
            <w:pPr>
              <w:spacing w:after="0" w:line="257" w:lineRule="auto"/>
            </w:pPr>
            <w:r>
              <w:rPr>
                <w:rFonts w:ascii="Calibri" w:hAnsi="Calibri"/>
                <w:b w:val="0"/>
                <w:i w:val="0"/>
                <w:color w:val="111111"/>
                <w:sz w:val="17"/>
              </w:rPr>
              <w:t>Self-hosted serving benchmarks</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Human annotation sample and adjudication policy</w:t>
            </w:r>
          </w:p>
        </w:tc>
        <w:tc>
          <w:tcPr>
            <w:tcW w:type="dxa" w:w="3650"/>
            <w:tcMar>
              <w:top w:w="80" w:type="dxa"/>
              <w:start w:w="120" w:type="dxa"/>
              <w:bottom w:w="80" w:type="dxa"/>
              <w:end w:w="120" w:type="dxa"/>
            </w:tcMar>
            <w:vAlign w:val="center"/>
          </w:tcPr>
          <w:p>
            <w:pPr>
              <w:spacing w:after="0" w:line="257" w:lineRule="auto"/>
            </w:pPr>
            <w:r>
              <w:rPr>
                <w:rFonts w:ascii="Calibri" w:hAnsi="Calibri"/>
                <w:b w:val="0"/>
                <w:i w:val="0"/>
                <w:color w:val="111111"/>
                <w:sz w:val="17"/>
              </w:rPr>
              <w:t>Needed to calibrate subjective scorers and resolve ambiguous outcomes.</w:t>
            </w:r>
          </w:p>
        </w:tc>
        <w:tc>
          <w:tcPr>
            <w:tcW w:type="dxa" w:w="2710"/>
            <w:tcMar>
              <w:top w:w="80" w:type="dxa"/>
              <w:start w:w="120" w:type="dxa"/>
              <w:bottom w:w="80" w:type="dxa"/>
              <w:end w:w="120" w:type="dxa"/>
            </w:tcMar>
            <w:vAlign w:val="center"/>
          </w:tcPr>
          <w:p>
            <w:pPr>
              <w:spacing w:after="0" w:line="257" w:lineRule="auto"/>
            </w:pPr>
            <w:r>
              <w:rPr>
                <w:rFonts w:ascii="Calibri" w:hAnsi="Calibri"/>
                <w:b w:val="0"/>
                <w:i w:val="0"/>
                <w:color w:val="111111"/>
                <w:sz w:val="17"/>
              </w:rPr>
              <w:t>Judge qualification</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Business/domain owners confirm causal outcomes and workflow assumptions</w:t>
            </w:r>
          </w:p>
        </w:tc>
        <w:tc>
          <w:tcPr>
            <w:tcW w:type="dxa" w:w="3650"/>
            <w:tcMar>
              <w:top w:w="80" w:type="dxa"/>
              <w:start w:w="120" w:type="dxa"/>
              <w:bottom w:w="80" w:type="dxa"/>
              <w:end w:w="120" w:type="dxa"/>
            </w:tcMar>
            <w:vAlign w:val="center"/>
          </w:tcPr>
          <w:p>
            <w:pPr>
              <w:spacing w:after="0" w:line="257" w:lineRule="auto"/>
            </w:pPr>
            <w:r>
              <w:rPr>
                <w:rFonts w:ascii="Calibri" w:hAnsi="Calibri"/>
                <w:b w:val="0"/>
                <w:i w:val="0"/>
                <w:color w:val="111111"/>
                <w:sz w:val="17"/>
              </w:rPr>
              <w:t>Prevents illustrative examples or AI-generated specifications from becoming unsupported client facts.</w:t>
            </w:r>
          </w:p>
        </w:tc>
        <w:tc>
          <w:tcPr>
            <w:tcW w:type="dxa" w:w="2710"/>
            <w:tcMar>
              <w:top w:w="80" w:type="dxa"/>
              <w:start w:w="120" w:type="dxa"/>
              <w:bottom w:w="80" w:type="dxa"/>
              <w:end w:w="120" w:type="dxa"/>
            </w:tcMar>
            <w:vAlign w:val="center"/>
          </w:tcPr>
          <w:p>
            <w:pPr>
              <w:spacing w:after="0" w:line="257" w:lineRule="auto"/>
            </w:pPr>
            <w:r>
              <w:rPr>
                <w:rFonts w:ascii="Calibri" w:hAnsi="Calibri"/>
                <w:b w:val="0"/>
                <w:i w:val="0"/>
                <w:color w:val="111111"/>
                <w:sz w:val="17"/>
              </w:rPr>
              <w:t>PRD, transcription, extraction/form and other domain-specific release evidence</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Production shadow/canary authorization</w:t>
            </w:r>
          </w:p>
        </w:tc>
        <w:tc>
          <w:tcPr>
            <w:tcW w:type="dxa" w:w="3650"/>
            <w:tcMar>
              <w:top w:w="80" w:type="dxa"/>
              <w:start w:w="120" w:type="dxa"/>
              <w:bottom w:w="80" w:type="dxa"/>
              <w:end w:w="120" w:type="dxa"/>
            </w:tcMar>
            <w:vAlign w:val="center"/>
          </w:tcPr>
          <w:p>
            <w:pPr>
              <w:spacing w:after="0" w:line="257" w:lineRule="auto"/>
            </w:pPr>
            <w:r>
              <w:rPr>
                <w:rFonts w:ascii="Calibri" w:hAnsi="Calibri"/>
                <w:b w:val="0"/>
                <w:i w:val="0"/>
                <w:color w:val="111111"/>
                <w:sz w:val="17"/>
              </w:rPr>
              <w:t>Even shadow systems can process sensitive traffic; canaries can cause side effects.</w:t>
            </w:r>
          </w:p>
        </w:tc>
        <w:tc>
          <w:tcPr>
            <w:tcW w:type="dxa" w:w="2710"/>
            <w:tcMar>
              <w:top w:w="80" w:type="dxa"/>
              <w:start w:w="120" w:type="dxa"/>
              <w:bottom w:w="80" w:type="dxa"/>
              <w:end w:w="120" w:type="dxa"/>
            </w:tcMar>
            <w:vAlign w:val="center"/>
          </w:tcPr>
          <w:p>
            <w:pPr>
              <w:spacing w:after="0" w:line="257" w:lineRule="auto"/>
            </w:pPr>
            <w:r>
              <w:rPr>
                <w:rFonts w:ascii="Calibri" w:hAnsi="Calibri"/>
                <w:b w:val="0"/>
                <w:i w:val="0"/>
                <w:color w:val="111111"/>
                <w:sz w:val="17"/>
              </w:rPr>
              <w:t>Phase 3 production validation</w:t>
            </w:r>
          </w:p>
        </w:tc>
      </w:tr>
    </w:tbl>
    <w:p>
      <w:pPr>
        <w:spacing w:after="40"/>
      </w:pPr>
    </w:p>
    <w:p>
      <w:pPr>
        <w:pStyle w:val="Heading2"/>
        <w:keepNext/>
      </w:pPr>
      <w:r>
        <w:rPr>
          <w:rFonts w:ascii="Calibri" w:hAnsi="Calibri"/>
          <w:b/>
          <w:i w:val="0"/>
          <w:color w:val="2E74B5"/>
          <w:sz w:val="26"/>
        </w:rPr>
        <w:t>Ownership model</w:t>
      </w:r>
    </w:p>
    <w:p>
      <w:pPr>
        <w:pStyle w:val="ListBullet"/>
        <w:spacing w:after="160" w:line="280" w:lineRule="auto"/>
        <w:ind w:left="720" w:hanging="360"/>
      </w:pPr>
      <w:r>
        <w:rPr>
          <w:rFonts w:ascii="Calibri" w:hAnsi="Calibri"/>
          <w:b w:val="0"/>
          <w:i w:val="0"/>
          <w:color w:val="111111"/>
          <w:sz w:val="22"/>
        </w:rPr>
        <w:t>Task owner: defines representative distribution, expected outcomes, risk level, and latency SLO.</w:t>
      </w:r>
    </w:p>
    <w:p>
      <w:pPr>
        <w:pStyle w:val="ListBullet"/>
        <w:spacing w:after="160" w:line="280" w:lineRule="auto"/>
        <w:ind w:left="720" w:hanging="360"/>
      </w:pPr>
      <w:r>
        <w:rPr>
          <w:rFonts w:ascii="Calibri" w:hAnsi="Calibri"/>
          <w:b w:val="0"/>
          <w:i w:val="0"/>
          <w:color w:val="111111"/>
          <w:sz w:val="22"/>
        </w:rPr>
        <w:t>Evaluation owner: owns datasets, scorers, statistical plan, holdouts, and release decisions.</w:t>
      </w:r>
    </w:p>
    <w:p>
      <w:pPr>
        <w:pStyle w:val="ListBullet"/>
        <w:spacing w:after="160" w:line="280" w:lineRule="auto"/>
        <w:ind w:left="720" w:hanging="360"/>
      </w:pPr>
      <w:r>
        <w:rPr>
          <w:rFonts w:ascii="Calibri" w:hAnsi="Calibri"/>
          <w:b w:val="0"/>
          <w:i w:val="0"/>
          <w:color w:val="111111"/>
          <w:sz w:val="22"/>
        </w:rPr>
        <w:t>Evaluation author: uses the design studio to draft task, behavior, failure, data, judge and scoring changes; cannot approve the same change or access sealed holdout answers.</w:t>
      </w:r>
    </w:p>
    <w:p>
      <w:pPr>
        <w:pStyle w:val="ListBullet"/>
        <w:spacing w:after="160" w:line="280" w:lineRule="auto"/>
        <w:ind w:left="720" w:hanging="360"/>
      </w:pPr>
      <w:r>
        <w:rPr>
          <w:rFonts w:ascii="Calibri" w:hAnsi="Calibri"/>
          <w:b w:val="0"/>
          <w:i w:val="0"/>
          <w:color w:val="111111"/>
          <w:sz w:val="22"/>
        </w:rPr>
        <w:t>Platform owner: owns adapters, sandbox, telemetry, storage, quotas, and provider operations.</w:t>
      </w:r>
    </w:p>
    <w:p>
      <w:pPr>
        <w:pStyle w:val="ListBullet"/>
        <w:spacing w:after="160" w:line="280" w:lineRule="auto"/>
        <w:ind w:left="720" w:hanging="360"/>
      </w:pPr>
      <w:r>
        <w:rPr>
          <w:rFonts w:ascii="Calibri" w:hAnsi="Calibri"/>
          <w:b w:val="0"/>
          <w:i w:val="0"/>
          <w:color w:val="111111"/>
          <w:sz w:val="22"/>
        </w:rPr>
        <w:t>Security/privacy owner: approves data flow, trace retention/redaction, secrets, cache isolation, and red-team scope.</w:t>
      </w:r>
    </w:p>
    <w:p>
      <w:pPr>
        <w:pStyle w:val="ListBullet"/>
        <w:spacing w:after="160" w:line="280" w:lineRule="auto"/>
        <w:ind w:left="720" w:hanging="360"/>
      </w:pPr>
      <w:r>
        <w:rPr>
          <w:rFonts w:ascii="Calibri" w:hAnsi="Calibri"/>
          <w:b w:val="0"/>
          <w:i w:val="0"/>
          <w:color w:val="111111"/>
          <w:sz w:val="22"/>
        </w:rPr>
        <w:t>Human review panel: adjudicates benchmark changes and audits unexpected wins/losses; it should not see model/provider identity during scoring where feasible.</w:t>
      </w:r>
    </w:p>
    <w:p>
      <w:pPr>
        <w:pStyle w:val="Heading2"/>
        <w:keepNext/>
      </w:pPr>
      <w:r>
        <w:rPr>
          <w:rFonts w:ascii="Calibri" w:hAnsi="Calibri"/>
          <w:b/>
          <w:i w:val="0"/>
          <w:color w:val="2E74B5"/>
          <w:sz w:val="26"/>
        </w:rPr>
        <w:t>Principal risks and mitigations</w:t>
      </w:r>
    </w:p>
    <w:tbl>
      <w:tblPr>
        <w:tblStyle w:val="TableGrid"/>
        <w:tblW w:type="dxa" w:w="9360"/>
        <w:jc w:val="left"/>
        <w:tblLayout w:type="fixed"/>
        <w:tblLook w:firstColumn="1" w:firstRow="1" w:lastColumn="0" w:lastRow="0" w:noHBand="0" w:noVBand="1" w:val="04A0"/>
        <w:tblInd w:w="120" w:type="dxa"/>
        <w:tblBorders>
          <w:top w:val="single" w:sz="6" w:space="0" w:color="D5DAE0"/>
          <w:left w:val="single" w:sz="6" w:space="0" w:color="D5DAE0"/>
          <w:bottom w:val="single" w:sz="6" w:space="0" w:color="D5DAE0"/>
          <w:right w:val="single" w:sz="6" w:space="0" w:color="D5DAE0"/>
          <w:insideH w:val="single" w:sz="6" w:space="0" w:color="D5DAE0"/>
          <w:insideV w:val="single" w:sz="6" w:space="0" w:color="D5DAE0"/>
        </w:tblBorders>
      </w:tblPr>
      <w:tblGrid>
        <w:gridCol w:w="3000"/>
        <w:gridCol w:w="6360"/>
      </w:tblGrid>
      <w:tr>
        <w:trPr>
          <w:tblHeader w:val="true"/>
          <w:cantSplit/>
        </w:trPr>
        <w:tc>
          <w:tcPr>
            <w:tcW w:type="dxa" w:w="300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Risk</w:t>
            </w:r>
          </w:p>
        </w:tc>
        <w:tc>
          <w:tcPr>
            <w:tcW w:type="dxa" w:w="6360"/>
            <w:shd w:fill="F2F4F7"/>
            <w:tcMar>
              <w:top w:w="80" w:type="dxa"/>
              <w:start w:w="120" w:type="dxa"/>
              <w:bottom w:w="80" w:type="dxa"/>
              <w:end w:w="120" w:type="dxa"/>
            </w:tcMar>
            <w:vAlign w:val="center"/>
          </w:tcPr>
          <w:p>
            <w:pPr>
              <w:spacing w:after="0" w:line="252" w:lineRule="auto"/>
              <w:jc w:val="left"/>
            </w:pPr>
            <w:r>
              <w:rPr>
                <w:rFonts w:ascii="Calibri" w:hAnsi="Calibri"/>
                <w:b/>
                <w:i w:val="0"/>
                <w:color w:val="0B2545"/>
                <w:sz w:val="18"/>
              </w:rPr>
              <w:t>Mitigation</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Optimizing to an invalid evaluator</w:t>
            </w:r>
          </w:p>
        </w:tc>
        <w:tc>
          <w:tcPr>
            <w:tcW w:type="dxa" w:w="6360"/>
            <w:tcMar>
              <w:top w:w="80" w:type="dxa"/>
              <w:start w:w="120" w:type="dxa"/>
              <w:bottom w:w="80" w:type="dxa"/>
              <w:end w:w="120" w:type="dxa"/>
            </w:tcMar>
            <w:vAlign w:val="center"/>
          </w:tcPr>
          <w:p>
            <w:pPr>
              <w:spacing w:after="0" w:line="257" w:lineRule="auto"/>
            </w:pPr>
            <w:r>
              <w:rPr>
                <w:rFonts w:ascii="Calibri" w:hAnsi="Calibri"/>
                <w:b w:val="0"/>
                <w:i w:val="0"/>
                <w:color w:val="111111"/>
                <w:sz w:val="17"/>
              </w:rPr>
              <w:t>Deterministic-first scoring, human calibration, frozen versions, sequestered holdout, false-pass audits.</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AI-assisted authoring becomes self-validation</w:t>
            </w:r>
          </w:p>
        </w:tc>
        <w:tc>
          <w:tcPr>
            <w:tcW w:type="dxa" w:w="6360"/>
            <w:tcMar>
              <w:top w:w="80" w:type="dxa"/>
              <w:start w:w="120" w:type="dxa"/>
              <w:bottom w:w="80" w:type="dxa"/>
              <w:end w:w="120" w:type="dxa"/>
            </w:tcMar>
            <w:vAlign w:val="center"/>
          </w:tcPr>
          <w:p>
            <w:pPr>
              <w:spacing w:after="0" w:line="257" w:lineRule="auto"/>
            </w:pPr>
            <w:r>
              <w:rPr>
                <w:rFonts w:ascii="Calibri" w:hAnsi="Calibri"/>
                <w:b w:val="0"/>
                <w:i w:val="0"/>
                <w:color w:val="111111"/>
                <w:sz w:val="17"/>
              </w:rPr>
              <w:t>Separate author, evaluator and approver roles; deny holdout access; require human-labeled calibration, versioned diffs, paired validation and signed promotion.</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Synthetic data narrows or leaks the benchmark</w:t>
            </w:r>
          </w:p>
        </w:tc>
        <w:tc>
          <w:tcPr>
            <w:tcW w:type="dxa" w:w="6360"/>
            <w:tcMar>
              <w:top w:w="80" w:type="dxa"/>
              <w:start w:w="120" w:type="dxa"/>
              <w:bottom w:w="80" w:type="dxa"/>
              <w:end w:w="120" w:type="dxa"/>
            </w:tcMar>
            <w:vAlign w:val="center"/>
          </w:tcPr>
          <w:p>
            <w:pPr>
              <w:spacing w:after="0" w:line="257" w:lineRule="auto"/>
            </w:pPr>
            <w:r>
              <w:rPr>
                <w:rFonts w:ascii="Calibri" w:hAnsi="Calibri"/>
                <w:b w:val="0"/>
                <w:i w:val="0"/>
                <w:color w:val="111111"/>
                <w:sz w:val="17"/>
              </w:rPr>
              <w:t>Start from approved real seeds and a coverage matrix; record provenance; deduplicate; test solvability and leakage; preserve a real, sealed holdout.</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Combinatorial cost explosion</w:t>
            </w:r>
          </w:p>
        </w:tc>
        <w:tc>
          <w:tcPr>
            <w:tcW w:type="dxa" w:w="6360"/>
            <w:tcMar>
              <w:top w:w="80" w:type="dxa"/>
              <w:start w:w="120" w:type="dxa"/>
              <w:bottom w:w="80" w:type="dxa"/>
              <w:end w:w="120" w:type="dxa"/>
            </w:tcMar>
            <w:vAlign w:val="center"/>
          </w:tcPr>
          <w:p>
            <w:pPr>
              <w:spacing w:after="0" w:line="257" w:lineRule="auto"/>
            </w:pPr>
            <w:r>
              <w:rPr>
                <w:rFonts w:ascii="Calibri" w:hAnsi="Calibri"/>
                <w:b w:val="0"/>
                <w:i w:val="0"/>
                <w:color w:val="111111"/>
                <w:sz w:val="17"/>
              </w:rPr>
              <w:t>Compatibility pruning, fractional designs, successive halving, staged repetitions, reuse stored traces for rescoring.</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Benchmark contamination or leakage</w:t>
            </w:r>
          </w:p>
        </w:tc>
        <w:tc>
          <w:tcPr>
            <w:tcW w:type="dxa" w:w="6360"/>
            <w:tcMar>
              <w:top w:w="80" w:type="dxa"/>
              <w:start w:w="120" w:type="dxa"/>
              <w:bottom w:w="80" w:type="dxa"/>
              <w:end w:w="120" w:type="dxa"/>
            </w:tcMar>
            <w:vAlign w:val="center"/>
          </w:tcPr>
          <w:p>
            <w:pPr>
              <w:spacing w:after="0" w:line="257" w:lineRule="auto"/>
            </w:pPr>
            <w:r>
              <w:rPr>
                <w:rFonts w:ascii="Calibri" w:hAnsi="Calibri"/>
                <w:b w:val="0"/>
                <w:i w:val="0"/>
                <w:color w:val="111111"/>
                <w:sz w:val="17"/>
              </w:rPr>
              <w:t>Private rotating cases, provenance checks, no answers in traces accessible to targets, holdout access controls.</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Long-horizon progress is hidden by a final-only score</w:t>
            </w:r>
          </w:p>
        </w:tc>
        <w:tc>
          <w:tcPr>
            <w:tcW w:type="dxa" w:w="6360"/>
            <w:tcMar>
              <w:top w:w="80" w:type="dxa"/>
              <w:start w:w="120" w:type="dxa"/>
              <w:bottom w:w="80" w:type="dxa"/>
              <w:end w:w="120" w:type="dxa"/>
            </w:tcMar>
            <w:vAlign w:val="center"/>
          </w:tcPr>
          <w:p>
            <w:pPr>
              <w:spacing w:after="0" w:line="257" w:lineRule="auto"/>
            </w:pPr>
            <w:r>
              <w:rPr>
                <w:rFonts w:ascii="Calibri" w:hAnsi="Calibri"/>
                <w:b w:val="0"/>
                <w:i w:val="0"/>
                <w:color w:val="111111"/>
                <w:sz w:val="17"/>
              </w:rPr>
              <w:t>Verified milestones and stage-dependency graph; framing/execution/feedback-control diagnostics; checkpoint/recovery evidence; final outcome still governs promotion.</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Memory or prior lessons cause negative transfer</w:t>
            </w:r>
          </w:p>
        </w:tc>
        <w:tc>
          <w:tcPr>
            <w:tcW w:type="dxa" w:w="6360"/>
            <w:tcMar>
              <w:top w:w="80" w:type="dxa"/>
              <w:start w:w="120" w:type="dxa"/>
              <w:bottom w:w="80" w:type="dxa"/>
              <w:end w:w="120" w:type="dxa"/>
            </w:tcMar>
            <w:vAlign w:val="center"/>
          </w:tcPr>
          <w:p>
            <w:pPr>
              <w:spacing w:after="0" w:line="257" w:lineRule="auto"/>
            </w:pPr>
            <w:r>
              <w:rPr>
                <w:rFonts w:ascii="Calibri" w:hAnsi="Calibri"/>
                <w:b w:val="0"/>
                <w:i w:val="0"/>
                <w:color w:val="111111"/>
                <w:sz w:val="17"/>
              </w:rPr>
              <w:t>Predeclared within-task and cross-task counterfactuals, task-relevant lesson scopes, artifact-leakage controls, and negative-transfer reporting.</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Harness is mistaken for model capability</w:t>
            </w:r>
          </w:p>
        </w:tc>
        <w:tc>
          <w:tcPr>
            <w:tcW w:type="dxa" w:w="6360"/>
            <w:tcMar>
              <w:top w:w="80" w:type="dxa"/>
              <w:start w:w="120" w:type="dxa"/>
              <w:bottom w:w="80" w:type="dxa"/>
              <w:end w:w="120" w:type="dxa"/>
            </w:tcMar>
            <w:vAlign w:val="center"/>
          </w:tcPr>
          <w:p>
            <w:pPr>
              <w:spacing w:after="0" w:line="257" w:lineRule="auto"/>
            </w:pPr>
            <w:r>
              <w:rPr>
                <w:rFonts w:ascii="Calibri" w:hAnsi="Calibri"/>
                <w:b w:val="0"/>
                <w:i w:val="0"/>
                <w:color w:val="111111"/>
                <w:sz w:val="17"/>
              </w:rPr>
              <w:t>Version and ablate tool schemas, context policy, checkpointing, and scaffold; report paired canonical-harness and native-agent results.</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Cache makes results irreproducible</w:t>
            </w:r>
          </w:p>
        </w:tc>
        <w:tc>
          <w:tcPr>
            <w:tcW w:type="dxa" w:w="6360"/>
            <w:tcMar>
              <w:top w:w="80" w:type="dxa"/>
              <w:start w:w="120" w:type="dxa"/>
              <w:bottom w:w="80" w:type="dxa"/>
              <w:end w:w="120" w:type="dxa"/>
            </w:tcMar>
            <w:vAlign w:val="center"/>
          </w:tcPr>
          <w:p>
            <w:pPr>
              <w:spacing w:after="0" w:line="257" w:lineRule="auto"/>
            </w:pPr>
            <w:r>
              <w:rPr>
                <w:rFonts w:ascii="Calibri" w:hAnsi="Calibri"/>
                <w:b w:val="0"/>
                <w:i w:val="0"/>
                <w:color w:val="111111"/>
                <w:sz w:val="17"/>
              </w:rPr>
              <w:t>Explicit cache modes, namespaces, sequence manifests, provider usage logs, cold/warm reporting.</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Provider “same model” behaves differently</w:t>
            </w:r>
          </w:p>
        </w:tc>
        <w:tc>
          <w:tcPr>
            <w:tcW w:type="dxa" w:w="6360"/>
            <w:tcMar>
              <w:top w:w="80" w:type="dxa"/>
              <w:start w:w="120" w:type="dxa"/>
              <w:bottom w:w="80" w:type="dxa"/>
              <w:end w:w="120" w:type="dxa"/>
            </w:tcMar>
            <w:vAlign w:val="center"/>
          </w:tcPr>
          <w:p>
            <w:pPr>
              <w:spacing w:after="0" w:line="257" w:lineRule="auto"/>
            </w:pPr>
            <w:r>
              <w:rPr>
                <w:rFonts w:ascii="Calibri" w:hAnsi="Calibri"/>
                <w:b w:val="0"/>
                <w:i w:val="0"/>
                <w:color w:val="111111"/>
                <w:sz w:val="17"/>
              </w:rPr>
              <w:t>Quality-equivalence gate and deployment-specific IDs; pin serving stack for open models.</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Unsafe tool side effects</w:t>
            </w:r>
          </w:p>
        </w:tc>
        <w:tc>
          <w:tcPr>
            <w:tcW w:type="dxa" w:w="6360"/>
            <w:tcMar>
              <w:top w:w="80" w:type="dxa"/>
              <w:start w:w="120" w:type="dxa"/>
              <w:bottom w:w="80" w:type="dxa"/>
              <w:end w:w="120" w:type="dxa"/>
            </w:tcMar>
            <w:vAlign w:val="center"/>
          </w:tcPr>
          <w:p>
            <w:pPr>
              <w:spacing w:after="0" w:line="257" w:lineRule="auto"/>
            </w:pPr>
            <w:r>
              <w:rPr>
                <w:rFonts w:ascii="Calibri" w:hAnsi="Calibri"/>
                <w:b w:val="0"/>
                <w:i w:val="0"/>
                <w:color w:val="111111"/>
                <w:sz w:val="17"/>
              </w:rPr>
              <w:t>Sandbox/simulator, least privilege, idempotency keys, approval gates, side-effect audit, replay without live writes.</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Trace privacy or credential leakage</w:t>
            </w:r>
          </w:p>
        </w:tc>
        <w:tc>
          <w:tcPr>
            <w:tcW w:type="dxa" w:w="6360"/>
            <w:tcMar>
              <w:top w:w="80" w:type="dxa"/>
              <w:start w:w="120" w:type="dxa"/>
              <w:bottom w:w="80" w:type="dxa"/>
              <w:end w:w="120" w:type="dxa"/>
            </w:tcMar>
            <w:vAlign w:val="center"/>
          </w:tcPr>
          <w:p>
            <w:pPr>
              <w:spacing w:after="0" w:line="257" w:lineRule="auto"/>
            </w:pPr>
            <w:r>
              <w:rPr>
                <w:rFonts w:ascii="Calibri" w:hAnsi="Calibri"/>
                <w:b w:val="0"/>
                <w:i w:val="0"/>
                <w:color w:val="111111"/>
                <w:sz w:val="17"/>
              </w:rPr>
              <w:t>Structured redaction before export, encrypted storage, scoped access/retention, content logging off by default for sensitive slices.</w:t>
            </w:r>
          </w:p>
        </w:tc>
      </w:tr>
      <w:tr>
        <w:trPr>
          <w:cantSplit/>
        </w:trPr>
        <w:tc>
          <w:tcPr>
            <w:tcW w:type="dxa" w:w="3000"/>
            <w:tcMar>
              <w:top w:w="80" w:type="dxa"/>
              <w:start w:w="120" w:type="dxa"/>
              <w:bottom w:w="80" w:type="dxa"/>
              <w:end w:w="120" w:type="dxa"/>
            </w:tcMar>
            <w:vAlign w:val="center"/>
          </w:tcPr>
          <w:p>
            <w:pPr>
              <w:spacing w:after="0" w:line="257" w:lineRule="auto"/>
            </w:pPr>
            <w:r>
              <w:rPr>
                <w:rFonts w:ascii="Calibri" w:hAnsi="Calibri"/>
                <w:b w:val="0"/>
                <w:i w:val="0"/>
                <w:color w:val="111111"/>
                <w:sz w:val="17"/>
              </w:rPr>
              <w:t>Routing policy becomes stale</w:t>
            </w:r>
          </w:p>
        </w:tc>
        <w:tc>
          <w:tcPr>
            <w:tcW w:type="dxa" w:w="6360"/>
            <w:tcMar>
              <w:top w:w="80" w:type="dxa"/>
              <w:start w:w="120" w:type="dxa"/>
              <w:bottom w:w="80" w:type="dxa"/>
              <w:end w:w="120" w:type="dxa"/>
            </w:tcMar>
            <w:vAlign w:val="center"/>
          </w:tcPr>
          <w:p>
            <w:pPr>
              <w:spacing w:after="0" w:line="257" w:lineRule="auto"/>
            </w:pPr>
            <w:r>
              <w:rPr>
                <w:rFonts w:ascii="Calibri" w:hAnsi="Calibri"/>
                <w:b w:val="0"/>
                <w:i w:val="0"/>
                <w:color w:val="111111"/>
                <w:sz w:val="17"/>
              </w:rPr>
              <w:t>Scheduled and trigger-based requalification, drift alarms, shadow candidates, safe fallback.</w:t>
            </w:r>
          </w:p>
        </w:tc>
      </w:tr>
    </w:tbl>
    <w:p>
      <w:pPr>
        <w:spacing w:after="40"/>
      </w:pPr>
    </w:p>
    <w:p>
      <w:pPr>
        <w:pStyle w:val="Heading1"/>
        <w:keepNext/>
      </w:pPr>
      <w:r>
        <w:rPr>
          <w:rFonts w:ascii="Calibri" w:hAnsi="Calibri"/>
          <w:b/>
          <w:i w:val="0"/>
          <w:color w:val="2E74B5"/>
          <w:sz w:val="32"/>
        </w:rPr>
        <w:t>14. Acceptance: prove preservation before expansion</w:t>
      </w:r>
    </w:p>
    <w:p>
      <w:pPr>
        <w:pStyle w:val="Heading2"/>
        <w:keepNext/>
      </w:pPr>
      <w:r>
        <w:rPr>
          <w:rFonts w:ascii="Calibri" w:hAnsi="Calibri"/>
          <w:b/>
          <w:i w:val="0"/>
          <w:color w:val="2E74B5"/>
          <w:sz w:val="26"/>
        </w:rPr>
        <w:t>Migration and compatibility acceptance</w:t>
      </w:r>
    </w:p>
    <w:p>
      <w:pPr>
        <w:pStyle w:val="ListBullet"/>
        <w:spacing w:after="160" w:line="280" w:lineRule="auto"/>
        <w:ind w:left="720" w:hanging="360"/>
      </w:pPr>
      <w:r>
        <w:rPr>
          <w:rFonts w:ascii="Calibri" w:hAnsi="Calibri"/>
          <w:b w:val="0"/>
          <w:i w:val="0"/>
          <w:color w:val="111111"/>
          <w:sz w:val="22"/>
        </w:rPr>
        <w:t>The current 42 Agentic Builder checks produce the same check IDs, severity interpretations, findings/no-findings, evidence references, and invocation status on a frozen golden suite before and after canonicalization.</w:t>
      </w:r>
    </w:p>
    <w:p>
      <w:pPr>
        <w:pStyle w:val="ListBullet"/>
        <w:spacing w:after="160" w:line="280" w:lineRule="auto"/>
        <w:ind w:left="720" w:hanging="360"/>
      </w:pPr>
      <w:r>
        <w:rPr>
          <w:rFonts w:ascii="Calibri" w:hAnsi="Calibri"/>
          <w:b w:val="0"/>
          <w:i w:val="0"/>
          <w:color w:val="111111"/>
          <w:sz w:val="22"/>
        </w:rPr>
        <w:t>Existing local commands and report consumers continue to work during dual-write; any cutover is reversible and raw local evidence remains accessible.</w:t>
      </w:r>
    </w:p>
    <w:p>
      <w:pPr>
        <w:pStyle w:val="ListBullet"/>
        <w:spacing w:after="160" w:line="280" w:lineRule="auto"/>
        <w:ind w:left="720" w:hanging="360"/>
      </w:pPr>
      <w:r>
        <w:rPr>
          <w:rFonts w:ascii="Calibri" w:hAnsi="Calibri"/>
          <w:b w:val="0"/>
          <w:i w:val="0"/>
          <w:color w:val="111111"/>
          <w:sz w:val="22"/>
        </w:rPr>
        <w:t>Canonical aggregation reconciles to source reports, is idempotent, uses only allowlisted fields and pseudonymous project IDs, and presents missing projects/uploads before trigger or pass rates.</w:t>
      </w:r>
    </w:p>
    <w:p>
      <w:pPr>
        <w:pStyle w:val="ListBullet"/>
        <w:spacing w:after="160" w:line="280" w:lineRule="auto"/>
        <w:ind w:left="720" w:hanging="360"/>
      </w:pPr>
      <w:r>
        <w:rPr>
          <w:rFonts w:ascii="Calibri" w:hAnsi="Calibri"/>
          <w:b w:val="0"/>
          <w:i w:val="0"/>
          <w:color w:val="111111"/>
          <w:sz w:val="22"/>
        </w:rPr>
        <w:t>Current source-fidelity conclusions reconcile to canonical lineage records; unsupported transformation or newly introduced content is not lost in translation.</w:t>
      </w:r>
    </w:p>
    <w:p>
      <w:pPr>
        <w:pStyle w:val="ListBullet"/>
        <w:spacing w:after="160" w:line="280" w:lineRule="auto"/>
        <w:ind w:left="720" w:hanging="360"/>
      </w:pPr>
      <w:r>
        <w:rPr>
          <w:rFonts w:ascii="Calibri" w:hAnsi="Calibri"/>
          <w:b w:val="0"/>
          <w:i w:val="0"/>
          <w:color w:val="111111"/>
          <w:sz w:val="22"/>
        </w:rPr>
        <w:t>First-build time, post-generation edit burden, and old-versus-new usefulness are either fully defined and instrumented or explicitly labeled partial/not comparable; no proxy is presented as a completed measure.</w:t>
      </w:r>
    </w:p>
    <w:p>
      <w:pPr>
        <w:pStyle w:val="ListBullet"/>
        <w:spacing w:after="160" w:line="280" w:lineRule="auto"/>
        <w:ind w:left="720" w:hanging="360"/>
      </w:pPr>
      <w:r>
        <w:rPr>
          <w:rFonts w:ascii="Calibri" w:hAnsi="Calibri"/>
          <w:b w:val="0"/>
          <w:i w:val="0"/>
          <w:color w:val="111111"/>
          <w:sz w:val="22"/>
        </w:rPr>
        <w:t>One stored Agentic Builder episode can be rescored without rerunning the target workflow, and one deliberately interrupted episode can resume without duplicating an idempotent side effect.</w:t>
      </w:r>
    </w:p>
    <w:p>
      <w:pPr>
        <w:pStyle w:val="Heading2"/>
        <w:keepNext/>
      </w:pPr>
      <w:r>
        <w:rPr>
          <w:rFonts w:ascii="Calibri" w:hAnsi="Calibri"/>
          <w:b/>
          <w:i w:val="0"/>
          <w:color w:val="2E74B5"/>
          <w:sz w:val="26"/>
        </w:rPr>
        <w:t>Core v1 functional acceptance</w:t>
      </w:r>
    </w:p>
    <w:p>
      <w:pPr>
        <w:pStyle w:val="ListBullet"/>
        <w:spacing w:after="160" w:line="280" w:lineRule="auto"/>
        <w:ind w:left="720" w:hanging="360"/>
      </w:pPr>
      <w:r>
        <w:rPr>
          <w:rFonts w:ascii="Calibri" w:hAnsi="Calibri"/>
          <w:b w:val="0"/>
          <w:i w:val="0"/>
          <w:color w:val="111111"/>
          <w:sz w:val="22"/>
        </w:rPr>
        <w:t>A new agent runtime, model, or provider can be added through a documented adapter and conformance suite without changing task/scorer code.</w:t>
      </w:r>
    </w:p>
    <w:p>
      <w:pPr>
        <w:pStyle w:val="ListBullet"/>
        <w:spacing w:after="160" w:line="280" w:lineRule="auto"/>
        <w:ind w:left="720" w:hanging="360"/>
      </w:pPr>
      <w:r>
        <w:rPr>
          <w:rFonts w:ascii="Calibri" w:hAnsi="Calibri"/>
          <w:b w:val="0"/>
          <w:i w:val="0"/>
          <w:color w:val="111111"/>
          <w:sz w:val="22"/>
        </w:rPr>
        <w:t>A non-technical user can describe task type, goal, context, target behavior and known failures conversationally and receive a schema-valid draft EvalDesignSpec, WorkflowSpec, seed-case set, scorer graph and judge prompt with explicit assumptions and provenance.</w:t>
      </w:r>
    </w:p>
    <w:p>
      <w:pPr>
        <w:pStyle w:val="ListBullet"/>
        <w:spacing w:after="160" w:line="280" w:lineRule="auto"/>
        <w:ind w:left="720" w:hanging="360"/>
      </w:pPr>
      <w:r>
        <w:rPr>
          <w:rFonts w:ascii="Calibri" w:hAnsi="Calibri"/>
          <w:b w:val="0"/>
          <w:i w:val="0"/>
          <w:color w:val="111111"/>
          <w:sz w:val="22"/>
        </w:rPr>
        <w:t>AI-authored evaluation or workflow artifacts remain drafts until approved; authoring agents cannot read sealed holdout answers or promote their own changes; every promoted version has a diff, signer and rollback target.</w:t>
      </w:r>
    </w:p>
    <w:p>
      <w:pPr>
        <w:pStyle w:val="ListBullet"/>
        <w:spacing w:after="160" w:line="280" w:lineRule="auto"/>
        <w:ind w:left="720" w:hanging="360"/>
      </w:pPr>
      <w:r>
        <w:rPr>
          <w:rFonts w:ascii="Calibri" w:hAnsi="Calibri"/>
          <w:b w:val="0"/>
          <w:i w:val="0"/>
          <w:color w:val="111111"/>
          <w:sz w:val="22"/>
        </w:rPr>
        <w:t>Every scorer exposes executed, finding, no finding, skipped, never invoked and not observable states; reports present missing execution/telemetry before pass rates, preserving the operating invariant from EVAL.md.</w:t>
      </w:r>
    </w:p>
    <w:p>
      <w:pPr>
        <w:pStyle w:val="ListBullet"/>
        <w:spacing w:after="160" w:line="280" w:lineRule="auto"/>
        <w:ind w:left="720" w:hanging="360"/>
      </w:pPr>
      <w:r>
        <w:rPr>
          <w:rFonts w:ascii="Calibri" w:hAnsi="Calibri"/>
          <w:b w:val="0"/>
          <w:i w:val="0"/>
          <w:color w:val="111111"/>
          <w:sz w:val="22"/>
        </w:rPr>
        <w:t xml:space="preserve">The same pilot suite passes through both </w:t>
      </w:r>
      <w:hyperlink r:id="rId11">
        <w:r>
          <w:rPr>
            <w:rFonts w:ascii="Calibri" w:hAnsi="Calibri"/>
            <w:color w:val="2E74B5"/>
            <w:u w:val="single"/>
            <w:sz w:val="22"/>
            <w:szCs w:val="22"/>
          </w:rPr>
          <w:t>Inspect AI</w:t>
        </w:r>
      </w:hyperlink>
      <w:r>
        <w:rPr>
          <w:rFonts w:ascii="Calibri" w:hAnsi="Calibri"/>
          <w:b w:val="0"/>
          <w:i w:val="0"/>
          <w:color w:val="111111"/>
          <w:sz w:val="22"/>
        </w:rPr>
        <w:t xml:space="preserve"> and the thin custom EvalRunner, proving that no harness owns the canonical task, trace, score, or result schema.</w:t>
      </w:r>
    </w:p>
    <w:p>
      <w:pPr>
        <w:pStyle w:val="ListBullet"/>
        <w:spacing w:after="160" w:line="280" w:lineRule="auto"/>
        <w:ind w:left="720" w:hanging="360"/>
      </w:pPr>
      <w:r>
        <w:rPr>
          <w:rFonts w:ascii="Calibri" w:hAnsi="Calibri"/>
          <w:b w:val="0"/>
          <w:i w:val="0"/>
          <w:color w:val="111111"/>
          <w:sz w:val="22"/>
        </w:rPr>
        <w:t>The native-direct provider path preserves provider-specific capabilities and raw metadata while presenting the same canonical request/result contracts; unsupported or degraded capabilities are explicit.</w:t>
      </w:r>
    </w:p>
    <w:p>
      <w:pPr>
        <w:pStyle w:val="ListBullet"/>
        <w:spacing w:after="160" w:line="280" w:lineRule="auto"/>
        <w:ind w:left="720" w:hanging="360"/>
      </w:pPr>
      <w:r>
        <w:rPr>
          <w:rFonts w:ascii="Calibri" w:hAnsi="Calibri"/>
          <w:b w:val="0"/>
          <w:i w:val="0"/>
          <w:color w:val="111111"/>
          <w:sz w:val="22"/>
        </w:rPr>
        <w:t>The same WorkflowSpec can run across at least two closed-model providers and one open-weight deployment, subject to explicit capability flags.</w:t>
      </w:r>
    </w:p>
    <w:p>
      <w:pPr>
        <w:pStyle w:val="ListBullet"/>
        <w:spacing w:after="160" w:line="280" w:lineRule="auto"/>
        <w:ind w:left="720" w:hanging="360"/>
      </w:pPr>
      <w:r>
        <w:rPr>
          <w:rFonts w:ascii="Calibri" w:hAnsi="Calibri"/>
          <w:b w:val="0"/>
          <w:i w:val="0"/>
          <w:color w:val="111111"/>
          <w:sz w:val="22"/>
        </w:rPr>
        <w:t>A WorkflowSpec can bind different ModelRefs to individual steps or roles and can declare either fixed bindings or an adaptive switching policy with a bounded hop count.</w:t>
      </w:r>
    </w:p>
    <w:p>
      <w:pPr>
        <w:pStyle w:val="ListBullet"/>
        <w:spacing w:after="160" w:line="280" w:lineRule="auto"/>
        <w:ind w:left="720" w:hanging="360"/>
      </w:pPr>
      <w:r>
        <w:rPr>
          <w:rFonts w:ascii="Calibri" w:hAnsi="Calibri"/>
          <w:b w:val="0"/>
          <w:i w:val="0"/>
          <w:color w:val="111111"/>
          <w:sz w:val="22"/>
        </w:rPr>
        <w:t>Every cross-model handoff is schema-valid and replayable without hidden reasoning; route decisions and incremental switching cost are attributable in the trace.</w:t>
      </w:r>
    </w:p>
    <w:p>
      <w:pPr>
        <w:pStyle w:val="ListBullet"/>
        <w:spacing w:after="160" w:line="280" w:lineRule="auto"/>
        <w:ind w:left="720" w:hanging="360"/>
      </w:pPr>
      <w:r>
        <w:rPr>
          <w:rFonts w:ascii="Calibri" w:hAnsi="Calibri"/>
          <w:b w:val="0"/>
          <w:i w:val="0"/>
          <w:color w:val="111111"/>
          <w:sz w:val="22"/>
        </w:rPr>
        <w:t>Every episode produces an immutable manifest, portable trace, artifacts, raw usage, normalized cost, timing breakdown, cache events, and scorer provenance.</w:t>
      </w:r>
    </w:p>
    <w:p>
      <w:pPr>
        <w:pStyle w:val="ListBullet"/>
        <w:spacing w:after="160" w:line="280" w:lineRule="auto"/>
        <w:ind w:left="720" w:hanging="360"/>
      </w:pPr>
      <w:r>
        <w:rPr>
          <w:rFonts w:ascii="Calibri" w:hAnsi="Calibri"/>
          <w:b w:val="0"/>
          <w:i w:val="0"/>
          <w:color w:val="111111"/>
          <w:sz w:val="22"/>
        </w:rPr>
        <w:t>A deliberately interrupted long-horizon episode resumes from a signed checkpoint without duplicating an idempotent side effect; its environment/state hashes, recovery path, and incremental cost/time are visible in the trace.</w:t>
      </w:r>
    </w:p>
    <w:p>
      <w:pPr>
        <w:pStyle w:val="ListBullet"/>
        <w:spacing w:after="160" w:line="280" w:lineRule="auto"/>
        <w:ind w:left="720" w:hanging="360"/>
      </w:pPr>
      <w:r>
        <w:rPr>
          <w:rFonts w:ascii="Calibri" w:hAnsi="Calibri"/>
          <w:b w:val="0"/>
          <w:i w:val="0"/>
          <w:color w:val="111111"/>
          <w:sz w:val="22"/>
        </w:rPr>
        <w:t>One approved customer workflow/data fixture runs in the client environment with local credentials/storage; its signed, filtered export proves reset, replay/rescore, denied-field protection, and reproducibility.</w:t>
      </w:r>
    </w:p>
    <w:p>
      <w:pPr>
        <w:pStyle w:val="ListBullet"/>
        <w:spacing w:after="160" w:line="280" w:lineRule="auto"/>
        <w:ind w:left="720" w:hanging="360"/>
      </w:pPr>
      <w:r>
        <w:rPr>
          <w:rFonts w:ascii="Calibri" w:hAnsi="Calibri"/>
          <w:b w:val="0"/>
          <w:i w:val="0"/>
          <w:color w:val="111111"/>
          <w:sz w:val="22"/>
        </w:rPr>
        <w:t>For each long-horizon task family with verifiable intermediate states, the suite stores a stage-dependency graph and reports framing, execution, and feedback-control diagnostics alongside final outcome; these diagnostics never override a failed hard gate.</w:t>
      </w:r>
    </w:p>
    <w:p>
      <w:pPr>
        <w:pStyle w:val="ListBullet"/>
        <w:spacing w:after="160" w:line="280" w:lineRule="auto"/>
        <w:ind w:left="720" w:hanging="360"/>
      </w:pPr>
      <w:r>
        <w:rPr>
          <w:rFonts w:ascii="Calibri" w:hAnsi="Calibri"/>
          <w:b w:val="0"/>
          <w:i w:val="0"/>
          <w:color w:val="111111"/>
          <w:sz w:val="22"/>
        </w:rPr>
        <w:t>At least three task families have resettable environments and deterministic outcome checks; one includes multi-turn tool use and one includes artifact production or code execution.</w:t>
      </w:r>
    </w:p>
    <w:p>
      <w:pPr>
        <w:pStyle w:val="ListBullet"/>
        <w:spacing w:after="160" w:line="280" w:lineRule="auto"/>
        <w:ind w:left="720" w:hanging="360"/>
      </w:pPr>
      <w:r>
        <w:rPr>
          <w:rFonts w:ascii="Calibri" w:hAnsi="Calibri"/>
          <w:b w:val="0"/>
          <w:i w:val="0"/>
          <w:color w:val="111111"/>
          <w:sz w:val="22"/>
        </w:rPr>
        <w:t>The PRD, PRD-to-code/Agentic Builder, live-transcription, and extraction/form examples each compile into complete task-family specifications or emit an explicit list of missing client inputs and task-specific extensions.</w:t>
      </w:r>
    </w:p>
    <w:p>
      <w:pPr>
        <w:pStyle w:val="ListBullet"/>
        <w:spacing w:after="160" w:line="280" w:lineRule="auto"/>
        <w:ind w:left="720" w:hanging="360"/>
      </w:pPr>
      <w:r>
        <w:rPr>
          <w:rFonts w:ascii="Calibri" w:hAnsi="Calibri"/>
          <w:b w:val="0"/>
          <w:i w:val="0"/>
          <w:color w:val="111111"/>
          <w:sz w:val="22"/>
        </w:rPr>
        <w:t>The system can run cold-cache and realistic warm-cache studies without cross-study contamination.</w:t>
      </w:r>
    </w:p>
    <w:p>
      <w:pPr>
        <w:pStyle w:val="ListBullet"/>
        <w:spacing w:after="160" w:line="280" w:lineRule="auto"/>
        <w:ind w:left="720" w:hanging="360"/>
      </w:pPr>
      <w:r>
        <w:rPr>
          <w:rFonts w:ascii="Calibri" w:hAnsi="Calibri"/>
          <w:b w:val="0"/>
          <w:i w:val="0"/>
          <w:color w:val="111111"/>
          <w:sz w:val="22"/>
        </w:rPr>
        <w:t>The optimizer produces a Pareto set and three operating-mode policies rather than a single opaque winner.</w:t>
      </w:r>
    </w:p>
    <w:p>
      <w:pPr>
        <w:pStyle w:val="ListBullet"/>
        <w:spacing w:after="160" w:line="280" w:lineRule="auto"/>
        <w:ind w:left="720" w:hanging="360"/>
      </w:pPr>
      <w:r>
        <w:rPr>
          <w:rFonts w:ascii="Calibri" w:hAnsi="Calibri"/>
          <w:b w:val="0"/>
          <w:i w:val="0"/>
          <w:color w:val="111111"/>
          <w:sz w:val="22"/>
        </w:rPr>
        <w:t>CI can block on quality/safety regressions and annotate cost/latency changes; full runs are resumable and idempotent.</w:t>
      </w:r>
    </w:p>
    <w:p>
      <w:pPr>
        <w:pStyle w:val="Heading2"/>
        <w:keepNext/>
      </w:pPr>
      <w:r>
        <w:rPr>
          <w:rFonts w:ascii="Calibri" w:hAnsi="Calibri"/>
          <w:b/>
          <w:i w:val="0"/>
          <w:color w:val="2E74B5"/>
          <w:sz w:val="26"/>
        </w:rPr>
        <w:t>Core v1 measurement acceptance</w:t>
      </w:r>
    </w:p>
    <w:p>
      <w:pPr>
        <w:pStyle w:val="ListBullet"/>
        <w:spacing w:after="160" w:line="280" w:lineRule="auto"/>
        <w:ind w:left="720" w:hanging="360"/>
      </w:pPr>
      <w:r>
        <w:rPr>
          <w:rFonts w:ascii="Calibri" w:hAnsi="Calibri"/>
          <w:b w:val="0"/>
          <w:i w:val="0"/>
          <w:color w:val="111111"/>
          <w:sz w:val="22"/>
        </w:rPr>
        <w:t>Token, cache, and cost totals reconcile to provider/serving telemetry within a declared tolerance.</w:t>
      </w:r>
    </w:p>
    <w:p>
      <w:pPr>
        <w:pStyle w:val="ListBullet"/>
        <w:spacing w:after="160" w:line="280" w:lineRule="auto"/>
        <w:ind w:left="720" w:hanging="360"/>
      </w:pPr>
      <w:r>
        <w:rPr>
          <w:rFonts w:ascii="Calibri" w:hAnsi="Calibri"/>
          <w:b w:val="0"/>
          <w:i w:val="0"/>
          <w:color w:val="111111"/>
          <w:sz w:val="22"/>
        </w:rPr>
        <w:t>End-to-end time equals attributable spans plus measured orchestration gaps; p95/p99 calculations include failures under the declared policy.</w:t>
      </w:r>
    </w:p>
    <w:p>
      <w:pPr>
        <w:pStyle w:val="ListBullet"/>
        <w:spacing w:after="160" w:line="280" w:lineRule="auto"/>
        <w:ind w:left="720" w:hanging="360"/>
      </w:pPr>
      <w:r>
        <w:rPr>
          <w:rFonts w:ascii="Calibri" w:hAnsi="Calibri"/>
          <w:b w:val="0"/>
          <w:i w:val="0"/>
          <w:color w:val="111111"/>
          <w:sz w:val="22"/>
        </w:rPr>
        <w:t>Target-workflow and evaluation-plane cost/time are reported in separate ledgers, with an all-in view that reconciles both.</w:t>
      </w:r>
    </w:p>
    <w:p>
      <w:pPr>
        <w:pStyle w:val="ListBullet"/>
        <w:spacing w:after="160" w:line="280" w:lineRule="auto"/>
        <w:ind w:left="720" w:hanging="360"/>
      </w:pPr>
      <w:r>
        <w:rPr>
          <w:rFonts w:ascii="Calibri" w:hAnsi="Calibri"/>
          <w:b w:val="0"/>
          <w:i w:val="0"/>
          <w:color w:val="111111"/>
          <w:sz w:val="22"/>
        </w:rPr>
        <w:t>Subjective scorers meet predeclared human-agreement and false-pass requirements on a blinded calibration set.</w:t>
      </w:r>
    </w:p>
    <w:p>
      <w:pPr>
        <w:pStyle w:val="ListBullet"/>
        <w:spacing w:after="160" w:line="280" w:lineRule="auto"/>
        <w:ind w:left="720" w:hanging="360"/>
      </w:pPr>
      <w:r>
        <w:rPr>
          <w:rFonts w:ascii="Calibri" w:hAnsi="Calibri"/>
          <w:b w:val="0"/>
          <w:i w:val="0"/>
          <w:color w:val="111111"/>
          <w:sz w:val="22"/>
        </w:rPr>
        <w:t>Judge-prompt, dataset, scoring-method and workflow-prompt changes are attributed separately: evaluator changes rescore stored outputs, workflow changes rerun paired episodes, and no change is tuned or selected on the sealed holdout.</w:t>
      </w:r>
    </w:p>
    <w:p>
      <w:pPr>
        <w:pStyle w:val="ListBullet"/>
        <w:spacing w:after="160" w:line="280" w:lineRule="auto"/>
        <w:ind w:left="720" w:hanging="360"/>
      </w:pPr>
      <w:r>
        <w:rPr>
          <w:rFonts w:ascii="Calibri" w:hAnsi="Calibri"/>
          <w:b w:val="0"/>
          <w:i w:val="0"/>
          <w:color w:val="111111"/>
          <w:sz w:val="22"/>
        </w:rPr>
        <w:t>Synthetic cases carry generator/version/provenance metadata, pass duplicate/leakage and solvability checks, and are reported separately from real client cases; selection conclusions survive confirmation on approved real or independently authored cases.</w:t>
      </w:r>
    </w:p>
    <w:p>
      <w:pPr>
        <w:pStyle w:val="ListBullet"/>
        <w:spacing w:after="160" w:line="280" w:lineRule="auto"/>
        <w:ind w:left="720" w:hanging="360"/>
      </w:pPr>
      <w:r>
        <w:rPr>
          <w:rFonts w:ascii="Calibri" w:hAnsi="Calibri"/>
          <w:b w:val="0"/>
          <w:i w:val="0"/>
          <w:color w:val="111111"/>
          <w:sz w:val="22"/>
        </w:rPr>
        <w:t>Each release reports behavior and failure-mode coverage, scorer execution coverage, unobservable fields, dataset-slice coverage, calibration error, unresolved assumptions, and linkage to client-approved business measures.</w:t>
      </w:r>
    </w:p>
    <w:p>
      <w:pPr>
        <w:pStyle w:val="ListBullet"/>
        <w:spacing w:after="160" w:line="280" w:lineRule="auto"/>
        <w:ind w:left="720" w:hanging="360"/>
      </w:pPr>
      <w:r>
        <w:rPr>
          <w:rFonts w:ascii="Calibri" w:hAnsi="Calibri"/>
          <w:b w:val="0"/>
          <w:i w:val="0"/>
          <w:color w:val="111111"/>
          <w:sz w:val="22"/>
        </w:rPr>
        <w:t>Candidate comparisons use paired blocks, confidence intervals, and documented stopping rules; excluded/invalid episodes are visible.</w:t>
      </w:r>
    </w:p>
    <w:p>
      <w:pPr>
        <w:pStyle w:val="ListBullet"/>
        <w:spacing w:after="160" w:line="280" w:lineRule="auto"/>
        <w:ind w:left="720" w:hanging="360"/>
      </w:pPr>
      <w:r>
        <w:rPr>
          <w:rFonts w:ascii="Calibri" w:hAnsi="Calibri"/>
          <w:b w:val="0"/>
          <w:i w:val="0"/>
          <w:color w:val="111111"/>
          <w:sz w:val="22"/>
        </w:rPr>
        <w:t>Step and plan efficiency metrics have audited labels and cannot improve merely by skipping required verification or failing early.</w:t>
      </w:r>
    </w:p>
    <w:p>
      <w:pPr>
        <w:pStyle w:val="ListBullet"/>
        <w:spacing w:after="160" w:line="280" w:lineRule="auto"/>
        <w:ind w:left="720" w:hanging="360"/>
      </w:pPr>
      <w:r>
        <w:rPr>
          <w:rFonts w:ascii="Calibri" w:hAnsi="Calibri"/>
          <w:b w:val="0"/>
          <w:i w:val="0"/>
          <w:color w:val="111111"/>
          <w:sz w:val="22"/>
        </w:rPr>
        <w:t>A heterogeneous workflow is promoted only if it beats its same-model control after switching overhead and satisfies predeclared quality, safety, and reliability non-inferiority gates.</w:t>
      </w:r>
    </w:p>
    <w:p>
      <w:pPr>
        <w:pStyle w:val="ListBullet"/>
        <w:spacing w:after="160" w:line="280" w:lineRule="auto"/>
        <w:ind w:left="720" w:hanging="360"/>
      </w:pPr>
      <w:r>
        <w:rPr>
          <w:rFonts w:ascii="Calibri" w:hAnsi="Calibri"/>
          <w:b w:val="0"/>
          <w:i w:val="0"/>
          <w:color w:val="111111"/>
          <w:sz w:val="22"/>
        </w:rPr>
        <w:t>A memory-enabled workflow has documented within-task and cross-task experience-reuse counterfactuals; the report identifies negative transfer, lesson scope, and leakage controls.</w:t>
      </w:r>
    </w:p>
    <w:p>
      <w:pPr>
        <w:pStyle w:val="ListBullet"/>
        <w:spacing w:after="160" w:line="280" w:lineRule="auto"/>
        <w:ind w:left="720" w:hanging="360"/>
      </w:pPr>
      <w:r>
        <w:rPr>
          <w:rFonts w:ascii="Calibri" w:hAnsi="Calibri"/>
          <w:b w:val="0"/>
          <w:i w:val="0"/>
          <w:color w:val="111111"/>
          <w:sz w:val="22"/>
        </w:rPr>
        <w:t>A claimed model improvement has a paired harness/scaffold ablation when tool definitions, context policy, checkpointing, or agent scaffold materially differ.</w:t>
      </w:r>
    </w:p>
    <w:p>
      <w:pPr>
        <w:pStyle w:val="Heading2"/>
        <w:keepNext/>
      </w:pPr>
      <w:r>
        <w:rPr>
          <w:rFonts w:ascii="Calibri" w:hAnsi="Calibri"/>
          <w:b/>
          <w:i w:val="0"/>
          <w:color w:val="2E74B5"/>
          <w:sz w:val="26"/>
        </w:rPr>
        <w:t>Recommended first decision</w:t>
      </w:r>
    </w:p>
    <w:p>
      <w:pPr>
        <w:keepNext w:val="0"/>
        <w:spacing w:before="0" w:after="120" w:line="264" w:lineRule="auto"/>
      </w:pPr>
      <w:r>
        <w:rPr>
          <w:rFonts w:ascii="Calibri" w:hAnsi="Calibri"/>
          <w:b w:val="0"/>
          <w:i w:val="0"/>
          <w:color w:val="111111"/>
          <w:sz w:val="22"/>
        </w:rPr>
        <w:t>Approve the Agentic Builder compatibility boundary, frozen golden fixtures, and Phase 0 parity criteria before selecting a dashboard or commercial platform. The first spike should dual-write one current task into the canonical schema, reconcile the result, run the same task through two deployments, and rescore the stored trace without rerunning inference—revealing both migration and portability gaps before a broad vendor comparison.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573"/>
        <w:sz w:val="17"/>
      </w:rPr>
      <w:t>AGENTIC EVALUATOR  /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spacing w:after="100" w:line="280" w:lineRule="auto"/>
      <w:ind w:left="1080" w:hanging="36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spacing w:after="100" w:line="280" w:lineRule="auto"/>
      <w:ind w:left="1080" w:hanging="360"/>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nspect.aisi.org.uk/" TargetMode="External"/><Relationship Id="rId12" Type="http://schemas.openxmlformats.org/officeDocument/2006/relationships/hyperlink" Target="https://docs.getbifrost.ai/overview" TargetMode="External"/><Relationship Id="rId13" Type="http://schemas.openxmlformats.org/officeDocument/2006/relationships/hyperlink" Target="https://portkey.ai/docs/product/ai-gateway" TargetMode="External"/><Relationship Id="rId14" Type="http://schemas.openxmlformats.org/officeDocument/2006/relationships/hyperlink" Target="https://docs.litellm.ai/" TargetMode="External"/><Relationship Id="rId15" Type="http://schemas.openxmlformats.org/officeDocument/2006/relationships/hyperlink" Target="https://opentelemetry.io/docs/specs/semconv/" TargetMode="External"/><Relationship Id="rId16" Type="http://schemas.openxmlformats.org/officeDocument/2006/relationships/hyperlink" Target="https://deepeval.com/docs/metrics-introduction" TargetMode="External"/><Relationship Id="rId17" Type="http://schemas.openxmlformats.org/officeDocument/2006/relationships/hyperlink" Target="https://csrc.nist.gov/pubs/sp/800/218/final" TargetMode="External"/><Relationship Id="rId18" Type="http://schemas.openxmlformats.org/officeDocument/2006/relationships/hyperlink" Target="https://www.openpolicyagent.org/docs" TargetMode="External"/><Relationship Id="rId19" Type="http://schemas.openxmlformats.org/officeDocument/2006/relationships/hyperlink" Target="https://docs.vllm.ai/en/latest/examples/features/automatic_prefix_caching/" TargetMode="External"/><Relationship Id="rId20" Type="http://schemas.openxmlformats.org/officeDocument/2006/relationships/hyperlink" Target="https://github.com/swe-bench" TargetMode="External"/><Relationship Id="rId21" Type="http://schemas.openxmlformats.org/officeDocument/2006/relationships/hyperlink" Target="https://github.com/ServiceNow/BrowserGym" TargetMode="External"/><Relationship Id="rId22" Type="http://schemas.openxmlformats.org/officeDocument/2006/relationships/hyperlink" Target="https://openreview.net/pdf?id=fibxvahvs3" TargetMode="External"/><Relationship Id="rId23" Type="http://schemas.openxmlformats.org/officeDocument/2006/relationships/hyperlink" Target="https://taubench.com/" TargetMode="External"/><Relationship Id="rId24" Type="http://schemas.openxmlformats.org/officeDocument/2006/relationships/hyperlink" Target="https://deepeval.com/docs/metrics-dag" TargetMode="External"/><Relationship Id="rId25" Type="http://schemas.openxmlformats.org/officeDocument/2006/relationships/hyperlink" Target="https://aclanthology.org/2023.emnlp-main.153/" TargetMode="External"/><Relationship Id="rId26" Type="http://schemas.openxmlformats.org/officeDocument/2006/relationships/hyperlink" Target="https://arxiv.org/html/2606.11042" TargetMode="External"/><Relationship Id="rId27" Type="http://schemas.openxmlformats.org/officeDocument/2006/relationships/hyperlink" Target="https://arxiv.org/html/2608.13417" TargetMode="External"/><Relationship Id="rId28" Type="http://schemas.openxmlformats.org/officeDocument/2006/relationships/hyperlink" Target="https://cameronrwolfe.substack.com/p/agent-evals" TargetMode="External"/><Relationship Id="rId29" Type="http://schemas.openxmlformats.org/officeDocument/2006/relationships/hyperlink" Target="https://github.com/Arize-ai/openinference" TargetMode="External"/><Relationship Id="rId30" Type="http://schemas.openxmlformats.org/officeDocument/2006/relationships/hyperlink" Target="https://arize.com/docs/phoenix/" TargetMode="External"/><Relationship Id="rId31" Type="http://schemas.openxmlformats.org/officeDocument/2006/relationships/hyperlink" Target="https://langfuse.com/docs" TargetMode="External"/><Relationship Id="rId32" Type="http://schemas.openxmlformats.org/officeDocument/2006/relationships/image" Target="media/image1.png"/><Relationship Id="rId33" Type="http://schemas.openxmlformats.org/officeDocument/2006/relationships/hyperlink" Target="https://docs.ray.io/en/latest/tune-schedulers.html" TargetMode="External"/><Relationship Id="rId34" Type="http://schemas.openxmlformats.org/officeDocument/2006/relationships/hyperlink" Target="https://developers.openai.com/api/docs/guides/prompt-caching" TargetMode="External"/><Relationship Id="rId35" Type="http://schemas.openxmlformats.org/officeDocument/2006/relationships/hyperlink" Target="https://www.comet.com/docs/opik/self-host/overview" TargetMode="External"/><Relationship Id="rId36" Type="http://schemas.openxmlformats.org/officeDocument/2006/relationships/hyperlink" Target="https://github.com/promptfoo/promptfoo" TargetMode="External"/><Relationship Id="rId37" Type="http://schemas.openxmlformats.org/officeDocument/2006/relationships/hyperlink" Target="https://deepeval.com/docs/getting-started-agents" TargetMode="External"/><Relationship Id="rId38" Type="http://schemas.openxmlformats.org/officeDocument/2006/relationships/hyperlink" Target="https://mlflow.org/docs/latest/genai/tracing" TargetMode="External"/><Relationship Id="rId39" Type="http://schemas.openxmlformats.org/officeDocument/2006/relationships/hyperlink" Target="https://www.braintrust.dev/docs/evaluate" TargetMode="External"/><Relationship Id="rId40" Type="http://schemas.openxmlformats.org/officeDocument/2006/relationships/hyperlink" Target="https://docs.langchain.com/langsmith/evaluation-concepts" TargetMode="External"/><Relationship Id="rId41" Type="http://schemas.openxmlformats.org/officeDocument/2006/relationships/hyperlink" Target="https://arize.com/docs/ax/evaluate/evaluation-concepts/agent-evaluation" TargetMode="External"/><Relationship Id="rId42" Type="http://schemas.openxmlformats.org/officeDocument/2006/relationships/hyperlink" Target="https://docs.wandb.ai/weave/concepts/what-is-weave" TargetMode="External"/><Relationship Id="rId43" Type="http://schemas.openxmlformats.org/officeDocument/2006/relationships/hyperlink" Target="https://vercel.com/docs/ai-gateway/models-and-providers/provider-options" TargetMode="External"/><Relationship Id="rId44" Type="http://schemas.openxmlformats.org/officeDocument/2006/relationships/hyperlink" Target="https://docs.router.com/strategies" TargetMode="External"/><Relationship Id="rId45" Type="http://schemas.openxmlformats.org/officeDocument/2006/relationships/hyperlink" Target="https://openrouter.ai/docs/guides/routing/provider-selection" TargetMode="External"/><Relationship Id="rId46" Type="http://schemas.openxmlformats.org/officeDocument/2006/relationships/hyperlink" Target="https://developers.cloudflare.com/ai-gateway/" TargetMode="External"/><Relationship Id="rId47" Type="http://schemas.openxmlformats.org/officeDocument/2006/relationships/hyperlink" Target="https://developer.konghq.com/ai-gateway/architecture/" TargetMode="External"/><Relationship Id="rId48" Type="http://schemas.openxmlformats.org/officeDocument/2006/relationships/hyperlink" Target="https://github.com/tensorzero/tensorzero" TargetMode="External"/><Relationship Id="rId49" Type="http://schemas.openxmlformats.org/officeDocument/2006/relationships/hyperlink" Target="https://github.com/Helicone/ai-gateway" TargetMode="External"/><Relationship Id="rId50" Type="http://schemas.openxmlformats.org/officeDocument/2006/relationships/hyperlink" Target="https://openaccess.thecvf.com/content/CVPR2024/papers/Huang_VBench_Comprehensive_Benchmark_Suite_for_Video_Generative_Models_CVPR_2024_paper.pdf" TargetMode="External"/><Relationship Id="rId51" Type="http://schemas.openxmlformats.org/officeDocument/2006/relationships/hyperlink" Target="https://openaccess.thecvf.com/content/CVPR2024/papers/Liu_EvalCrafter_Benchmarking_and_Evaluating_Large_Video_Generation_Models_CVPR_2024_paper.pdf" TargetMode="External"/><Relationship Id="rId52" Type="http://schemas.openxmlformats.org/officeDocument/2006/relationships/hyperlink" Target="https://openaccess.thecvf.com/content/CVPR2025/papers/Sun_T2V-CompBench_A_Comprehensive_Benchmark_for_Compositional_Text-to-video_Generation_CVPR_2025_paper.pdf" TargetMode="External"/><Relationship Id="rId53" Type="http://schemas.openxmlformats.org/officeDocument/2006/relationships/hyperlink" Target="https://openaccess.thecvf.com/content/CVPR2026/html/Jiang_VGA-Bench_A_Unified_Benchmark_and_Multi-Model_Framework_for_Video_Aesthetics_CVPR_2026_paper.html" TargetMode="External"/><Relationship Id="rId54" Type="http://schemas.openxmlformats.org/officeDocument/2006/relationships/hyperlink" Target="https://arxiv.org/abs/2503.21755" TargetMode="External"/><Relationship Id="rId55" Type="http://schemas.openxmlformats.org/officeDocument/2006/relationships/hyperlink" Target="https://docs.sigstore.dev/cosign/verifying/verify/" TargetMode="External"/><Relationship Id="rId56" Type="http://schemas.openxmlformats.org/officeDocument/2006/relationships/hyperlink" Target="https://slsa.dev/spec/v1.2/provenance" TargetMode="External"/><Relationship Id="rId57" Type="http://schemas.openxmlformats.org/officeDocument/2006/relationships/hyperlink" Target="https://spiffe.io/docs/latest/spiffe/concepts/" TargetMode="External"/><Relationship Id="rId58" Type="http://schemas.openxmlformats.org/officeDocument/2006/relationships/hyperlink" Target="https://kubernetes.io/docs/concepts/security/multi-tenancy/" TargetMode="External"/><Relationship Id="rId59" Type="http://schemas.openxmlformats.org/officeDocument/2006/relationships/hyperlink" Target="https://opentelemetry.io/docs/coll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Evaluator — Implementation Plan</dc:title>
  <dc:subject>Model- and provider-agnostic agent evaluation architecture and phased implementation plan</dc:subject>
  <dc:creator>OpenAI Codex</dc:creator>
  <cp:keywords>agent evaluation, model routing, inference providers, caching, latency, cost, benchmarking</cp:keywords>
  <dc:description>Prepared September 3, 2026</dc:description>
  <cp:lastModifiedBy/>
  <cp:revision>1</cp:revision>
  <dcterms:created xsi:type="dcterms:W3CDTF">2013-12-23T23:15:00Z</dcterms:created>
  <dcterms:modified xsi:type="dcterms:W3CDTF">2013-12-23T23:15:00Z</dcterms:modified>
  <cp:category/>
</cp:coreProperties>
</file>