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PaveLedger business plan</w:t>
      </w:r>
    </w:p>
    <w:p>
      <w:pPr>
        <w:spacing w:after="240"/>
      </w:pPr>
      <w:r>
        <w:drawing>
          <wp:inline xmlns:a="http://schemas.openxmlformats.org/drawingml/2006/main" xmlns:pic="http://schemas.openxmlformats.org/drawingml/2006/picture">
            <wp:extent cx="3291840" cy="1108959"/>
            <wp:docPr id="1" name="Picture 1"/>
            <wp:cNvGraphicFramePr>
              <a:graphicFrameLocks noChangeAspect="1"/>
            </wp:cNvGraphicFramePr>
            <a:graphic>
              <a:graphicData uri="http://schemas.openxmlformats.org/drawingml/2006/picture">
                <pic:pic>
                  <pic:nvPicPr>
                    <pic:cNvPr id="0" name="paveledger-logo.png"/>
                    <pic:cNvPicPr/>
                  </pic:nvPicPr>
                  <pic:blipFill>
                    <a:blip r:embed="rId10"/>
                    <a:stretch>
                      <a:fillRect/>
                    </a:stretch>
                  </pic:blipFill>
                  <pic:spPr>
                    <a:xfrm>
                      <a:off x="0" y="0"/>
                      <a:ext cx="3291840" cy="1108959"/>
                    </a:xfrm>
                    <a:prstGeom prst="rect"/>
                  </pic:spPr>
                </pic:pic>
              </a:graphicData>
            </a:graphic>
          </wp:inline>
        </w:drawing>
      </w:r>
    </w:p>
    <w:p>
      <w:r>
        <w:t>A subscription platform for road safety investigations and repair accountability</w:t>
      </w:r>
    </w:p>
    <w:p>
      <w:r>
        <w:t>Business and platform concept | 25 September 2026</w:t>
      </w:r>
    </w:p>
    <w:p>
      <w:r>
        <w:t>PaveLedger would use cameras on existing vehicle routes to identify possible road defects, build a centralized evidence record, connect the defect to the relevant repair contract and guide the responsible team through verified resolution. The first target buyers are Canadian municipal road authorities.</w:t>
      </w:r>
    </w:p>
    <w:p>
      <w:r>
        <w:t>The recommended entry is a paid, tightly scoped pilot with one road authority and its fleet. Start with potholes, reliable contract records and analyst review. Add autonomous contractor notices only after the municipality approves the rule set, contacts and escalation process.</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100" w:before="100" w:line="259" w:lineRule="auto"/>
            </w:pPr>
            <w:r>
              <w:rPr>
                <w:b/>
                <w:color w:val="FFFFFF"/>
                <w:sz w:val="18"/>
              </w:rPr>
              <w:t>Commercial decision</w:t>
            </w:r>
          </w:p>
        </w:tc>
        <w:tc>
          <w:tcPr>
            <w:tcW w:type="dxa" w:w="7128"/>
            <w:shd w:fill="172B42"/>
          </w:tcPr>
          <w:p>
            <w:pPr>
              <w:spacing w:after="100" w:before="100" w:line="259" w:lineRule="auto"/>
            </w:pPr>
            <w:r>
              <w:rPr>
                <w:b/>
                <w:color w:val="FFFFFF"/>
                <w:sz w:val="18"/>
              </w:rPr>
              <w:t>Proposed starting point</w:t>
            </w:r>
          </w:p>
        </w:tc>
      </w:tr>
      <w:tr>
        <w:trPr>
          <w:cantSplit/>
        </w:trPr>
        <w:tc>
          <w:tcPr>
            <w:tcW w:type="dxa" w:w="3096"/>
          </w:tcPr>
          <w:p>
            <w:pPr>
              <w:spacing w:after="100" w:before="100" w:line="259" w:lineRule="auto"/>
            </w:pPr>
            <w:r>
              <w:rPr>
                <w:b w:val="0"/>
                <w:color w:val="243247"/>
                <w:sz w:val="18"/>
              </w:rPr>
              <w:t>Working brand</w:t>
            </w:r>
          </w:p>
        </w:tc>
        <w:tc>
          <w:tcPr>
            <w:tcW w:type="dxa" w:w="7128"/>
          </w:tcPr>
          <w:p>
            <w:pPr>
              <w:spacing w:after="100" w:before="100" w:line="259" w:lineRule="auto"/>
            </w:pPr>
            <w:r>
              <w:rPr>
                <w:b w:val="0"/>
                <w:color w:val="243247"/>
                <w:sz w:val="18"/>
              </w:rPr>
              <w:t>PaveLedger; trademark and final domain purchase checks pending</w:t>
            </w:r>
          </w:p>
        </w:tc>
      </w:tr>
      <w:tr>
        <w:trPr>
          <w:cantSplit/>
        </w:trPr>
        <w:tc>
          <w:tcPr>
            <w:tcW w:type="dxa" w:w="3096"/>
            <w:shd w:fill="F3F6FA"/>
          </w:tcPr>
          <w:p>
            <w:pPr>
              <w:spacing w:after="100" w:before="100" w:line="259" w:lineRule="auto"/>
            </w:pPr>
            <w:r>
              <w:rPr>
                <w:b w:val="0"/>
                <w:color w:val="243247"/>
                <w:sz w:val="18"/>
              </w:rPr>
              <w:t>Pilot</w:t>
            </w:r>
          </w:p>
        </w:tc>
        <w:tc>
          <w:tcPr>
            <w:tcW w:type="dxa" w:w="7128"/>
            <w:shd w:fill="F3F6FA"/>
          </w:tcPr>
          <w:p>
            <w:pPr>
              <w:spacing w:after="100" w:before="100" w:line="259" w:lineRule="auto"/>
            </w:pPr>
            <w:r>
              <w:rPr>
                <w:b w:val="0"/>
                <w:color w:val="243247"/>
                <w:sz w:val="18"/>
              </w:rPr>
              <w:t>90 days; CAD 18,000; 5 vehicles; 100 managed lane-km</w:t>
            </w:r>
          </w:p>
        </w:tc>
      </w:tr>
      <w:tr>
        <w:trPr>
          <w:cantSplit/>
        </w:trPr>
        <w:tc>
          <w:tcPr>
            <w:tcW w:type="dxa" w:w="3096"/>
          </w:tcPr>
          <w:p>
            <w:pPr>
              <w:spacing w:after="100" w:before="100" w:line="259" w:lineRule="auto"/>
            </w:pPr>
            <w:r>
              <w:rPr>
                <w:b w:val="0"/>
                <w:color w:val="243247"/>
                <w:sz w:val="18"/>
              </w:rPr>
              <w:t>Software plans</w:t>
            </w:r>
          </w:p>
        </w:tc>
        <w:tc>
          <w:tcPr>
            <w:tcW w:type="dxa" w:w="7128"/>
          </w:tcPr>
          <w:p>
            <w:pPr>
              <w:spacing w:after="100" w:before="100" w:line="259" w:lineRule="auto"/>
            </w:pPr>
            <w:r>
              <w:rPr>
                <w:b w:val="0"/>
                <w:color w:val="243247"/>
                <w:sz w:val="18"/>
              </w:rPr>
              <w:t>CAD 2,500 / 6,500 / 15,000 per month</w:t>
            </w:r>
          </w:p>
        </w:tc>
      </w:tr>
      <w:tr>
        <w:trPr>
          <w:cantSplit/>
        </w:trPr>
        <w:tc>
          <w:tcPr>
            <w:tcW w:type="dxa" w:w="3096"/>
            <w:shd w:fill="F3F6FA"/>
          </w:tcPr>
          <w:p>
            <w:pPr>
              <w:spacing w:after="100" w:before="100" w:line="259" w:lineRule="auto"/>
            </w:pPr>
            <w:r>
              <w:rPr>
                <w:b w:val="0"/>
                <w:color w:val="243247"/>
                <w:sz w:val="18"/>
              </w:rPr>
              <w:t>Base case funding</w:t>
            </w:r>
          </w:p>
        </w:tc>
        <w:tc>
          <w:tcPr>
            <w:tcW w:type="dxa" w:w="7128"/>
            <w:shd w:fill="F3F6FA"/>
          </w:tcPr>
          <w:p>
            <w:pPr>
              <w:spacing w:after="100" w:before="100" w:line="259" w:lineRule="auto"/>
            </w:pPr>
            <w:r>
              <w:rPr>
                <w:b w:val="0"/>
                <w:color w:val="243247"/>
                <w:sz w:val="18"/>
              </w:rPr>
              <w:t>CAD 1.323 million including a 20 percent cash reserve</w:t>
            </w:r>
          </w:p>
        </w:tc>
      </w:tr>
      <w:tr>
        <w:trPr>
          <w:cantSplit/>
        </w:trPr>
        <w:tc>
          <w:tcPr>
            <w:tcW w:type="dxa" w:w="3096"/>
          </w:tcPr>
          <w:p>
            <w:pPr>
              <w:spacing w:after="100" w:before="100" w:line="259" w:lineRule="auto"/>
            </w:pPr>
            <w:r>
              <w:rPr>
                <w:b w:val="0"/>
                <w:color w:val="243247"/>
                <w:sz w:val="18"/>
              </w:rPr>
              <w:t>First market</w:t>
            </w:r>
          </w:p>
        </w:tc>
        <w:tc>
          <w:tcPr>
            <w:tcW w:type="dxa" w:w="7128"/>
          </w:tcPr>
          <w:p>
            <w:pPr>
              <w:spacing w:after="100" w:before="100" w:line="259" w:lineRule="auto"/>
            </w:pPr>
            <w:r>
              <w:rPr>
                <w:b w:val="0"/>
                <w:color w:val="243247"/>
                <w:sz w:val="18"/>
              </w:rPr>
              <w:t>Ontario municipalities, with rules configured for each jurisdiction</w:t>
            </w:r>
          </w:p>
        </w:tc>
      </w:tr>
    </w:tbl>
    <w:p>
      <w:pPr>
        <w:spacing w:after="20" w:line="240" w:lineRule="auto" w:before="0"/>
      </w:pPr>
      <w:r>
        <w:rPr>
          <w:sz w:val="4"/>
        </w:rPr>
      </w:r>
    </w:p>
    <w:p>
      <w:r>
        <w:t>The accompanying website is a private functional investigation prototype. Its data, contractor names, GPS positions and camera image are illustrative. Live camera AI, external messaging and production municipal integrations remain engineering work. Prices, sales volumes and cost estimates are planning assumptions, not commitments or observed performance.</w:t>
      </w:r>
    </w:p>
    <w:p>
      <w:pPr>
        <w:pStyle w:val="Heading1"/>
        <w:pageBreakBefore/>
      </w:pPr>
      <w:r>
        <w:t>Business thesis and competitive position</w:t>
      </w:r>
    </w:p>
    <w:p>
      <w:r>
        <w:t>Road authorities need a defensible chain from observation to action. A defect report becomes valuable when staff can locate it, decide how urgently to act, identify who should repair it and prove what happened afterwards. Warranty follow-up is often a document and coordination problem as much as a detection problem.</w:t>
      </w:r>
    </w:p>
    <w:p>
      <w:r>
        <w:t>The proposed commercial product is a road investigation and repair accountability platform with an AI capture channel. Sell a better operational record and faster coordination, then measure whether the customer obtains financial value.</w:t>
      </w:r>
    </w:p>
    <w:p>
      <w:pPr>
        <w:pStyle w:val="Heading2"/>
      </w:pPr>
      <w:r>
        <w:t>Evidence of an existing market</w:t>
      </w:r>
    </w:p>
    <w:p>
      <w:r>
        <w:t>Markham describes dashboard-mounted mobile devices using Visual Defence technology to collect pavement data. Citylogix markets broader infrastructure and asset-management capabilities. Vaisala has published RoadAI road-condition survey case studies. These sources demonstrate existing alternatives; they do not establish PaveLedger performance or achievable pricing. [S1-S3]</w:t>
      </w:r>
    </w:p>
    <w:p>
      <w:r>
        <w:t>The iWatchRoadv2 research preprint explicitly discusses road geolocation, contractor records, automated alerts and warranty-related accountability. The broad concept must therefore not be advertised as unique, patented or a world first. A freedom-to-operate and trademark review would be separate work. [S4]</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100" w:before="100" w:line="259" w:lineRule="auto"/>
            </w:pPr>
            <w:r>
              <w:rPr>
                <w:b/>
                <w:color w:val="FFFFFF"/>
                <w:sz w:val="18"/>
              </w:rPr>
              <w:t>Competitive area</w:t>
            </w:r>
          </w:p>
        </w:tc>
        <w:tc>
          <w:tcPr>
            <w:tcW w:type="dxa" w:w="7128"/>
            <w:shd w:fill="172B42"/>
          </w:tcPr>
          <w:p>
            <w:pPr>
              <w:spacing w:after="100" w:before="100" w:line="259" w:lineRule="auto"/>
            </w:pPr>
            <w:r>
              <w:rPr>
                <w:b/>
                <w:color w:val="FFFFFF"/>
                <w:sz w:val="18"/>
              </w:rPr>
              <w:t>PaveLedger proposition to validate</w:t>
            </w:r>
          </w:p>
        </w:tc>
      </w:tr>
      <w:tr>
        <w:trPr>
          <w:cantSplit/>
        </w:trPr>
        <w:tc>
          <w:tcPr>
            <w:tcW w:type="dxa" w:w="3096"/>
          </w:tcPr>
          <w:p>
            <w:pPr>
              <w:spacing w:after="100" w:before="100" w:line="259" w:lineRule="auto"/>
            </w:pPr>
            <w:r>
              <w:rPr>
                <w:b w:val="0"/>
                <w:color w:val="243247"/>
                <w:sz w:val="18"/>
              </w:rPr>
              <w:t>Detection</w:t>
            </w:r>
          </w:p>
        </w:tc>
        <w:tc>
          <w:tcPr>
            <w:tcW w:type="dxa" w:w="7128"/>
          </w:tcPr>
          <w:p>
            <w:pPr>
              <w:spacing w:after="100" w:before="100" w:line="259" w:lineRule="auto"/>
            </w:pPr>
            <w:r>
              <w:rPr>
                <w:b w:val="0"/>
                <w:color w:val="243247"/>
                <w:sz w:val="18"/>
              </w:rPr>
              <w:t>Use or integrate a strong detector; prove local winter and fleet performance</w:t>
            </w:r>
          </w:p>
        </w:tc>
      </w:tr>
      <w:tr>
        <w:trPr>
          <w:cantSplit/>
        </w:trPr>
        <w:tc>
          <w:tcPr>
            <w:tcW w:type="dxa" w:w="3096"/>
            <w:shd w:fill="F3F6FA"/>
          </w:tcPr>
          <w:p>
            <w:pPr>
              <w:spacing w:after="100" w:before="100" w:line="259" w:lineRule="auto"/>
            </w:pPr>
            <w:r>
              <w:rPr>
                <w:b w:val="0"/>
                <w:color w:val="243247"/>
                <w:sz w:val="18"/>
              </w:rPr>
              <w:t>Warranty administration</w:t>
            </w:r>
          </w:p>
        </w:tc>
        <w:tc>
          <w:tcPr>
            <w:tcW w:type="dxa" w:w="7128"/>
            <w:shd w:fill="F3F6FA"/>
          </w:tcPr>
          <w:p>
            <w:pPr>
              <w:spacing w:after="100" w:before="100" w:line="259" w:lineRule="auto"/>
            </w:pPr>
            <w:r>
              <w:rPr>
                <w:b w:val="0"/>
                <w:color w:val="243247"/>
                <w:sz w:val="18"/>
              </w:rPr>
              <w:t>Contract versioning, notice deadlines, contact ownership and ambiguity handling</w:t>
            </w:r>
          </w:p>
        </w:tc>
      </w:tr>
      <w:tr>
        <w:trPr>
          <w:cantSplit/>
        </w:trPr>
        <w:tc>
          <w:tcPr>
            <w:tcW w:type="dxa" w:w="3096"/>
          </w:tcPr>
          <w:p>
            <w:pPr>
              <w:spacing w:after="100" w:before="100" w:line="259" w:lineRule="auto"/>
            </w:pPr>
            <w:r>
              <w:rPr>
                <w:b w:val="0"/>
                <w:color w:val="243247"/>
                <w:sz w:val="18"/>
              </w:rPr>
              <w:t>Repair verification</w:t>
            </w:r>
          </w:p>
        </w:tc>
        <w:tc>
          <w:tcPr>
            <w:tcW w:type="dxa" w:w="7128"/>
          </w:tcPr>
          <w:p>
            <w:pPr>
              <w:spacing w:after="100" w:before="100" w:line="259" w:lineRule="auto"/>
            </w:pPr>
            <w:r>
              <w:rPr>
                <w:b w:val="0"/>
                <w:color w:val="243247"/>
                <w:sz w:val="18"/>
              </w:rPr>
              <w:t>Clear repeat-pass evidence plus reviewer acceptance and reopening history</w:t>
            </w:r>
          </w:p>
        </w:tc>
      </w:tr>
      <w:tr>
        <w:trPr>
          <w:cantSplit/>
        </w:trPr>
        <w:tc>
          <w:tcPr>
            <w:tcW w:type="dxa" w:w="3096"/>
            <w:shd w:fill="F3F6FA"/>
          </w:tcPr>
          <w:p>
            <w:pPr>
              <w:spacing w:after="100" w:before="100" w:line="259" w:lineRule="auto"/>
            </w:pPr>
            <w:r>
              <w:rPr>
                <w:b w:val="0"/>
                <w:color w:val="243247"/>
                <w:sz w:val="18"/>
              </w:rPr>
              <w:t>Municipal integration</w:t>
            </w:r>
          </w:p>
        </w:tc>
        <w:tc>
          <w:tcPr>
            <w:tcW w:type="dxa" w:w="7128"/>
            <w:shd w:fill="F3F6FA"/>
          </w:tcPr>
          <w:p>
            <w:pPr>
              <w:spacing w:after="100" w:before="100" w:line="259" w:lineRule="auto"/>
            </w:pPr>
            <w:r>
              <w:rPr>
                <w:b w:val="0"/>
                <w:color w:val="243247"/>
                <w:sz w:val="18"/>
              </w:rPr>
              <w:t>Preserve existing work-order and GIS investments through documented APIs</w:t>
            </w:r>
          </w:p>
        </w:tc>
      </w:tr>
      <w:tr>
        <w:trPr>
          <w:cantSplit/>
        </w:trPr>
        <w:tc>
          <w:tcPr>
            <w:tcW w:type="dxa" w:w="3096"/>
          </w:tcPr>
          <w:p>
            <w:pPr>
              <w:spacing w:after="100" w:before="100" w:line="259" w:lineRule="auto"/>
            </w:pPr>
            <w:r>
              <w:rPr>
                <w:b w:val="0"/>
                <w:color w:val="243247"/>
                <w:sz w:val="18"/>
              </w:rPr>
              <w:t>Accountability</w:t>
            </w:r>
          </w:p>
        </w:tc>
        <w:tc>
          <w:tcPr>
            <w:tcW w:type="dxa" w:w="7128"/>
          </w:tcPr>
          <w:p>
            <w:pPr>
              <w:spacing w:after="100" w:before="100" w:line="259" w:lineRule="auto"/>
            </w:pPr>
            <w:r>
              <w:rPr>
                <w:b w:val="0"/>
                <w:color w:val="243247"/>
                <w:sz w:val="18"/>
              </w:rPr>
              <w:t>Separate operational safety action from disputed cost recovery</w:t>
            </w:r>
          </w:p>
        </w:tc>
      </w:tr>
    </w:tbl>
    <w:p>
      <w:pPr>
        <w:spacing w:after="20" w:line="240" w:lineRule="auto" w:before="0"/>
      </w:pPr>
      <w:r>
        <w:rPr>
          <w:sz w:val="4"/>
        </w:rPr>
      </w:r>
    </w:p>
    <w:p>
      <w:r>
        <w:t>The defensible advantage would be execution: accurate contract data, dependable local operations, integrations and trustworthy records. It cannot rest on the word AI or on a feature list alone.</w:t>
      </w:r>
    </w:p>
    <w:p>
      <w:pPr>
        <w:pStyle w:val="Heading1"/>
        <w:pageBreakBefore/>
      </w:pPr>
      <w:r>
        <w:t>Customers and market entry</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100" w:before="100" w:line="259" w:lineRule="auto"/>
            </w:pPr>
            <w:r>
              <w:rPr>
                <w:b/>
                <w:color w:val="FFFFFF"/>
                <w:sz w:val="18"/>
              </w:rPr>
              <w:t>Segment</w:t>
            </w:r>
          </w:p>
        </w:tc>
        <w:tc>
          <w:tcPr>
            <w:tcW w:type="dxa" w:w="3600"/>
            <w:shd w:fill="172B42"/>
          </w:tcPr>
          <w:p>
            <w:pPr>
              <w:spacing w:after="100" w:before="100" w:line="259" w:lineRule="auto"/>
            </w:pPr>
            <w:r>
              <w:rPr>
                <w:b/>
                <w:color w:val="FFFFFF"/>
                <w:sz w:val="18"/>
              </w:rPr>
              <w:t>Buyer and trigger</w:t>
            </w:r>
          </w:p>
        </w:tc>
        <w:tc>
          <w:tcPr>
            <w:tcW w:type="dxa" w:w="4320"/>
            <w:shd w:fill="172B42"/>
          </w:tcPr>
          <w:p>
            <w:pPr>
              <w:spacing w:after="100" w:before="100" w:line="259" w:lineRule="auto"/>
            </w:pPr>
            <w:r>
              <w:rPr>
                <w:b/>
                <w:color w:val="FFFFFF"/>
                <w:sz w:val="18"/>
              </w:rPr>
              <w:t>Initial offer</w:t>
            </w:r>
          </w:p>
        </w:tc>
      </w:tr>
      <w:tr>
        <w:trPr>
          <w:cantSplit/>
        </w:trPr>
        <w:tc>
          <w:tcPr>
            <w:tcW w:type="dxa" w:w="2304"/>
          </w:tcPr>
          <w:p>
            <w:pPr>
              <w:spacing w:after="100" w:before="100" w:line="259" w:lineRule="auto"/>
            </w:pPr>
            <w:r>
              <w:rPr>
                <w:b w:val="0"/>
                <w:color w:val="243247"/>
                <w:sz w:val="18"/>
              </w:rPr>
              <w:t>Small municipality</w:t>
            </w:r>
          </w:p>
        </w:tc>
        <w:tc>
          <w:tcPr>
            <w:tcW w:type="dxa" w:w="3600"/>
          </w:tcPr>
          <w:p>
            <w:pPr>
              <w:spacing w:after="100" w:before="100" w:line="259" w:lineRule="auto"/>
            </w:pPr>
            <w:r>
              <w:rPr>
                <w:b w:val="0"/>
                <w:color w:val="243247"/>
                <w:sz w:val="18"/>
              </w:rPr>
              <w:t>Public works manager; limited inspection capacity</w:t>
            </w:r>
          </w:p>
        </w:tc>
        <w:tc>
          <w:tcPr>
            <w:tcW w:type="dxa" w:w="4320"/>
          </w:tcPr>
          <w:p>
            <w:pPr>
              <w:spacing w:after="100" w:before="100" w:line="259" w:lineRule="auto"/>
            </w:pPr>
            <w:r>
              <w:rPr>
                <w:b w:val="0"/>
                <w:color w:val="243247"/>
                <w:sz w:val="18"/>
              </w:rPr>
              <w:t>Municipal tier with a defined capture area</w:t>
            </w:r>
          </w:p>
        </w:tc>
      </w:tr>
      <w:tr>
        <w:trPr>
          <w:cantSplit/>
        </w:trPr>
        <w:tc>
          <w:tcPr>
            <w:tcW w:type="dxa" w:w="2304"/>
            <w:shd w:fill="F3F6FA"/>
          </w:tcPr>
          <w:p>
            <w:pPr>
              <w:spacing w:after="100" w:before="100" w:line="259" w:lineRule="auto"/>
            </w:pPr>
            <w:r>
              <w:rPr>
                <w:b w:val="0"/>
                <w:color w:val="243247"/>
                <w:sz w:val="18"/>
              </w:rPr>
              <w:t>Mid-sized city</w:t>
            </w:r>
          </w:p>
        </w:tc>
        <w:tc>
          <w:tcPr>
            <w:tcW w:type="dxa" w:w="3600"/>
            <w:shd w:fill="F3F6FA"/>
          </w:tcPr>
          <w:p>
            <w:pPr>
              <w:spacing w:after="100" w:before="100" w:line="259" w:lineRule="auto"/>
            </w:pPr>
            <w:r>
              <w:rPr>
                <w:b w:val="0"/>
                <w:color w:val="243247"/>
                <w:sz w:val="18"/>
              </w:rPr>
              <w:t>Roads director and asset manager; fragmented workflows</w:t>
            </w:r>
          </w:p>
        </w:tc>
        <w:tc>
          <w:tcPr>
            <w:tcW w:type="dxa" w:w="4320"/>
            <w:shd w:fill="F3F6FA"/>
          </w:tcPr>
          <w:p>
            <w:pPr>
              <w:spacing w:after="100" w:before="100" w:line="259" w:lineRule="auto"/>
            </w:pPr>
            <w:r>
              <w:rPr>
                <w:b w:val="0"/>
                <w:color w:val="243247"/>
                <w:sz w:val="18"/>
              </w:rPr>
              <w:t>City tier with one GIS and one work-order connection</w:t>
            </w:r>
          </w:p>
        </w:tc>
      </w:tr>
      <w:tr>
        <w:trPr>
          <w:cantSplit/>
        </w:trPr>
        <w:tc>
          <w:tcPr>
            <w:tcW w:type="dxa" w:w="2304"/>
          </w:tcPr>
          <w:p>
            <w:pPr>
              <w:spacing w:after="100" w:before="100" w:line="259" w:lineRule="auto"/>
            </w:pPr>
            <w:r>
              <w:rPr>
                <w:b w:val="0"/>
                <w:color w:val="243247"/>
                <w:sz w:val="18"/>
              </w:rPr>
              <w:t>Regional road authority</w:t>
            </w:r>
          </w:p>
        </w:tc>
        <w:tc>
          <w:tcPr>
            <w:tcW w:type="dxa" w:w="3600"/>
          </w:tcPr>
          <w:p>
            <w:pPr>
              <w:spacing w:after="100" w:before="100" w:line="259" w:lineRule="auto"/>
            </w:pPr>
            <w:r>
              <w:rPr>
                <w:b w:val="0"/>
                <w:color w:val="243247"/>
                <w:sz w:val="18"/>
              </w:rPr>
              <w:t>Transportation director; multiple depots and contracts</w:t>
            </w:r>
          </w:p>
        </w:tc>
        <w:tc>
          <w:tcPr>
            <w:tcW w:type="dxa" w:w="4320"/>
          </w:tcPr>
          <w:p>
            <w:pPr>
              <w:spacing w:after="100" w:before="100" w:line="259" w:lineRule="auto"/>
            </w:pPr>
            <w:r>
              <w:rPr>
                <w:b w:val="0"/>
                <w:color w:val="243247"/>
                <w:sz w:val="18"/>
              </w:rPr>
              <w:t>Regional deployment after reference pilots</w:t>
            </w:r>
          </w:p>
        </w:tc>
      </w:tr>
      <w:tr>
        <w:trPr>
          <w:cantSplit/>
        </w:trPr>
        <w:tc>
          <w:tcPr>
            <w:tcW w:type="dxa" w:w="2304"/>
            <w:shd w:fill="F3F6FA"/>
          </w:tcPr>
          <w:p>
            <w:pPr>
              <w:spacing w:after="100" w:before="100" w:line="259" w:lineRule="auto"/>
            </w:pPr>
            <w:r>
              <w:rPr>
                <w:b w:val="0"/>
                <w:color w:val="243247"/>
                <w:sz w:val="18"/>
              </w:rPr>
              <w:t>Transit or service fleet</w:t>
            </w:r>
          </w:p>
        </w:tc>
        <w:tc>
          <w:tcPr>
            <w:tcW w:type="dxa" w:w="3600"/>
            <w:shd w:fill="F3F6FA"/>
          </w:tcPr>
          <w:p>
            <w:pPr>
              <w:spacing w:after="100" w:before="100" w:line="259" w:lineRule="auto"/>
            </w:pPr>
            <w:r>
              <w:rPr>
                <w:b w:val="0"/>
                <w:color w:val="243247"/>
                <w:sz w:val="18"/>
              </w:rPr>
              <w:t>Fleet director; existing routes can improve coverage</w:t>
            </w:r>
          </w:p>
        </w:tc>
        <w:tc>
          <w:tcPr>
            <w:tcW w:type="dxa" w:w="4320"/>
            <w:shd w:fill="F3F6FA"/>
          </w:tcPr>
          <w:p>
            <w:pPr>
              <w:spacing w:after="100" w:before="100" w:line="259" w:lineRule="auto"/>
            </w:pPr>
            <w:r>
              <w:rPr>
                <w:b w:val="0"/>
                <w:color w:val="243247"/>
                <w:sz w:val="18"/>
              </w:rPr>
              <w:t>Capture partnership; road authority remains the buyer</w:t>
            </w:r>
          </w:p>
        </w:tc>
      </w:tr>
      <w:tr>
        <w:trPr>
          <w:cantSplit/>
        </w:trPr>
        <w:tc>
          <w:tcPr>
            <w:tcW w:type="dxa" w:w="2304"/>
          </w:tcPr>
          <w:p>
            <w:pPr>
              <w:spacing w:after="100" w:before="100" w:line="259" w:lineRule="auto"/>
            </w:pPr>
            <w:r>
              <w:rPr>
                <w:b w:val="0"/>
                <w:color w:val="243247"/>
                <w:sz w:val="18"/>
              </w:rPr>
              <w:t>Provincial agency</w:t>
            </w:r>
          </w:p>
        </w:tc>
        <w:tc>
          <w:tcPr>
            <w:tcW w:type="dxa" w:w="3600"/>
          </w:tcPr>
          <w:p>
            <w:pPr>
              <w:spacing w:after="100" w:before="100" w:line="259" w:lineRule="auto"/>
            </w:pPr>
            <w:r>
              <w:rPr>
                <w:b w:val="0"/>
                <w:color w:val="243247"/>
                <w:sz w:val="18"/>
              </w:rPr>
              <w:t>Program owner; enterprise security and procurement needs</w:t>
            </w:r>
          </w:p>
        </w:tc>
        <w:tc>
          <w:tcPr>
            <w:tcW w:type="dxa" w:w="4320"/>
          </w:tcPr>
          <w:p>
            <w:pPr>
              <w:spacing w:after="100" w:before="100" w:line="259" w:lineRule="auto"/>
            </w:pPr>
            <w:r>
              <w:rPr>
                <w:b w:val="0"/>
                <w:color w:val="243247"/>
                <w:sz w:val="18"/>
              </w:rPr>
              <w:t>Later enterprise procurement, separate requirements</w:t>
            </w:r>
          </w:p>
        </w:tc>
      </w:tr>
    </w:tbl>
    <w:p>
      <w:pPr>
        <w:spacing w:after="20" w:line="240" w:lineRule="auto" w:before="0"/>
      </w:pPr>
      <w:r>
        <w:rPr>
          <w:sz w:val="4"/>
        </w:rPr>
      </w:r>
    </w:p>
    <w:p>
      <w:pPr>
        <w:pStyle w:val="Heading2"/>
      </w:pPr>
      <w:r>
        <w:t>Buying group</w:t>
      </w:r>
    </w:p>
    <w:p>
      <w:r>
        <w:t>The operational sponsor is usually the road maintenance or transportation leader. IT security, GIS, privacy, procurement, legal and finance evaluate different risks. Fleet management approves vehicle installation and driver procedures. Contractors need a simple acknowledgement and evidence channel, not access to municipal investigations outside their assignments.</w:t>
      </w:r>
    </w:p>
    <w:p>
      <w:r>
        <w:t>Start in the Waterloo Region and surrounding Ontario market for practical travel and field support. Confirm which authority owns each road before prospecting. A local address does not establish road jurisdiction. No municipality has been identified as an existing customer or partner.</w:t>
      </w:r>
    </w:p>
    <w:p>
      <w:pPr>
        <w:pStyle w:val="Heading2"/>
      </w:pPr>
      <w:r>
        <w:t>Bottom up market sizing</w:t>
      </w:r>
    </w:p>
    <w:p>
      <w:r>
        <w:t>Use a qualified-account list rather than a large unverified national market number. A planning beachhead of 100 suitable authorities at an assumed CAD 60,000 annual software value represents CAD 6 million of potential annual software revenue if all bought. This is a scenario, not measured market size. The base model assumes 4, 13 and 31 ending customers in 2027, 2028 and 2029.</w:t>
      </w:r>
    </w:p>
    <w:p>
      <w:r>
        <w:t>Qualify each prospect on managed lane-km, inspection frequency, fleet route coverage, defect volume, contract-record quality, existing software, purchasing authority and renewal calendar. Disqualify projects that cannot supply a clear data owner or access to repair records.</w:t>
      </w:r>
    </w:p>
    <w:p>
      <w:pPr>
        <w:pStyle w:val="Heading1"/>
        <w:pageBreakBefore/>
      </w:pPr>
      <w:r>
        <w:t>Product offer and release boundaries</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100" w:before="100" w:line="259" w:lineRule="auto"/>
            </w:pPr>
            <w:r>
              <w:rPr>
                <w:b/>
                <w:color w:val="FFFFFF"/>
                <w:sz w:val="18"/>
              </w:rPr>
              <w:t>Capability</w:t>
            </w:r>
          </w:p>
        </w:tc>
        <w:tc>
          <w:tcPr>
            <w:tcW w:type="dxa" w:w="3600"/>
            <w:shd w:fill="172B42"/>
          </w:tcPr>
          <w:p>
            <w:pPr>
              <w:spacing w:after="100" w:before="100" w:line="259" w:lineRule="auto"/>
            </w:pPr>
            <w:r>
              <w:rPr>
                <w:b/>
                <w:color w:val="FFFFFF"/>
                <w:sz w:val="18"/>
              </w:rPr>
              <w:t>Delivered concept prototype</w:t>
            </w:r>
          </w:p>
        </w:tc>
        <w:tc>
          <w:tcPr>
            <w:tcW w:type="dxa" w:w="4320"/>
            <w:shd w:fill="172B42"/>
          </w:tcPr>
          <w:p>
            <w:pPr>
              <w:spacing w:after="100" w:before="100" w:line="259" w:lineRule="auto"/>
            </w:pPr>
            <w:r>
              <w:rPr>
                <w:b/>
                <w:color w:val="FFFFFF"/>
                <w:sz w:val="18"/>
              </w:rPr>
              <w:t>Pilot production requirement</w:t>
            </w:r>
          </w:p>
        </w:tc>
      </w:tr>
      <w:tr>
        <w:trPr>
          <w:cantSplit/>
        </w:trPr>
        <w:tc>
          <w:tcPr>
            <w:tcW w:type="dxa" w:w="2304"/>
          </w:tcPr>
          <w:p>
            <w:pPr>
              <w:spacing w:after="100" w:before="100" w:line="259" w:lineRule="auto"/>
            </w:pPr>
            <w:r>
              <w:rPr>
                <w:b w:val="0"/>
                <w:color w:val="243247"/>
                <w:sz w:val="18"/>
              </w:rPr>
              <w:t>Investigation records</w:t>
            </w:r>
          </w:p>
        </w:tc>
        <w:tc>
          <w:tcPr>
            <w:tcW w:type="dxa" w:w="3600"/>
          </w:tcPr>
          <w:p>
            <w:pPr>
              <w:spacing w:after="100" w:before="100" w:line="259" w:lineRule="auto"/>
            </w:pPr>
            <w:r>
              <w:rPr>
                <w:b w:val="0"/>
                <w:color w:val="243247"/>
                <w:sz w:val="18"/>
              </w:rPr>
              <w:t>Persistent tickets, unique IDs, notes and stage history</w:t>
            </w:r>
          </w:p>
        </w:tc>
        <w:tc>
          <w:tcPr>
            <w:tcW w:type="dxa" w:w="4320"/>
          </w:tcPr>
          <w:p>
            <w:pPr>
              <w:spacing w:after="100" w:before="100" w:line="259" w:lineRule="auto"/>
            </w:pPr>
            <w:r>
              <w:rPr>
                <w:b w:val="0"/>
                <w:color w:val="243247"/>
                <w:sz w:val="18"/>
              </w:rPr>
              <w:t>Normalized multi-tenant database and evidence retention controls</w:t>
            </w:r>
          </w:p>
        </w:tc>
      </w:tr>
      <w:tr>
        <w:trPr>
          <w:cantSplit/>
        </w:trPr>
        <w:tc>
          <w:tcPr>
            <w:tcW w:type="dxa" w:w="2304"/>
            <w:shd w:fill="F3F6FA"/>
          </w:tcPr>
          <w:p>
            <w:pPr>
              <w:spacing w:after="100" w:before="100" w:line="259" w:lineRule="auto"/>
            </w:pPr>
            <w:r>
              <w:rPr>
                <w:b w:val="0"/>
                <w:color w:val="243247"/>
                <w:sz w:val="18"/>
              </w:rPr>
              <w:t>Assignment</w:t>
            </w:r>
          </w:p>
        </w:tc>
        <w:tc>
          <w:tcPr>
            <w:tcW w:type="dxa" w:w="3600"/>
            <w:shd w:fill="F3F6FA"/>
          </w:tcPr>
          <w:p>
            <w:pPr>
              <w:spacing w:after="100" w:before="100" w:line="259" w:lineRule="auto"/>
            </w:pPr>
            <w:r>
              <w:rPr>
                <w:b w:val="0"/>
                <w:color w:val="243247"/>
                <w:sz w:val="18"/>
              </w:rPr>
              <w:t>Teams, analyst buckets and in-app notifications</w:t>
            </w:r>
          </w:p>
        </w:tc>
        <w:tc>
          <w:tcPr>
            <w:tcW w:type="dxa" w:w="4320"/>
            <w:shd w:fill="F3F6FA"/>
          </w:tcPr>
          <w:p>
            <w:pPr>
              <w:spacing w:after="100" w:before="100" w:line="259" w:lineRule="auto"/>
            </w:pPr>
            <w:r>
              <w:rPr>
                <w:b w:val="0"/>
                <w:color w:val="243247"/>
                <w:sz w:val="18"/>
              </w:rPr>
              <w:t>SSO membership lifecycle and approved notification delivery</w:t>
            </w:r>
          </w:p>
        </w:tc>
      </w:tr>
      <w:tr>
        <w:trPr>
          <w:cantSplit/>
        </w:trPr>
        <w:tc>
          <w:tcPr>
            <w:tcW w:type="dxa" w:w="2304"/>
          </w:tcPr>
          <w:p>
            <w:pPr>
              <w:spacing w:after="100" w:before="100" w:line="259" w:lineRule="auto"/>
            </w:pPr>
            <w:r>
              <w:rPr>
                <w:b w:val="0"/>
                <w:color w:val="243247"/>
                <w:sz w:val="18"/>
              </w:rPr>
              <w:t>Role controls</w:t>
            </w:r>
          </w:p>
        </w:tc>
        <w:tc>
          <w:tcPr>
            <w:tcW w:type="dxa" w:w="3600"/>
          </w:tcPr>
          <w:p>
            <w:pPr>
              <w:spacing w:after="100" w:before="100" w:line="259" w:lineRule="auto"/>
            </w:pPr>
            <w:r>
              <w:rPr>
                <w:b w:val="0"/>
                <w:color w:val="243247"/>
                <w:sz w:val="18"/>
              </w:rPr>
              <w:t>Server checks plus admin-only role demonstrations</w:t>
            </w:r>
          </w:p>
        </w:tc>
        <w:tc>
          <w:tcPr>
            <w:tcW w:type="dxa" w:w="4320"/>
          </w:tcPr>
          <w:p>
            <w:pPr>
              <w:spacing w:after="100" w:before="100" w:line="259" w:lineRule="auto"/>
            </w:pPr>
            <w:r>
              <w:rPr>
                <w:b w:val="0"/>
                <w:color w:val="243247"/>
                <w:sz w:val="18"/>
              </w:rPr>
              <w:t>Hardened tenant isolation and access review</w:t>
            </w:r>
          </w:p>
        </w:tc>
      </w:tr>
      <w:tr>
        <w:trPr>
          <w:cantSplit/>
        </w:trPr>
        <w:tc>
          <w:tcPr>
            <w:tcW w:type="dxa" w:w="2304"/>
            <w:shd w:fill="F3F6FA"/>
          </w:tcPr>
          <w:p>
            <w:pPr>
              <w:spacing w:after="100" w:before="100" w:line="259" w:lineRule="auto"/>
            </w:pPr>
            <w:r>
              <w:rPr>
                <w:b w:val="0"/>
                <w:color w:val="243247"/>
                <w:sz w:val="18"/>
              </w:rPr>
              <w:t>Evidence</w:t>
            </w:r>
          </w:p>
        </w:tc>
        <w:tc>
          <w:tcPr>
            <w:tcW w:type="dxa" w:w="3600"/>
            <w:shd w:fill="F3F6FA"/>
          </w:tcPr>
          <w:p>
            <w:pPr>
              <w:spacing w:after="100" w:before="100" w:line="259" w:lineRule="auto"/>
            </w:pPr>
            <w:r>
              <w:rPr>
                <w:b w:val="0"/>
                <w:color w:val="243247"/>
                <w:sz w:val="18"/>
              </w:rPr>
              <w:t>Generated illustrative photo and sample GPS</w:t>
            </w:r>
          </w:p>
        </w:tc>
        <w:tc>
          <w:tcPr>
            <w:tcW w:type="dxa" w:w="4320"/>
            <w:shd w:fill="F3F6FA"/>
          </w:tcPr>
          <w:p>
            <w:pPr>
              <w:spacing w:after="100" w:before="100" w:line="259" w:lineRule="auto"/>
            </w:pPr>
            <w:r>
              <w:rPr>
                <w:b w:val="0"/>
                <w:color w:val="243247"/>
                <w:sz w:val="18"/>
              </w:rPr>
              <w:t>Real redacted observations with provenance and accuracy</w:t>
            </w:r>
          </w:p>
        </w:tc>
      </w:tr>
      <w:tr>
        <w:trPr>
          <w:cantSplit/>
        </w:trPr>
        <w:tc>
          <w:tcPr>
            <w:tcW w:type="dxa" w:w="2304"/>
          </w:tcPr>
          <w:p>
            <w:pPr>
              <w:spacing w:after="100" w:before="100" w:line="259" w:lineRule="auto"/>
            </w:pPr>
            <w:r>
              <w:rPr>
                <w:b w:val="0"/>
                <w:color w:val="243247"/>
                <w:sz w:val="18"/>
              </w:rPr>
              <w:t>Warranty workflow</w:t>
            </w:r>
          </w:p>
        </w:tc>
        <w:tc>
          <w:tcPr>
            <w:tcW w:type="dxa" w:w="3600"/>
          </w:tcPr>
          <w:p>
            <w:pPr>
              <w:spacing w:after="100" w:before="100" w:line="259" w:lineRule="auto"/>
            </w:pPr>
            <w:r>
              <w:rPr>
                <w:b w:val="0"/>
                <w:color w:val="243247"/>
                <w:sz w:val="18"/>
              </w:rPr>
              <w:t>Candidate records and scope-confirmed draft notices</w:t>
            </w:r>
          </w:p>
        </w:tc>
        <w:tc>
          <w:tcPr>
            <w:tcW w:type="dxa" w:w="4320"/>
          </w:tcPr>
          <w:p>
            <w:pPr>
              <w:spacing w:after="100" w:before="100" w:line="259" w:lineRule="auto"/>
            </w:pPr>
            <w:r>
              <w:rPr>
                <w:b w:val="0"/>
                <w:color w:val="243247"/>
                <w:sz w:val="18"/>
              </w:rPr>
              <w:t>Spatial scope matching, approved terms and secure dispatch</w:t>
            </w:r>
          </w:p>
        </w:tc>
      </w:tr>
      <w:tr>
        <w:trPr>
          <w:cantSplit/>
        </w:trPr>
        <w:tc>
          <w:tcPr>
            <w:tcW w:type="dxa" w:w="2304"/>
            <w:shd w:fill="F3F6FA"/>
          </w:tcPr>
          <w:p>
            <w:pPr>
              <w:spacing w:after="100" w:before="100" w:line="259" w:lineRule="auto"/>
            </w:pPr>
            <w:r>
              <w:rPr>
                <w:b w:val="0"/>
                <w:color w:val="243247"/>
                <w:sz w:val="18"/>
              </w:rPr>
              <w:t>Verification</w:t>
            </w:r>
          </w:p>
        </w:tc>
        <w:tc>
          <w:tcPr>
            <w:tcW w:type="dxa" w:w="3600"/>
            <w:shd w:fill="F3F6FA"/>
          </w:tcPr>
          <w:p>
            <w:pPr>
              <w:spacing w:after="100" w:before="100" w:line="259" w:lineRule="auto"/>
            </w:pPr>
            <w:r>
              <w:rPr>
                <w:b w:val="0"/>
                <w:color w:val="243247"/>
                <w:sz w:val="18"/>
              </w:rPr>
              <w:t>Reviewer-confirmed demo transition and reopen action</w:t>
            </w:r>
          </w:p>
        </w:tc>
        <w:tc>
          <w:tcPr>
            <w:tcW w:type="dxa" w:w="4320"/>
            <w:shd w:fill="F3F6FA"/>
          </w:tcPr>
          <w:p>
            <w:pPr>
              <w:spacing w:after="100" w:before="100" w:line="259" w:lineRule="auto"/>
            </w:pPr>
            <w:r>
              <w:rPr>
                <w:b w:val="0"/>
                <w:color w:val="243247"/>
                <w:sz w:val="18"/>
              </w:rPr>
              <w:t>Matched repeat-pass evidence and independent acceptance</w:t>
            </w:r>
          </w:p>
        </w:tc>
      </w:tr>
      <w:tr>
        <w:trPr>
          <w:cantSplit/>
        </w:trPr>
        <w:tc>
          <w:tcPr>
            <w:tcW w:type="dxa" w:w="2304"/>
          </w:tcPr>
          <w:p>
            <w:pPr>
              <w:spacing w:after="100" w:before="100" w:line="259" w:lineRule="auto"/>
            </w:pPr>
            <w:r>
              <w:rPr>
                <w:b w:val="0"/>
                <w:color w:val="243247"/>
                <w:sz w:val="18"/>
              </w:rPr>
              <w:t>Analytics</w:t>
            </w:r>
          </w:p>
        </w:tc>
        <w:tc>
          <w:tcPr>
            <w:tcW w:type="dxa" w:w="3600"/>
          </w:tcPr>
          <w:p>
            <w:pPr>
              <w:spacing w:after="100" w:before="100" w:line="259" w:lineRule="auto"/>
            </w:pPr>
            <w:r>
              <w:rPr>
                <w:b w:val="0"/>
                <w:color w:val="243247"/>
                <w:sz w:val="18"/>
              </w:rPr>
              <w:t>Role-scoped stage, team and reopening counts</w:t>
            </w:r>
          </w:p>
        </w:tc>
        <w:tc>
          <w:tcPr>
            <w:tcW w:type="dxa" w:w="4320"/>
          </w:tcPr>
          <w:p>
            <w:pPr>
              <w:spacing w:after="100" w:before="100" w:line="259" w:lineRule="auto"/>
            </w:pPr>
            <w:r>
              <w:rPr>
                <w:b w:val="0"/>
                <w:color w:val="243247"/>
                <w:sz w:val="18"/>
              </w:rPr>
              <w:t>Cohort, coverage, timeliness and cost-recovery measures</w:t>
            </w:r>
          </w:p>
        </w:tc>
      </w:tr>
      <w:tr>
        <w:trPr>
          <w:cantSplit/>
        </w:trPr>
        <w:tc>
          <w:tcPr>
            <w:tcW w:type="dxa" w:w="2304"/>
            <w:shd w:fill="F3F6FA"/>
          </w:tcPr>
          <w:p>
            <w:pPr>
              <w:spacing w:after="100" w:before="100" w:line="259" w:lineRule="auto"/>
            </w:pPr>
            <w:r>
              <w:rPr>
                <w:b w:val="0"/>
                <w:color w:val="243247"/>
                <w:sz w:val="18"/>
              </w:rPr>
              <w:t>Mobile</w:t>
            </w:r>
          </w:p>
        </w:tc>
        <w:tc>
          <w:tcPr>
            <w:tcW w:type="dxa" w:w="3600"/>
            <w:shd w:fill="F3F6FA"/>
          </w:tcPr>
          <w:p>
            <w:pPr>
              <w:spacing w:after="100" w:before="100" w:line="259" w:lineRule="auto"/>
            </w:pPr>
            <w:r>
              <w:rPr>
                <w:b w:val="0"/>
                <w:color w:val="243247"/>
                <w:sz w:val="18"/>
              </w:rPr>
              <w:t>Responsive browser interface</w:t>
            </w:r>
          </w:p>
        </w:tc>
        <w:tc>
          <w:tcPr>
            <w:tcW w:type="dxa" w:w="4320"/>
            <w:shd w:fill="F3F6FA"/>
          </w:tcPr>
          <w:p>
            <w:pPr>
              <w:spacing w:after="100" w:before="100" w:line="259" w:lineRule="auto"/>
            </w:pPr>
            <w:r>
              <w:rPr>
                <w:b w:val="0"/>
                <w:color w:val="243247"/>
                <w:sz w:val="18"/>
              </w:rPr>
              <w:t>Managed capture app and contractor mobile workflow</w:t>
            </w:r>
          </w:p>
        </w:tc>
      </w:tr>
    </w:tbl>
    <w:p>
      <w:pPr>
        <w:spacing w:after="20" w:line="240" w:lineRule="auto" w:before="0"/>
      </w:pPr>
      <w:r>
        <w:rPr>
          <w:sz w:val="4"/>
        </w:rPr>
      </w:r>
    </w:p>
    <w:p>
      <w:r>
        <w:t>The government customer buys access to a service, not a guarantee that every hazard will be seen. Camera coverage depends on routes, operating hours, visibility and device health. PaveLedger should supplement the authority's existing inspection and urgent-response processes.</w:t>
      </w:r>
    </w:p>
    <w:p>
      <w:r>
        <w:t>Core modules are Capture, Investigations, Contracts, Contractor Portal, Analytics and Administration. An initial release should support potholes and basic surface cracking. Claims about dimensions, structural condition or engineering compliance require suitable measurement and validation.</w:t>
      </w:r>
    </w:p>
    <w:p>
      <w:r>
        <w:t>A customer may use a third-party detector or existing fleet camera. Keeping ingestion independent from the vision model reduces hardware lock-in and lets the warranty and workflow product remain useful even when the detector changes.</w:t>
      </w:r>
    </w:p>
    <w:p>
      <w:pPr>
        <w:pStyle w:val="Heading1"/>
        <w:pageBreakBefore/>
      </w:pPr>
      <w:r>
        <w:t>Subscription and commercial structure</w:t>
      </w:r>
    </w:p>
    <w:p>
      <w:r>
        <w:t>All amounts below are proposed Canadian dollar prices before tax. Software is billed under an annual commitment with monthly or annual payment. The account moves to the tier covering its greatest requirement; road length, active device count and observation volume are all bounded.</w:t>
      </w:r>
    </w:p>
    <w:tbl>
      <w:tblPr>
        <w:tblW w:type="auto" w:w="0"/>
        <w:tblLayout w:type="fixed"/>
        <w:tblLook w:firstColumn="1" w:firstRow="1" w:lastColumn="0" w:lastRow="0" w:noHBand="0" w:noVBand="1" w:val="04A0"/>
      </w:tblPr>
      <w:tblGrid>
        <w:gridCol w:w="2556"/>
        <w:gridCol w:w="2556"/>
        <w:gridCol w:w="2556"/>
        <w:gridCol w:w="2556"/>
      </w:tblGrid>
      <w:tr>
        <w:trPr>
          <w:tblHeader/>
          <w:cantSplit/>
        </w:trPr>
        <w:tc>
          <w:tcPr>
            <w:tcW w:type="dxa" w:w="2556"/>
            <w:shd w:fill="172B42"/>
          </w:tcPr>
          <w:p>
            <w:pPr>
              <w:spacing w:after="100" w:before="100" w:line="259" w:lineRule="auto"/>
            </w:pPr>
            <w:r>
              <w:rPr>
                <w:b/>
                <w:color w:val="FFFFFF"/>
                <w:sz w:val="18"/>
              </w:rPr>
              <w:t>Included capacity</w:t>
            </w:r>
          </w:p>
        </w:tc>
        <w:tc>
          <w:tcPr>
            <w:tcW w:type="dxa" w:w="2556"/>
            <w:shd w:fill="172B42"/>
          </w:tcPr>
          <w:p>
            <w:pPr>
              <w:spacing w:after="100" w:before="100" w:line="259" w:lineRule="auto"/>
            </w:pPr>
            <w:r>
              <w:rPr>
                <w:b/>
                <w:color w:val="FFFFFF"/>
                <w:sz w:val="18"/>
              </w:rPr>
              <w:t>Municipal</w:t>
            </w:r>
          </w:p>
        </w:tc>
        <w:tc>
          <w:tcPr>
            <w:tcW w:type="dxa" w:w="2556"/>
            <w:shd w:fill="172B42"/>
          </w:tcPr>
          <w:p>
            <w:pPr>
              <w:spacing w:after="100" w:before="100" w:line="259" w:lineRule="auto"/>
            </w:pPr>
            <w:r>
              <w:rPr>
                <w:b/>
                <w:color w:val="FFFFFF"/>
                <w:sz w:val="18"/>
              </w:rPr>
              <w:t>City</w:t>
            </w:r>
          </w:p>
        </w:tc>
        <w:tc>
          <w:tcPr>
            <w:tcW w:type="dxa" w:w="2556"/>
            <w:shd w:fill="172B42"/>
          </w:tcPr>
          <w:p>
            <w:pPr>
              <w:spacing w:after="100" w:before="100" w:line="259" w:lineRule="auto"/>
            </w:pPr>
            <w:r>
              <w:rPr>
                <w:b/>
                <w:color w:val="FFFFFF"/>
                <w:sz w:val="18"/>
              </w:rPr>
              <w:t>Regional</w:t>
            </w:r>
          </w:p>
        </w:tc>
      </w:tr>
      <w:tr>
        <w:trPr>
          <w:cantSplit/>
        </w:trPr>
        <w:tc>
          <w:tcPr>
            <w:tcW w:type="dxa" w:w="2556"/>
          </w:tcPr>
          <w:p>
            <w:pPr>
              <w:spacing w:after="100" w:before="100" w:line="259" w:lineRule="auto"/>
            </w:pPr>
            <w:r>
              <w:rPr>
                <w:b w:val="0"/>
                <w:color w:val="243247"/>
                <w:sz w:val="18"/>
              </w:rPr>
              <w:t>Monthly software</w:t>
            </w:r>
          </w:p>
        </w:tc>
        <w:tc>
          <w:tcPr>
            <w:tcW w:type="dxa" w:w="2556"/>
          </w:tcPr>
          <w:p>
            <w:pPr>
              <w:spacing w:after="100" w:before="100" w:line="259" w:lineRule="auto"/>
            </w:pPr>
            <w:r>
              <w:rPr>
                <w:b w:val="0"/>
                <w:color w:val="243247"/>
                <w:sz w:val="18"/>
              </w:rPr>
              <w:t>2,500</w:t>
            </w:r>
          </w:p>
        </w:tc>
        <w:tc>
          <w:tcPr>
            <w:tcW w:type="dxa" w:w="2556"/>
          </w:tcPr>
          <w:p>
            <w:pPr>
              <w:spacing w:after="100" w:before="100" w:line="259" w:lineRule="auto"/>
            </w:pPr>
            <w:r>
              <w:rPr>
                <w:b w:val="0"/>
                <w:color w:val="243247"/>
                <w:sz w:val="18"/>
              </w:rPr>
              <w:t>6,500</w:t>
            </w:r>
          </w:p>
        </w:tc>
        <w:tc>
          <w:tcPr>
            <w:tcW w:type="dxa" w:w="2556"/>
          </w:tcPr>
          <w:p>
            <w:pPr>
              <w:spacing w:after="100" w:before="100" w:line="259" w:lineRule="auto"/>
            </w:pPr>
            <w:r>
              <w:rPr>
                <w:b w:val="0"/>
                <w:color w:val="243247"/>
                <w:sz w:val="18"/>
              </w:rPr>
              <w:t>15,000</w:t>
            </w:r>
          </w:p>
        </w:tc>
      </w:tr>
      <w:tr>
        <w:trPr>
          <w:cantSplit/>
        </w:trPr>
        <w:tc>
          <w:tcPr>
            <w:tcW w:type="dxa" w:w="2556"/>
            <w:shd w:fill="F3F6FA"/>
          </w:tcPr>
          <w:p>
            <w:pPr>
              <w:spacing w:after="100" w:before="100" w:line="259" w:lineRule="auto"/>
            </w:pPr>
            <w:r>
              <w:rPr>
                <w:b w:val="0"/>
                <w:color w:val="243247"/>
                <w:sz w:val="18"/>
              </w:rPr>
              <w:t>Annual software</w:t>
            </w:r>
          </w:p>
        </w:tc>
        <w:tc>
          <w:tcPr>
            <w:tcW w:type="dxa" w:w="2556"/>
            <w:shd w:fill="F3F6FA"/>
          </w:tcPr>
          <w:p>
            <w:pPr>
              <w:spacing w:after="100" w:before="100" w:line="259" w:lineRule="auto"/>
            </w:pPr>
            <w:r>
              <w:rPr>
                <w:b w:val="0"/>
                <w:color w:val="243247"/>
                <w:sz w:val="18"/>
              </w:rPr>
              <w:t>30,000</w:t>
            </w:r>
          </w:p>
        </w:tc>
        <w:tc>
          <w:tcPr>
            <w:tcW w:type="dxa" w:w="2556"/>
            <w:shd w:fill="F3F6FA"/>
          </w:tcPr>
          <w:p>
            <w:pPr>
              <w:spacing w:after="100" w:before="100" w:line="259" w:lineRule="auto"/>
            </w:pPr>
            <w:r>
              <w:rPr>
                <w:b w:val="0"/>
                <w:color w:val="243247"/>
                <w:sz w:val="18"/>
              </w:rPr>
              <w:t>78,000</w:t>
            </w:r>
          </w:p>
        </w:tc>
        <w:tc>
          <w:tcPr>
            <w:tcW w:type="dxa" w:w="2556"/>
            <w:shd w:fill="F3F6FA"/>
          </w:tcPr>
          <w:p>
            <w:pPr>
              <w:spacing w:after="100" w:before="100" w:line="259" w:lineRule="auto"/>
            </w:pPr>
            <w:r>
              <w:rPr>
                <w:b w:val="0"/>
                <w:color w:val="243247"/>
                <w:sz w:val="18"/>
              </w:rPr>
              <w:t>180,000</w:t>
            </w:r>
          </w:p>
        </w:tc>
      </w:tr>
      <w:tr>
        <w:trPr>
          <w:cantSplit/>
        </w:trPr>
        <w:tc>
          <w:tcPr>
            <w:tcW w:type="dxa" w:w="2556"/>
          </w:tcPr>
          <w:p>
            <w:pPr>
              <w:spacing w:after="100" w:before="100" w:line="259" w:lineRule="auto"/>
            </w:pPr>
            <w:r>
              <w:rPr>
                <w:b w:val="0"/>
                <w:color w:val="243247"/>
                <w:sz w:val="18"/>
              </w:rPr>
              <w:t>Managed lane-km</w:t>
            </w:r>
          </w:p>
        </w:tc>
        <w:tc>
          <w:tcPr>
            <w:tcW w:type="dxa" w:w="2556"/>
          </w:tcPr>
          <w:p>
            <w:pPr>
              <w:spacing w:after="100" w:before="100" w:line="259" w:lineRule="auto"/>
            </w:pPr>
            <w:r>
              <w:rPr>
                <w:b w:val="0"/>
                <w:color w:val="243247"/>
                <w:sz w:val="18"/>
              </w:rPr>
              <w:t>250</w:t>
            </w:r>
          </w:p>
        </w:tc>
        <w:tc>
          <w:tcPr>
            <w:tcW w:type="dxa" w:w="2556"/>
          </w:tcPr>
          <w:p>
            <w:pPr>
              <w:spacing w:after="100" w:before="100" w:line="259" w:lineRule="auto"/>
            </w:pPr>
            <w:r>
              <w:rPr>
                <w:b w:val="0"/>
                <w:color w:val="243247"/>
                <w:sz w:val="18"/>
              </w:rPr>
              <w:t>1,000</w:t>
            </w:r>
          </w:p>
        </w:tc>
        <w:tc>
          <w:tcPr>
            <w:tcW w:type="dxa" w:w="2556"/>
          </w:tcPr>
          <w:p>
            <w:pPr>
              <w:spacing w:after="100" w:before="100" w:line="259" w:lineRule="auto"/>
            </w:pPr>
            <w:r>
              <w:rPr>
                <w:b w:val="0"/>
                <w:color w:val="243247"/>
                <w:sz w:val="18"/>
              </w:rPr>
              <w:t>3,000</w:t>
            </w:r>
          </w:p>
        </w:tc>
      </w:tr>
      <w:tr>
        <w:trPr>
          <w:cantSplit/>
        </w:trPr>
        <w:tc>
          <w:tcPr>
            <w:tcW w:type="dxa" w:w="2556"/>
            <w:shd w:fill="F3F6FA"/>
          </w:tcPr>
          <w:p>
            <w:pPr>
              <w:spacing w:after="100" w:before="100" w:line="259" w:lineRule="auto"/>
            </w:pPr>
            <w:r>
              <w:rPr>
                <w:b w:val="0"/>
                <w:color w:val="243247"/>
                <w:sz w:val="18"/>
              </w:rPr>
              <w:t>Active capture devices</w:t>
            </w:r>
          </w:p>
        </w:tc>
        <w:tc>
          <w:tcPr>
            <w:tcW w:type="dxa" w:w="2556"/>
            <w:shd w:fill="F3F6FA"/>
          </w:tcPr>
          <w:p>
            <w:pPr>
              <w:spacing w:after="100" w:before="100" w:line="259" w:lineRule="auto"/>
            </w:pPr>
            <w:r>
              <w:rPr>
                <w:b w:val="0"/>
                <w:color w:val="243247"/>
                <w:sz w:val="18"/>
              </w:rPr>
              <w:t>5</w:t>
            </w:r>
          </w:p>
        </w:tc>
        <w:tc>
          <w:tcPr>
            <w:tcW w:type="dxa" w:w="2556"/>
            <w:shd w:fill="F3F6FA"/>
          </w:tcPr>
          <w:p>
            <w:pPr>
              <w:spacing w:after="100" w:before="100" w:line="259" w:lineRule="auto"/>
            </w:pPr>
            <w:r>
              <w:rPr>
                <w:b w:val="0"/>
                <w:color w:val="243247"/>
                <w:sz w:val="18"/>
              </w:rPr>
              <w:t>20</w:t>
            </w:r>
          </w:p>
        </w:tc>
        <w:tc>
          <w:tcPr>
            <w:tcW w:type="dxa" w:w="2556"/>
            <w:shd w:fill="F3F6FA"/>
          </w:tcPr>
          <w:p>
            <w:pPr>
              <w:spacing w:after="100" w:before="100" w:line="259" w:lineRule="auto"/>
            </w:pPr>
            <w:r>
              <w:rPr>
                <w:b w:val="0"/>
                <w:color w:val="243247"/>
                <w:sz w:val="18"/>
              </w:rPr>
              <w:t>60</w:t>
            </w:r>
          </w:p>
        </w:tc>
      </w:tr>
      <w:tr>
        <w:trPr>
          <w:cantSplit/>
        </w:trPr>
        <w:tc>
          <w:tcPr>
            <w:tcW w:type="dxa" w:w="2556"/>
          </w:tcPr>
          <w:p>
            <w:pPr>
              <w:spacing w:after="100" w:before="100" w:line="259" w:lineRule="auto"/>
            </w:pPr>
            <w:r>
              <w:rPr>
                <w:b w:val="0"/>
                <w:color w:val="243247"/>
                <w:sz w:val="18"/>
              </w:rPr>
              <w:t>Staff accounts</w:t>
            </w:r>
          </w:p>
        </w:tc>
        <w:tc>
          <w:tcPr>
            <w:tcW w:type="dxa" w:w="2556"/>
          </w:tcPr>
          <w:p>
            <w:pPr>
              <w:spacing w:after="100" w:before="100" w:line="259" w:lineRule="auto"/>
            </w:pPr>
            <w:r>
              <w:rPr>
                <w:b w:val="0"/>
                <w:color w:val="243247"/>
                <w:sz w:val="18"/>
              </w:rPr>
              <w:t>20</w:t>
            </w:r>
          </w:p>
        </w:tc>
        <w:tc>
          <w:tcPr>
            <w:tcW w:type="dxa" w:w="2556"/>
          </w:tcPr>
          <w:p>
            <w:pPr>
              <w:spacing w:after="100" w:before="100" w:line="259" w:lineRule="auto"/>
            </w:pPr>
            <w:r>
              <w:rPr>
                <w:b w:val="0"/>
                <w:color w:val="243247"/>
                <w:sz w:val="18"/>
              </w:rPr>
              <w:t>75</w:t>
            </w:r>
          </w:p>
        </w:tc>
        <w:tc>
          <w:tcPr>
            <w:tcW w:type="dxa" w:w="2556"/>
          </w:tcPr>
          <w:p>
            <w:pPr>
              <w:spacing w:after="100" w:before="100" w:line="259" w:lineRule="auto"/>
            </w:pPr>
            <w:r>
              <w:rPr>
                <w:b w:val="0"/>
                <w:color w:val="243247"/>
                <w:sz w:val="18"/>
              </w:rPr>
              <w:t>200</w:t>
            </w:r>
          </w:p>
        </w:tc>
      </w:tr>
      <w:tr>
        <w:trPr>
          <w:cantSplit/>
        </w:trPr>
        <w:tc>
          <w:tcPr>
            <w:tcW w:type="dxa" w:w="2556"/>
            <w:shd w:fill="F3F6FA"/>
          </w:tcPr>
          <w:p>
            <w:pPr>
              <w:spacing w:after="100" w:before="100" w:line="259" w:lineRule="auto"/>
            </w:pPr>
            <w:r>
              <w:rPr>
                <w:b w:val="0"/>
                <w:color w:val="243247"/>
                <w:sz w:val="18"/>
              </w:rPr>
              <w:t>Bundles per month</w:t>
            </w:r>
          </w:p>
        </w:tc>
        <w:tc>
          <w:tcPr>
            <w:tcW w:type="dxa" w:w="2556"/>
            <w:shd w:fill="F3F6FA"/>
          </w:tcPr>
          <w:p>
            <w:pPr>
              <w:spacing w:after="100" w:before="100" w:line="259" w:lineRule="auto"/>
            </w:pPr>
            <w:r>
              <w:rPr>
                <w:b w:val="0"/>
                <w:color w:val="243247"/>
                <w:sz w:val="18"/>
              </w:rPr>
              <w:t>50,000</w:t>
            </w:r>
          </w:p>
        </w:tc>
        <w:tc>
          <w:tcPr>
            <w:tcW w:type="dxa" w:w="2556"/>
            <w:shd w:fill="F3F6FA"/>
          </w:tcPr>
          <w:p>
            <w:pPr>
              <w:spacing w:after="100" w:before="100" w:line="259" w:lineRule="auto"/>
            </w:pPr>
            <w:r>
              <w:rPr>
                <w:b w:val="0"/>
                <w:color w:val="243247"/>
                <w:sz w:val="18"/>
              </w:rPr>
              <w:t>250,000</w:t>
            </w:r>
          </w:p>
        </w:tc>
        <w:tc>
          <w:tcPr>
            <w:tcW w:type="dxa" w:w="2556"/>
            <w:shd w:fill="F3F6FA"/>
          </w:tcPr>
          <w:p>
            <w:pPr>
              <w:spacing w:after="100" w:before="100" w:line="259" w:lineRule="auto"/>
            </w:pPr>
            <w:r>
              <w:rPr>
                <w:b w:val="0"/>
                <w:color w:val="243247"/>
                <w:sz w:val="18"/>
              </w:rPr>
              <w:t>1,000,000</w:t>
            </w:r>
          </w:p>
        </w:tc>
      </w:tr>
      <w:tr>
        <w:trPr>
          <w:cantSplit/>
        </w:trPr>
        <w:tc>
          <w:tcPr>
            <w:tcW w:type="dxa" w:w="2556"/>
          </w:tcPr>
          <w:p>
            <w:pPr>
              <w:spacing w:after="100" w:before="100" w:line="259" w:lineRule="auto"/>
            </w:pPr>
            <w:r>
              <w:rPr>
                <w:b w:val="0"/>
                <w:color w:val="243247"/>
                <w:sz w:val="18"/>
              </w:rPr>
              <w:t>Onboarding from</w:t>
            </w:r>
          </w:p>
        </w:tc>
        <w:tc>
          <w:tcPr>
            <w:tcW w:type="dxa" w:w="2556"/>
          </w:tcPr>
          <w:p>
            <w:pPr>
              <w:spacing w:after="100" w:before="100" w:line="259" w:lineRule="auto"/>
            </w:pPr>
            <w:r>
              <w:rPr>
                <w:b w:val="0"/>
                <w:color w:val="243247"/>
                <w:sz w:val="18"/>
              </w:rPr>
              <w:t>5,000</w:t>
            </w:r>
          </w:p>
        </w:tc>
        <w:tc>
          <w:tcPr>
            <w:tcW w:type="dxa" w:w="2556"/>
          </w:tcPr>
          <w:p>
            <w:pPr>
              <w:spacing w:after="100" w:before="100" w:line="259" w:lineRule="auto"/>
            </w:pPr>
            <w:r>
              <w:rPr>
                <w:b w:val="0"/>
                <w:color w:val="243247"/>
                <w:sz w:val="18"/>
              </w:rPr>
              <w:t>15,000</w:t>
            </w:r>
          </w:p>
        </w:tc>
        <w:tc>
          <w:tcPr>
            <w:tcW w:type="dxa" w:w="2556"/>
          </w:tcPr>
          <w:p>
            <w:pPr>
              <w:spacing w:after="100" w:before="100" w:line="259" w:lineRule="auto"/>
            </w:pPr>
            <w:r>
              <w:rPr>
                <w:b w:val="0"/>
                <w:color w:val="243247"/>
                <w:sz w:val="18"/>
              </w:rPr>
              <w:t>35,000</w:t>
            </w:r>
          </w:p>
        </w:tc>
      </w:tr>
    </w:tbl>
    <w:p>
      <w:pPr>
        <w:spacing w:after="20" w:line="240" w:lineRule="auto" w:before="0"/>
      </w:pPr>
      <w:r>
        <w:rPr>
          <w:sz w:val="4"/>
        </w:rPr>
      </w:r>
    </w:p>
    <w:p>
      <w:r>
        <w:t>An observation bundle is up to three redacted still images plus metadata, with a combined limit of 2 MB. Managed lane-km means road centreline length multiplied by the managed lane count; it is not vehicle kilometres travelled. Publish both definitions in the order form.</w:t>
      </w:r>
    </w:p>
    <w:p>
      <w:r>
        <w:t>All plans include role controls, investigation histories, basic warranty workflows, scoped analytics, exports and contractor accounts for assigned work. Essential security and accessibility must not be paid add-ons.</w:t>
      </w:r>
    </w:p>
    <w:p>
      <w:pPr>
        <w:pStyle w:val="Heading2"/>
      </w:pPr>
      <w:r>
        <w:t>Additional charges to validate</w:t>
      </w:r>
    </w:p>
    <w:p>
      <w:r>
        <w:t>Proposed additions: CAD 75 per active device per month, CAD 250 per additional 50,000 bundles, and CAD 1,500 per month for an additional 250 managed lane-km block. Material scale increases trigger a tier review rather than unlimited stacking. Additional integration, migration and extended support use an agreed statement of work.</w:t>
      </w:r>
    </w:p>
    <w:p>
      <w:r>
        <w:t>Hardware and connectivity are separate: budget CAD 1,450 installed per vehicle and CAD 25 per device per month for connectivity until supplier quotations establish actual cost. Hardware is customer-owned in the base offer. Unredacted video, long-term media retention, enterprise isolation and provincial-scale capacity require a separate quote.</w:t>
      </w:r>
    </w:p>
    <w:p>
      <w:r>
        <w:t>Use capped, agreed overage rules and usage alerts. Never suppress urgent reports because a volume allowance is reached. After-hours human road dispatch remains the authority's responsibility unless separately contracted.</w:t>
      </w:r>
    </w:p>
    <w:p>
      <w:pPr>
        <w:pStyle w:val="Heading1"/>
        <w:pageBreakBefore/>
      </w:pPr>
      <w:r>
        <w:t>Ninety day pilot offer</w:t>
      </w:r>
    </w:p>
    <w:p>
      <w:r>
        <w:t>Offer a CAD 18,000 pilot for one road authority, up to five vehicles and 100 managed lane-km. The pilot includes initial configuration, two teams, a bounded import of up to 20 road-work contracts, baseline evaluation and weekly review. Hardware, connectivity, unusual integrations and major record remediation are excluded. Credit CAD 6,000 against the first annual agreement when it is signed within 30 days of pilot acceptance.</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100" w:before="100" w:line="259" w:lineRule="auto"/>
            </w:pPr>
            <w:r>
              <w:rPr>
                <w:b/>
                <w:color w:val="FFFFFF"/>
                <w:sz w:val="18"/>
              </w:rPr>
              <w:t>Period</w:t>
            </w:r>
          </w:p>
        </w:tc>
        <w:tc>
          <w:tcPr>
            <w:tcW w:type="dxa" w:w="7128"/>
            <w:shd w:fill="172B42"/>
          </w:tcPr>
          <w:p>
            <w:pPr>
              <w:spacing w:after="100" w:before="100" w:line="259" w:lineRule="auto"/>
            </w:pPr>
            <w:r>
              <w:rPr>
                <w:b/>
                <w:color w:val="FFFFFF"/>
                <w:sz w:val="18"/>
              </w:rPr>
              <w:t>Work and output</w:t>
            </w:r>
          </w:p>
        </w:tc>
      </w:tr>
      <w:tr>
        <w:trPr>
          <w:cantSplit/>
        </w:trPr>
        <w:tc>
          <w:tcPr>
            <w:tcW w:type="dxa" w:w="3096"/>
          </w:tcPr>
          <w:p>
            <w:pPr>
              <w:spacing w:after="100" w:before="100" w:line="259" w:lineRule="auto"/>
            </w:pPr>
            <w:r>
              <w:rPr>
                <w:b w:val="0"/>
                <w:color w:val="243247"/>
                <w:sz w:val="18"/>
              </w:rPr>
              <w:t>Days 1 to 15</w:t>
            </w:r>
          </w:p>
        </w:tc>
        <w:tc>
          <w:tcPr>
            <w:tcW w:type="dxa" w:w="7128"/>
          </w:tcPr>
          <w:p>
            <w:pPr>
              <w:spacing w:after="100" w:before="100" w:line="259" w:lineRule="auto"/>
            </w:pPr>
            <w:r>
              <w:rPr>
                <w:b w:val="0"/>
                <w:color w:val="243247"/>
                <w:sz w:val="18"/>
              </w:rPr>
              <w:t>Confirm data authority, route coverage, fleet installation, privacy controls and baseline measures</w:t>
            </w:r>
          </w:p>
        </w:tc>
      </w:tr>
      <w:tr>
        <w:trPr>
          <w:cantSplit/>
        </w:trPr>
        <w:tc>
          <w:tcPr>
            <w:tcW w:type="dxa" w:w="3096"/>
            <w:shd w:fill="F3F6FA"/>
          </w:tcPr>
          <w:p>
            <w:pPr>
              <w:spacing w:after="100" w:before="100" w:line="259" w:lineRule="auto"/>
            </w:pPr>
            <w:r>
              <w:rPr>
                <w:b w:val="0"/>
                <w:color w:val="243247"/>
                <w:sz w:val="18"/>
              </w:rPr>
              <w:t>Days 16 to 30</w:t>
            </w:r>
          </w:p>
        </w:tc>
        <w:tc>
          <w:tcPr>
            <w:tcW w:type="dxa" w:w="7128"/>
            <w:shd w:fill="F3F6FA"/>
          </w:tcPr>
          <w:p>
            <w:pPr>
              <w:spacing w:after="100" w:before="100" w:line="259" w:lineRule="auto"/>
            </w:pPr>
            <w:r>
              <w:rPr>
                <w:b w:val="0"/>
                <w:color w:val="243247"/>
                <w:sz w:val="18"/>
              </w:rPr>
              <w:t>Run shadow detection; compare sampled observations with independent field labels</w:t>
            </w:r>
          </w:p>
        </w:tc>
      </w:tr>
      <w:tr>
        <w:trPr>
          <w:cantSplit/>
        </w:trPr>
        <w:tc>
          <w:tcPr>
            <w:tcW w:type="dxa" w:w="3096"/>
          </w:tcPr>
          <w:p>
            <w:pPr>
              <w:spacing w:after="100" w:before="100" w:line="259" w:lineRule="auto"/>
            </w:pPr>
            <w:r>
              <w:rPr>
                <w:b w:val="0"/>
                <w:color w:val="243247"/>
                <w:sz w:val="18"/>
              </w:rPr>
              <w:t>Days 31 to 60</w:t>
            </w:r>
          </w:p>
        </w:tc>
        <w:tc>
          <w:tcPr>
            <w:tcW w:type="dxa" w:w="7128"/>
          </w:tcPr>
          <w:p>
            <w:pPr>
              <w:spacing w:after="100" w:before="100" w:line="259" w:lineRule="auto"/>
            </w:pPr>
            <w:r>
              <w:rPr>
                <w:b w:val="0"/>
                <w:color w:val="243247"/>
                <w:sz w:val="18"/>
              </w:rPr>
              <w:t>Operate analyst workflow; test contract matching and reviewed contractor notices</w:t>
            </w:r>
          </w:p>
        </w:tc>
      </w:tr>
      <w:tr>
        <w:trPr>
          <w:cantSplit/>
        </w:trPr>
        <w:tc>
          <w:tcPr>
            <w:tcW w:type="dxa" w:w="3096"/>
            <w:shd w:fill="F3F6FA"/>
          </w:tcPr>
          <w:p>
            <w:pPr>
              <w:spacing w:after="100" w:before="100" w:line="259" w:lineRule="auto"/>
            </w:pPr>
            <w:r>
              <w:rPr>
                <w:b w:val="0"/>
                <w:color w:val="243247"/>
                <w:sz w:val="18"/>
              </w:rPr>
              <w:t>Days 61 to 75</w:t>
            </w:r>
          </w:p>
        </w:tc>
        <w:tc>
          <w:tcPr>
            <w:tcW w:type="dxa" w:w="7128"/>
            <w:shd w:fill="F3F6FA"/>
          </w:tcPr>
          <w:p>
            <w:pPr>
              <w:spacing w:after="100" w:before="100" w:line="259" w:lineRule="auto"/>
            </w:pPr>
            <w:r>
              <w:rPr>
                <w:b w:val="0"/>
                <w:color w:val="243247"/>
                <w:sz w:val="18"/>
              </w:rPr>
              <w:t>Revisit repaired sites; test closure, reopening, missed passes and poor visibility</w:t>
            </w:r>
          </w:p>
        </w:tc>
      </w:tr>
      <w:tr>
        <w:trPr>
          <w:cantSplit/>
        </w:trPr>
        <w:tc>
          <w:tcPr>
            <w:tcW w:type="dxa" w:w="3096"/>
          </w:tcPr>
          <w:p>
            <w:pPr>
              <w:spacing w:after="100" w:before="100" w:line="259" w:lineRule="auto"/>
            </w:pPr>
            <w:r>
              <w:rPr>
                <w:b w:val="0"/>
                <w:color w:val="243247"/>
                <w:sz w:val="18"/>
              </w:rPr>
              <w:t>Days 76 to 90</w:t>
            </w:r>
          </w:p>
        </w:tc>
        <w:tc>
          <w:tcPr>
            <w:tcW w:type="dxa" w:w="7128"/>
          </w:tcPr>
          <w:p>
            <w:pPr>
              <w:spacing w:after="100" w:before="100" w:line="259" w:lineRule="auto"/>
            </w:pPr>
            <w:r>
              <w:rPr>
                <w:b w:val="0"/>
                <w:color w:val="243247"/>
                <w:sz w:val="18"/>
              </w:rPr>
              <w:t>Report measured results, total operating cost, exceptions and rollout decision</w:t>
            </w:r>
          </w:p>
        </w:tc>
      </w:tr>
    </w:tbl>
    <w:p>
      <w:pPr>
        <w:spacing w:after="20" w:line="240" w:lineRule="auto" w:before="0"/>
      </w:pPr>
      <w:r>
        <w:rPr>
          <w:sz w:val="4"/>
        </w:rPr>
      </w:r>
    </w:p>
    <w:p>
      <w:pPr>
        <w:pStyle w:val="Heading2"/>
      </w:pPr>
      <w:r>
        <w:t>Proposed acceptance gates</w:t>
      </w:r>
    </w:p>
    <w:p>
      <w:pPr>
        <w:pStyle w:val="ListBullet"/>
      </w:pPr>
      <w:r>
        <w:t>A reviewed test set of at least 300 independently labelled candidate defects and a sample of negative road segments, spread across relevant routes and conditions. Expand the sample when confidence intervals remain too wide.</w:t>
      </w:r>
    </w:p>
    <w:p>
      <w:pPr>
        <w:pStyle w:val="ListBullet"/>
      </w:pPr>
      <w:r>
        <w:t>Target at least 90 percent precision on accepted pothole candidates and 85 percent recall on the agreed visible-defect test scope. These are proposed pilot targets, not product claims. Report results by weather and lighting.</w:t>
      </w:r>
    </w:p>
    <w:p>
      <w:pPr>
        <w:pStyle w:val="ListBullet"/>
      </w:pPr>
      <w:r>
        <w:t>Target 95th-percentile location error of 5 metres or better on surveyed reference points in suitable conditions. Flag poor fixes and ambiguous lane attribution.</w:t>
      </w:r>
    </w:p>
    <w:p>
      <w:pPr>
        <w:pStyle w:val="ListBullet"/>
      </w:pPr>
      <w:r>
        <w:t>At least 95 percent correct contract candidates on a reviewed sample of known covered and uncovered work scopes. No automated dispatch on ambiguous responsibility.</w:t>
      </w:r>
    </w:p>
    <w:p>
      <w:pPr>
        <w:pStyle w:val="ListBullet"/>
      </w:pPr>
      <w:r>
        <w:t>Every repair closure has an eligible repeat observation or documented field inspection. No closure solely because a detector returned no box.</w:t>
      </w:r>
    </w:p>
    <w:p>
      <w:r>
        <w:t>Do not declare the pilot successful from a high detection count. Include missed hazards, false alerts, review minutes, duplicate suppression errors and unobserved roads. Poor weather may require an additional seasonal validation rather than a premature launch.</w:t>
      </w:r>
    </w:p>
    <w:p>
      <w:pPr>
        <w:pStyle w:val="Heading1"/>
        <w:pageBreakBefore/>
      </w:pPr>
      <w:r>
        <w:t>Government sales and procurement</w:t>
      </w:r>
    </w:p>
    <w:p>
      <w:pPr>
        <w:pStyle w:val="Heading2"/>
      </w:pPr>
      <w:r>
        <w:t>Sales process</w:t>
      </w:r>
    </w:p>
    <w:p>
      <w:r>
        <w:t>Build a 30-account prospect list and interview 10 to 15 road-operation teams before expanding the product. Ask for anonymized samples of defect reports, warranty clauses, road-work drawings and current service-level rules. Confirm the real budget holder and route to purchase.</w:t>
      </w:r>
    </w:p>
    <w:p>
      <w:r>
        <w:t>A practical funnel target for year one is 30 qualified accounts, 12 discovery meetings, 6 scoped proposals, 4 paid pilots and 4 subscription starts. Pilot conversions and direct sales may overlap; the financial model is an illustrative annual cohort, not a promised conversion rate. A subscription start may occur after the 90-day pilot.</w:t>
      </w:r>
    </w:p>
    <w:p>
      <w:r>
        <w:t>Allow a planning sales cycle of six to twelve months for a new government buyer, with substantial variation. A pilot must follow the buyer's actual procurement rules. Do not assume a price below a particular threshold permits a direct award.</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100" w:before="100" w:line="259" w:lineRule="auto"/>
            </w:pPr>
            <w:r>
              <w:rPr>
                <w:b/>
                <w:color w:val="FFFFFF"/>
                <w:sz w:val="18"/>
              </w:rPr>
              <w:t>Procurement question</w:t>
            </w:r>
          </w:p>
        </w:tc>
        <w:tc>
          <w:tcPr>
            <w:tcW w:type="dxa" w:w="7128"/>
            <w:shd w:fill="172B42"/>
          </w:tcPr>
          <w:p>
            <w:pPr>
              <w:spacing w:after="100" w:before="100" w:line="259" w:lineRule="auto"/>
            </w:pPr>
            <w:r>
              <w:rPr>
                <w:b/>
                <w:color w:val="FFFFFF"/>
                <w:sz w:val="18"/>
              </w:rPr>
              <w:t>Evidence to prepare</w:t>
            </w:r>
          </w:p>
        </w:tc>
      </w:tr>
      <w:tr>
        <w:trPr>
          <w:cantSplit/>
        </w:trPr>
        <w:tc>
          <w:tcPr>
            <w:tcW w:type="dxa" w:w="3096"/>
          </w:tcPr>
          <w:p>
            <w:pPr>
              <w:spacing w:after="100" w:before="100" w:line="259" w:lineRule="auto"/>
            </w:pPr>
            <w:r>
              <w:rPr>
                <w:b w:val="0"/>
                <w:color w:val="243247"/>
                <w:sz w:val="18"/>
              </w:rPr>
              <w:t>Does it solve an operational need?</w:t>
            </w:r>
          </w:p>
        </w:tc>
        <w:tc>
          <w:tcPr>
            <w:tcW w:type="dxa" w:w="7128"/>
          </w:tcPr>
          <w:p>
            <w:pPr>
              <w:spacing w:after="100" w:before="100" w:line="259" w:lineRule="auto"/>
            </w:pPr>
            <w:r>
              <w:rPr>
                <w:b w:val="0"/>
                <w:color w:val="243247"/>
                <w:sz w:val="18"/>
              </w:rPr>
              <w:t>Workflow demonstration, agreed baseline and acceptance protocol</w:t>
            </w:r>
          </w:p>
        </w:tc>
      </w:tr>
      <w:tr>
        <w:trPr>
          <w:cantSplit/>
        </w:trPr>
        <w:tc>
          <w:tcPr>
            <w:tcW w:type="dxa" w:w="3096"/>
            <w:shd w:fill="F3F6FA"/>
          </w:tcPr>
          <w:p>
            <w:pPr>
              <w:spacing w:after="100" w:before="100" w:line="259" w:lineRule="auto"/>
            </w:pPr>
            <w:r>
              <w:rPr>
                <w:b w:val="0"/>
                <w:color w:val="243247"/>
                <w:sz w:val="18"/>
              </w:rPr>
              <w:t>Can our data be protected?</w:t>
            </w:r>
          </w:p>
        </w:tc>
        <w:tc>
          <w:tcPr>
            <w:tcW w:type="dxa" w:w="7128"/>
            <w:shd w:fill="F3F6FA"/>
          </w:tcPr>
          <w:p>
            <w:pPr>
              <w:spacing w:after="100" w:before="100" w:line="259" w:lineRule="auto"/>
            </w:pPr>
            <w:r>
              <w:rPr>
                <w:b w:val="0"/>
                <w:color w:val="243247"/>
                <w:sz w:val="18"/>
              </w:rPr>
              <w:t>Data flow, privacy assessment support, retention schedule, incident process</w:t>
            </w:r>
          </w:p>
        </w:tc>
      </w:tr>
      <w:tr>
        <w:trPr>
          <w:cantSplit/>
        </w:trPr>
        <w:tc>
          <w:tcPr>
            <w:tcW w:type="dxa" w:w="3096"/>
          </w:tcPr>
          <w:p>
            <w:pPr>
              <w:spacing w:after="100" w:before="100" w:line="259" w:lineRule="auto"/>
            </w:pPr>
            <w:r>
              <w:rPr>
                <w:b w:val="0"/>
                <w:color w:val="243247"/>
                <w:sz w:val="18"/>
              </w:rPr>
              <w:t>Will it integrate?</w:t>
            </w:r>
          </w:p>
        </w:tc>
        <w:tc>
          <w:tcPr>
            <w:tcW w:type="dxa" w:w="7128"/>
          </w:tcPr>
          <w:p>
            <w:pPr>
              <w:spacing w:after="100" w:before="100" w:line="259" w:lineRule="auto"/>
            </w:pPr>
            <w:r>
              <w:rPr>
                <w:b w:val="0"/>
                <w:color w:val="243247"/>
                <w:sz w:val="18"/>
              </w:rPr>
              <w:t>Documented APIs, export sample, GIS identifiers and work-order reconciliation</w:t>
            </w:r>
          </w:p>
        </w:tc>
      </w:tr>
      <w:tr>
        <w:trPr>
          <w:cantSplit/>
        </w:trPr>
        <w:tc>
          <w:tcPr>
            <w:tcW w:type="dxa" w:w="3096"/>
            <w:shd w:fill="F3F6FA"/>
          </w:tcPr>
          <w:p>
            <w:pPr>
              <w:spacing w:after="100" w:before="100" w:line="259" w:lineRule="auto"/>
            </w:pPr>
            <w:r>
              <w:rPr>
                <w:b w:val="0"/>
                <w:color w:val="243247"/>
                <w:sz w:val="18"/>
              </w:rPr>
              <w:t>Can we exit?</w:t>
            </w:r>
          </w:p>
        </w:tc>
        <w:tc>
          <w:tcPr>
            <w:tcW w:type="dxa" w:w="7128"/>
            <w:shd w:fill="F3F6FA"/>
          </w:tcPr>
          <w:p>
            <w:pPr>
              <w:spacing w:after="100" w:before="100" w:line="259" w:lineRule="auto"/>
            </w:pPr>
            <w:r>
              <w:rPr>
                <w:b w:val="0"/>
                <w:color w:val="243247"/>
                <w:sz w:val="18"/>
              </w:rPr>
              <w:t>Customer-owned data, usable export, deletion and transition commitments</w:t>
            </w:r>
          </w:p>
        </w:tc>
      </w:tr>
      <w:tr>
        <w:trPr>
          <w:cantSplit/>
        </w:trPr>
        <w:tc>
          <w:tcPr>
            <w:tcW w:type="dxa" w:w="3096"/>
          </w:tcPr>
          <w:p>
            <w:pPr>
              <w:spacing w:after="100" w:before="100" w:line="259" w:lineRule="auto"/>
            </w:pPr>
            <w:r>
              <w:rPr>
                <w:b w:val="0"/>
                <w:color w:val="243247"/>
                <w:sz w:val="18"/>
              </w:rPr>
              <w:t>What are the true costs?</w:t>
            </w:r>
          </w:p>
        </w:tc>
        <w:tc>
          <w:tcPr>
            <w:tcW w:type="dxa" w:w="7128"/>
          </w:tcPr>
          <w:p>
            <w:pPr>
              <w:spacing w:after="100" w:before="100" w:line="259" w:lineRule="auto"/>
            </w:pPr>
            <w:r>
              <w:rPr>
                <w:b w:val="0"/>
                <w:color w:val="243247"/>
                <w:sz w:val="18"/>
              </w:rPr>
              <w:t>Software limits, hardware, install, cellular, training, migration and support</w:t>
            </w:r>
          </w:p>
        </w:tc>
      </w:tr>
      <w:tr>
        <w:trPr>
          <w:cantSplit/>
        </w:trPr>
        <w:tc>
          <w:tcPr>
            <w:tcW w:type="dxa" w:w="3096"/>
            <w:shd w:fill="F3F6FA"/>
          </w:tcPr>
          <w:p>
            <w:pPr>
              <w:spacing w:after="100" w:before="100" w:line="259" w:lineRule="auto"/>
            </w:pPr>
            <w:r>
              <w:rPr>
                <w:b w:val="0"/>
                <w:color w:val="243247"/>
                <w:sz w:val="18"/>
              </w:rPr>
              <w:t>Can staff use it?</w:t>
            </w:r>
          </w:p>
        </w:tc>
        <w:tc>
          <w:tcPr>
            <w:tcW w:type="dxa" w:w="7128"/>
            <w:shd w:fill="F3F6FA"/>
          </w:tcPr>
          <w:p>
            <w:pPr>
              <w:spacing w:after="100" w:before="100" w:line="259" w:lineRule="auto"/>
            </w:pPr>
            <w:r>
              <w:rPr>
                <w:b w:val="0"/>
                <w:color w:val="243247"/>
                <w:sz w:val="18"/>
              </w:rPr>
              <w:t>Accessible interface, training, operating guide and accountable support</w:t>
            </w:r>
          </w:p>
        </w:tc>
      </w:tr>
    </w:tbl>
    <w:p>
      <w:pPr>
        <w:spacing w:after="20" w:line="240" w:lineRule="auto" w:before="0"/>
      </w:pPr>
      <w:r>
        <w:rPr>
          <w:sz w:val="4"/>
        </w:rPr>
      </w:r>
    </w:p>
    <w:p>
      <w:pPr>
        <w:pStyle w:val="Heading2"/>
      </w:pPr>
      <w:r>
        <w:t>Contract package</w:t>
      </w:r>
    </w:p>
    <w:p>
      <w:r>
        <w:t>Prepare a master service agreement, order form, data-processing terms, statement of work and support schedule. Specify customer data ownership, permitted processing, subprocessors, hosting regions, intellectual property, incident notices, insurance, liability allocation and termination assistance. Have counsel adapt these to the buyer and province.</w:t>
      </w:r>
    </w:p>
    <w:p>
      <w:r>
        <w:t>Do not promise a Canadian-only deployment merely because a cloud provider offers a Canadian region. The design must also cover backups, telemetry, support access, external services and subcontractors.</w:t>
      </w:r>
    </w:p>
    <w:p>
      <w:pPr>
        <w:pStyle w:val="Heading1"/>
        <w:pageBreakBefore/>
      </w:pPr>
      <w:r>
        <w:t>Delivery operations and staffing</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100" w:before="100" w:line="259" w:lineRule="auto"/>
            </w:pPr>
            <w:r>
              <w:rPr>
                <w:b/>
                <w:color w:val="FFFFFF"/>
                <w:sz w:val="18"/>
              </w:rPr>
              <w:t>Function</w:t>
            </w:r>
          </w:p>
        </w:tc>
        <w:tc>
          <w:tcPr>
            <w:tcW w:type="dxa" w:w="3600"/>
            <w:shd w:fill="172B42"/>
          </w:tcPr>
          <w:p>
            <w:pPr>
              <w:spacing w:after="100" w:before="100" w:line="259" w:lineRule="auto"/>
            </w:pPr>
            <w:r>
              <w:rPr>
                <w:b/>
                <w:color w:val="FFFFFF"/>
                <w:sz w:val="18"/>
              </w:rPr>
              <w:t>Early responsibility</w:t>
            </w:r>
          </w:p>
        </w:tc>
        <w:tc>
          <w:tcPr>
            <w:tcW w:type="dxa" w:w="4320"/>
            <w:shd w:fill="172B42"/>
          </w:tcPr>
          <w:p>
            <w:pPr>
              <w:spacing w:after="100" w:before="100" w:line="259" w:lineRule="auto"/>
            </w:pPr>
            <w:r>
              <w:rPr>
                <w:b/>
                <w:color w:val="FFFFFF"/>
                <w:sz w:val="18"/>
              </w:rPr>
              <w:t>Scaling trigger</w:t>
            </w:r>
          </w:p>
        </w:tc>
      </w:tr>
      <w:tr>
        <w:trPr>
          <w:cantSplit/>
        </w:trPr>
        <w:tc>
          <w:tcPr>
            <w:tcW w:type="dxa" w:w="2304"/>
          </w:tcPr>
          <w:p>
            <w:pPr>
              <w:spacing w:after="100" w:before="100" w:line="259" w:lineRule="auto"/>
            </w:pPr>
            <w:r>
              <w:rPr>
                <w:b w:val="0"/>
                <w:color w:val="243247"/>
                <w:sz w:val="18"/>
              </w:rPr>
              <w:t>Product and platform lead</w:t>
            </w:r>
          </w:p>
        </w:tc>
        <w:tc>
          <w:tcPr>
            <w:tcW w:type="dxa" w:w="3600"/>
          </w:tcPr>
          <w:p>
            <w:pPr>
              <w:spacing w:after="100" w:before="100" w:line="259" w:lineRule="auto"/>
            </w:pPr>
            <w:r>
              <w:rPr>
                <w:b w:val="0"/>
                <w:color w:val="243247"/>
                <w:sz w:val="18"/>
              </w:rPr>
              <w:t>Workflow, security boundaries and municipal requirements</w:t>
            </w:r>
          </w:p>
        </w:tc>
        <w:tc>
          <w:tcPr>
            <w:tcW w:type="dxa" w:w="4320"/>
          </w:tcPr>
          <w:p>
            <w:pPr>
              <w:spacing w:after="100" w:before="100" w:line="259" w:lineRule="auto"/>
            </w:pPr>
            <w:r>
              <w:rPr>
                <w:b w:val="0"/>
                <w:color w:val="243247"/>
                <w:sz w:val="18"/>
              </w:rPr>
              <w:t>Separate product owner and technical lead after repeatable sales</w:t>
            </w:r>
          </w:p>
        </w:tc>
      </w:tr>
      <w:tr>
        <w:trPr>
          <w:cantSplit/>
        </w:trPr>
        <w:tc>
          <w:tcPr>
            <w:tcW w:type="dxa" w:w="2304"/>
            <w:shd w:fill="F3F6FA"/>
          </w:tcPr>
          <w:p>
            <w:pPr>
              <w:spacing w:after="100" w:before="100" w:line="259" w:lineRule="auto"/>
            </w:pPr>
            <w:r>
              <w:rPr>
                <w:b w:val="0"/>
                <w:color w:val="243247"/>
                <w:sz w:val="18"/>
              </w:rPr>
              <w:t>Full-stack engineering</w:t>
            </w:r>
          </w:p>
        </w:tc>
        <w:tc>
          <w:tcPr>
            <w:tcW w:type="dxa" w:w="3600"/>
            <w:shd w:fill="F3F6FA"/>
          </w:tcPr>
          <w:p>
            <w:pPr>
              <w:spacing w:after="100" w:before="100" w:line="259" w:lineRule="auto"/>
            </w:pPr>
            <w:r>
              <w:rPr>
                <w:b w:val="0"/>
                <w:color w:val="243247"/>
                <w:sz w:val="18"/>
              </w:rPr>
              <w:t>Web, mobile work queues, APIs and integrations</w:t>
            </w:r>
          </w:p>
        </w:tc>
        <w:tc>
          <w:tcPr>
            <w:tcW w:type="dxa" w:w="4320"/>
            <w:shd w:fill="F3F6FA"/>
          </w:tcPr>
          <w:p>
            <w:pPr>
              <w:spacing w:after="100" w:before="100" w:line="259" w:lineRule="auto"/>
            </w:pPr>
            <w:r>
              <w:rPr>
                <w:b w:val="0"/>
                <w:color w:val="243247"/>
                <w:sz w:val="18"/>
              </w:rPr>
              <w:t>More independent integrations and customer configurations</w:t>
            </w:r>
          </w:p>
        </w:tc>
      </w:tr>
      <w:tr>
        <w:trPr>
          <w:cantSplit/>
        </w:trPr>
        <w:tc>
          <w:tcPr>
            <w:tcW w:type="dxa" w:w="2304"/>
          </w:tcPr>
          <w:p>
            <w:pPr>
              <w:spacing w:after="100" w:before="100" w:line="259" w:lineRule="auto"/>
            </w:pPr>
            <w:r>
              <w:rPr>
                <w:b w:val="0"/>
                <w:color w:val="243247"/>
                <w:sz w:val="18"/>
              </w:rPr>
              <w:t>Computer vision and data</w:t>
            </w:r>
          </w:p>
        </w:tc>
        <w:tc>
          <w:tcPr>
            <w:tcW w:type="dxa" w:w="3600"/>
          </w:tcPr>
          <w:p>
            <w:pPr>
              <w:spacing w:after="100" w:before="100" w:line="259" w:lineRule="auto"/>
            </w:pPr>
            <w:r>
              <w:rPr>
                <w:b w:val="0"/>
                <w:color w:val="243247"/>
                <w:sz w:val="18"/>
              </w:rPr>
              <w:t>Training data, model evaluation, drift and false-negative analysis</w:t>
            </w:r>
          </w:p>
        </w:tc>
        <w:tc>
          <w:tcPr>
            <w:tcW w:type="dxa" w:w="4320"/>
          </w:tcPr>
          <w:p>
            <w:pPr>
              <w:spacing w:after="100" w:before="100" w:line="259" w:lineRule="auto"/>
            </w:pPr>
            <w:r>
              <w:rPr>
                <w:b w:val="0"/>
                <w:color w:val="243247"/>
                <w:sz w:val="18"/>
              </w:rPr>
              <w:t>Multiple fleets, climates or damage classes</w:t>
            </w:r>
          </w:p>
        </w:tc>
      </w:tr>
      <w:tr>
        <w:trPr>
          <w:cantSplit/>
        </w:trPr>
        <w:tc>
          <w:tcPr>
            <w:tcW w:type="dxa" w:w="2304"/>
            <w:shd w:fill="F3F6FA"/>
          </w:tcPr>
          <w:p>
            <w:pPr>
              <w:spacing w:after="100" w:before="100" w:line="259" w:lineRule="auto"/>
            </w:pPr>
            <w:r>
              <w:rPr>
                <w:b w:val="0"/>
                <w:color w:val="243247"/>
                <w:sz w:val="18"/>
              </w:rPr>
              <w:t>Field and customer operations</w:t>
            </w:r>
          </w:p>
        </w:tc>
        <w:tc>
          <w:tcPr>
            <w:tcW w:type="dxa" w:w="3600"/>
            <w:shd w:fill="F3F6FA"/>
          </w:tcPr>
          <w:p>
            <w:pPr>
              <w:spacing w:after="100" w:before="100" w:line="259" w:lineRule="auto"/>
            </w:pPr>
            <w:r>
              <w:rPr>
                <w:b w:val="0"/>
                <w:color w:val="243247"/>
                <w:sz w:val="18"/>
              </w:rPr>
              <w:t>Installation, data import, training and issue resolution</w:t>
            </w:r>
          </w:p>
        </w:tc>
        <w:tc>
          <w:tcPr>
            <w:tcW w:type="dxa" w:w="4320"/>
            <w:shd w:fill="F3F6FA"/>
          </w:tcPr>
          <w:p>
            <w:pPr>
              <w:spacing w:after="100" w:before="100" w:line="259" w:lineRule="auto"/>
            </w:pPr>
            <w:r>
              <w:rPr>
                <w:b w:val="0"/>
                <w:color w:val="243247"/>
                <w:sz w:val="18"/>
              </w:rPr>
              <w:t>More simultaneous pilots and geographic travel</w:t>
            </w:r>
          </w:p>
        </w:tc>
      </w:tr>
      <w:tr>
        <w:trPr>
          <w:cantSplit/>
        </w:trPr>
        <w:tc>
          <w:tcPr>
            <w:tcW w:type="dxa" w:w="2304"/>
          </w:tcPr>
          <w:p>
            <w:pPr>
              <w:spacing w:after="100" w:before="100" w:line="259" w:lineRule="auto"/>
            </w:pPr>
            <w:r>
              <w:rPr>
                <w:b w:val="0"/>
                <w:color w:val="243247"/>
                <w:sz w:val="18"/>
              </w:rPr>
              <w:t>Specialists</w:t>
            </w:r>
          </w:p>
        </w:tc>
        <w:tc>
          <w:tcPr>
            <w:tcW w:type="dxa" w:w="3600"/>
          </w:tcPr>
          <w:p>
            <w:pPr>
              <w:spacing w:after="100" w:before="100" w:line="259" w:lineRule="auto"/>
            </w:pPr>
            <w:r>
              <w:rPr>
                <w:b w:val="0"/>
                <w:color w:val="243247"/>
                <w:sz w:val="18"/>
              </w:rPr>
              <w:t>Privacy counsel, procurement, accessibility and penetration testing</w:t>
            </w:r>
          </w:p>
        </w:tc>
        <w:tc>
          <w:tcPr>
            <w:tcW w:type="dxa" w:w="4320"/>
          </w:tcPr>
          <w:p>
            <w:pPr>
              <w:spacing w:after="100" w:before="100" w:line="259" w:lineRule="auto"/>
            </w:pPr>
            <w:r>
              <w:rPr>
                <w:b w:val="0"/>
                <w:color w:val="243247"/>
                <w:sz w:val="18"/>
              </w:rPr>
              <w:t>Retained expertise before production acceptance</w:t>
            </w:r>
          </w:p>
        </w:tc>
      </w:tr>
    </w:tbl>
    <w:p>
      <w:pPr>
        <w:spacing w:after="20" w:line="240" w:lineRule="auto" w:before="0"/>
      </w:pPr>
      <w:r>
        <w:rPr>
          <w:sz w:val="4"/>
        </w:rPr>
      </w:r>
    </w:p>
    <w:p>
      <w:r>
        <w:t>The base financial model allocates loaded payroll of CAD 480,000 in 2027, 660,000 in 2028 and 900,000 in 2029. This is an editable cost envelope. Do not infer a fully staffed national operation from those amounts. Contract specialists and vendor services are included in other operating and launch expense assumptions.</w:t>
      </w:r>
    </w:p>
    <w:p>
      <w:r>
        <w:t>Use an installation checklist with safe mounting, power, calibration, privacy configuration, connectivity and device attestation. Fleet staff need a short daily check, an offline procedure and a replacement route for failed units. Drivers must not operate the reporting interface while moving.</w:t>
      </w:r>
    </w:p>
    <w:p>
      <w:r>
        <w:t>Customer onboarding requires a road network with stable segment IDs, authoritative ownership, repair scopes, warranty start and end rules, contractor contacts and escalation rules. Data cleanup is a separate workstream with named municipal owners.</w:t>
      </w:r>
    </w:p>
    <w:p>
      <w:pPr>
        <w:pStyle w:val="Heading2"/>
      </w:pPr>
      <w:r>
        <w:t>Operating cadence</w:t>
      </w:r>
    </w:p>
    <w:p>
      <w:pPr>
        <w:pStyle w:val="ListBullet"/>
      </w:pPr>
      <w:r>
        <w:t>Daily: review urgent queues, stale devices, upload failures, unassigned cases and overdue safety actions.</w:t>
      </w:r>
    </w:p>
    <w:p>
      <w:pPr>
        <w:pStyle w:val="ListBullet"/>
      </w:pPr>
      <w:r>
        <w:t>Weekly: review false alerts, missed coverage, ambiguous warranties, disputed notices and repair verification backlog.</w:t>
      </w:r>
    </w:p>
    <w:p>
      <w:pPr>
        <w:pStyle w:val="ListBullet"/>
      </w:pPr>
      <w:r>
        <w:t>Monthly: review customer usage, support demand, retention, cost per observation and permission changes.</w:t>
      </w:r>
    </w:p>
    <w:p>
      <w:pPr>
        <w:pStyle w:val="ListBullet"/>
      </w:pPr>
      <w:r>
        <w:t>Quarterly: test restore procedures, review model performance by condition and prove data export and deletion handling.</w:t>
      </w:r>
    </w:p>
    <w:p>
      <w:r>
        <w:t>Do not charge by the number of defects reported. A ticket-based fee can discourage accurate reporting and creates a poor incentive for a safety service.</w:t>
      </w:r>
    </w:p>
    <w:p>
      <w:pPr>
        <w:pStyle w:val="Heading1"/>
        <w:pageBreakBefore/>
      </w:pPr>
      <w:r>
        <w:t>Financial outlook and funding</w:t>
      </w:r>
    </w:p>
    <w:p>
      <w:r>
        <w:t>The workbook contains an editable base and downside case for 2027 to 2029. Revenue combines subscriptions, paid pilots and onboarding, less migration credits. Customer additions are assumed to occur evenly through each year. Hardware resale and financing are excluded.</w:t>
      </w:r>
    </w:p>
    <w:tbl>
      <w:tblPr>
        <w:tblW w:type="auto" w:w="0"/>
        <w:tblLayout w:type="fixed"/>
        <w:tblLook w:firstColumn="1" w:firstRow="1" w:lastColumn="0" w:lastRow="0" w:noHBand="0" w:noVBand="1" w:val="04A0"/>
      </w:tblPr>
      <w:tblGrid>
        <w:gridCol w:w="2556"/>
        <w:gridCol w:w="2556"/>
        <w:gridCol w:w="2556"/>
        <w:gridCol w:w="2556"/>
      </w:tblGrid>
      <w:tr>
        <w:trPr>
          <w:tblHeader/>
          <w:cantSplit/>
        </w:trPr>
        <w:tc>
          <w:tcPr>
            <w:tcW w:type="dxa" w:w="2556"/>
            <w:shd w:fill="172B42"/>
          </w:tcPr>
          <w:p>
            <w:pPr>
              <w:spacing w:after="100" w:before="100" w:line="259" w:lineRule="auto"/>
            </w:pPr>
            <w:r>
              <w:rPr>
                <w:b/>
                <w:color w:val="FFFFFF"/>
                <w:sz w:val="18"/>
              </w:rPr>
              <w:t>Base case CAD</w:t>
            </w:r>
          </w:p>
        </w:tc>
        <w:tc>
          <w:tcPr>
            <w:tcW w:type="dxa" w:w="2556"/>
            <w:shd w:fill="172B42"/>
          </w:tcPr>
          <w:p>
            <w:pPr>
              <w:spacing w:after="100" w:before="100" w:line="259" w:lineRule="auto"/>
            </w:pPr>
            <w:r>
              <w:rPr>
                <w:b/>
                <w:color w:val="FFFFFF"/>
                <w:sz w:val="18"/>
              </w:rPr>
              <w:t>2027</w:t>
            </w:r>
          </w:p>
        </w:tc>
        <w:tc>
          <w:tcPr>
            <w:tcW w:type="dxa" w:w="2556"/>
            <w:shd w:fill="172B42"/>
          </w:tcPr>
          <w:p>
            <w:pPr>
              <w:spacing w:after="100" w:before="100" w:line="259" w:lineRule="auto"/>
            </w:pPr>
            <w:r>
              <w:rPr>
                <w:b/>
                <w:color w:val="FFFFFF"/>
                <w:sz w:val="18"/>
              </w:rPr>
              <w:t>2028</w:t>
            </w:r>
          </w:p>
        </w:tc>
        <w:tc>
          <w:tcPr>
            <w:tcW w:type="dxa" w:w="2556"/>
            <w:shd w:fill="172B42"/>
          </w:tcPr>
          <w:p>
            <w:pPr>
              <w:spacing w:after="100" w:before="100" w:line="259" w:lineRule="auto"/>
            </w:pPr>
            <w:r>
              <w:rPr>
                <w:b/>
                <w:color w:val="FFFFFF"/>
                <w:sz w:val="18"/>
              </w:rPr>
              <w:t>2029</w:t>
            </w:r>
          </w:p>
        </w:tc>
      </w:tr>
      <w:tr>
        <w:trPr>
          <w:cantSplit/>
        </w:trPr>
        <w:tc>
          <w:tcPr>
            <w:tcW w:type="dxa" w:w="2556"/>
          </w:tcPr>
          <w:p>
            <w:pPr>
              <w:spacing w:after="100" w:before="100" w:line="259" w:lineRule="auto"/>
            </w:pPr>
            <w:r>
              <w:rPr>
                <w:b w:val="0"/>
                <w:color w:val="243247"/>
                <w:sz w:val="18"/>
              </w:rPr>
              <w:t>Ending subscribers</w:t>
            </w:r>
          </w:p>
        </w:tc>
        <w:tc>
          <w:tcPr>
            <w:tcW w:type="dxa" w:w="2556"/>
          </w:tcPr>
          <w:p>
            <w:pPr>
              <w:spacing w:after="100" w:before="100" w:line="259" w:lineRule="auto"/>
            </w:pPr>
            <w:r>
              <w:rPr>
                <w:b w:val="0"/>
                <w:color w:val="243247"/>
                <w:sz w:val="18"/>
              </w:rPr>
              <w:t>4</w:t>
            </w:r>
          </w:p>
        </w:tc>
        <w:tc>
          <w:tcPr>
            <w:tcW w:type="dxa" w:w="2556"/>
          </w:tcPr>
          <w:p>
            <w:pPr>
              <w:spacing w:after="100" w:before="100" w:line="259" w:lineRule="auto"/>
            </w:pPr>
            <w:r>
              <w:rPr>
                <w:b w:val="0"/>
                <w:color w:val="243247"/>
                <w:sz w:val="18"/>
              </w:rPr>
              <w:t>13</w:t>
            </w:r>
          </w:p>
        </w:tc>
        <w:tc>
          <w:tcPr>
            <w:tcW w:type="dxa" w:w="2556"/>
          </w:tcPr>
          <w:p>
            <w:pPr>
              <w:spacing w:after="100" w:before="100" w:line="259" w:lineRule="auto"/>
            </w:pPr>
            <w:r>
              <w:rPr>
                <w:b w:val="0"/>
                <w:color w:val="243247"/>
                <w:sz w:val="18"/>
              </w:rPr>
              <w:t>31</w:t>
            </w:r>
          </w:p>
        </w:tc>
      </w:tr>
      <w:tr>
        <w:trPr>
          <w:cantSplit/>
        </w:trPr>
        <w:tc>
          <w:tcPr>
            <w:tcW w:type="dxa" w:w="2556"/>
            <w:shd w:fill="F3F6FA"/>
          </w:tcPr>
          <w:p>
            <w:pPr>
              <w:spacing w:after="100" w:before="100" w:line="259" w:lineRule="auto"/>
            </w:pPr>
            <w:r>
              <w:rPr>
                <w:b w:val="0"/>
                <w:color w:val="243247"/>
                <w:sz w:val="18"/>
              </w:rPr>
              <w:t>Recognized revenue</w:t>
            </w:r>
          </w:p>
        </w:tc>
        <w:tc>
          <w:tcPr>
            <w:tcW w:type="dxa" w:w="2556"/>
            <w:shd w:fill="F3F6FA"/>
          </w:tcPr>
          <w:p>
            <w:pPr>
              <w:spacing w:after="100" w:before="100" w:line="259" w:lineRule="auto"/>
            </w:pPr>
            <w:r>
              <w:rPr>
                <w:b w:val="0"/>
                <w:color w:val="243247"/>
                <w:sz w:val="18"/>
              </w:rPr>
              <w:t>204,000</w:t>
            </w:r>
          </w:p>
        </w:tc>
        <w:tc>
          <w:tcPr>
            <w:tcW w:type="dxa" w:w="2556"/>
            <w:shd w:fill="F3F6FA"/>
          </w:tcPr>
          <w:p>
            <w:pPr>
              <w:spacing w:after="100" w:before="100" w:line="259" w:lineRule="auto"/>
            </w:pPr>
            <w:r>
              <w:rPr>
                <w:b w:val="0"/>
                <w:color w:val="243247"/>
                <w:sz w:val="18"/>
              </w:rPr>
              <w:t>714,000</w:t>
            </w:r>
          </w:p>
        </w:tc>
        <w:tc>
          <w:tcPr>
            <w:tcW w:type="dxa" w:w="2556"/>
            <w:shd w:fill="F3F6FA"/>
          </w:tcPr>
          <w:p>
            <w:pPr>
              <w:spacing w:after="100" w:before="100" w:line="259" w:lineRule="auto"/>
            </w:pPr>
            <w:r>
              <w:rPr>
                <w:b w:val="0"/>
                <w:color w:val="243247"/>
                <w:sz w:val="18"/>
              </w:rPr>
              <w:t>1,788,000</w:t>
            </w:r>
          </w:p>
        </w:tc>
      </w:tr>
      <w:tr>
        <w:trPr>
          <w:cantSplit/>
        </w:trPr>
        <w:tc>
          <w:tcPr>
            <w:tcW w:type="dxa" w:w="2556"/>
          </w:tcPr>
          <w:p>
            <w:pPr>
              <w:spacing w:after="100" w:before="100" w:line="259" w:lineRule="auto"/>
            </w:pPr>
            <w:r>
              <w:rPr>
                <w:b w:val="0"/>
                <w:color w:val="243247"/>
                <w:sz w:val="18"/>
              </w:rPr>
              <w:t>Gross profit</w:t>
            </w:r>
          </w:p>
        </w:tc>
        <w:tc>
          <w:tcPr>
            <w:tcW w:type="dxa" w:w="2556"/>
          </w:tcPr>
          <w:p>
            <w:pPr>
              <w:spacing w:after="100" w:before="100" w:line="259" w:lineRule="auto"/>
            </w:pPr>
            <w:r>
              <w:rPr>
                <w:b w:val="0"/>
                <w:color w:val="243247"/>
                <w:sz w:val="18"/>
              </w:rPr>
              <w:t>134,080</w:t>
            </w:r>
          </w:p>
        </w:tc>
        <w:tc>
          <w:tcPr>
            <w:tcW w:type="dxa" w:w="2556"/>
          </w:tcPr>
          <w:p>
            <w:pPr>
              <w:spacing w:after="100" w:before="100" w:line="259" w:lineRule="auto"/>
            </w:pPr>
            <w:r>
              <w:rPr>
                <w:b w:val="0"/>
                <w:color w:val="243247"/>
                <w:sz w:val="18"/>
              </w:rPr>
              <w:t>495,600</w:t>
            </w:r>
          </w:p>
        </w:tc>
        <w:tc>
          <w:tcPr>
            <w:tcW w:type="dxa" w:w="2556"/>
          </w:tcPr>
          <w:p>
            <w:pPr>
              <w:spacing w:after="100" w:before="100" w:line="259" w:lineRule="auto"/>
            </w:pPr>
            <w:r>
              <w:rPr>
                <w:b w:val="0"/>
                <w:color w:val="243247"/>
                <w:sz w:val="18"/>
              </w:rPr>
              <w:t>1,275,520</w:t>
            </w:r>
          </w:p>
        </w:tc>
      </w:tr>
      <w:tr>
        <w:trPr>
          <w:cantSplit/>
        </w:trPr>
        <w:tc>
          <w:tcPr>
            <w:tcW w:type="dxa" w:w="2556"/>
            <w:shd w:fill="F3F6FA"/>
          </w:tcPr>
          <w:p>
            <w:pPr>
              <w:spacing w:after="100" w:before="100" w:line="259" w:lineRule="auto"/>
            </w:pPr>
            <w:r>
              <w:rPr>
                <w:b w:val="0"/>
                <w:color w:val="243247"/>
                <w:sz w:val="18"/>
              </w:rPr>
              <w:t>EBITDA</w:t>
            </w:r>
          </w:p>
        </w:tc>
        <w:tc>
          <w:tcPr>
            <w:tcW w:type="dxa" w:w="2556"/>
            <w:shd w:fill="F3F6FA"/>
          </w:tcPr>
          <w:p>
            <w:pPr>
              <w:spacing w:after="100" w:before="100" w:line="259" w:lineRule="auto"/>
            </w:pPr>
            <w:r>
              <w:rPr>
                <w:b w:val="0"/>
                <w:color w:val="243247"/>
                <w:sz w:val="18"/>
              </w:rPr>
              <w:t>(540,920)</w:t>
            </w:r>
          </w:p>
        </w:tc>
        <w:tc>
          <w:tcPr>
            <w:tcW w:type="dxa" w:w="2556"/>
            <w:shd w:fill="F3F6FA"/>
          </w:tcPr>
          <w:p>
            <w:pPr>
              <w:spacing w:after="100" w:before="100" w:line="259" w:lineRule="auto"/>
            </w:pPr>
            <w:r>
              <w:rPr>
                <w:b w:val="0"/>
                <w:color w:val="243247"/>
                <w:sz w:val="18"/>
              </w:rPr>
              <w:t>(344,400)</w:t>
            </w:r>
          </w:p>
        </w:tc>
        <w:tc>
          <w:tcPr>
            <w:tcW w:type="dxa" w:w="2556"/>
            <w:shd w:fill="F3F6FA"/>
          </w:tcPr>
          <w:p>
            <w:pPr>
              <w:spacing w:after="100" w:before="100" w:line="259" w:lineRule="auto"/>
            </w:pPr>
            <w:r>
              <w:rPr>
                <w:b w:val="0"/>
                <w:color w:val="243247"/>
                <w:sz w:val="18"/>
              </w:rPr>
              <w:t>135,520</w:t>
            </w:r>
          </w:p>
        </w:tc>
      </w:tr>
      <w:tr>
        <w:trPr>
          <w:cantSplit/>
        </w:trPr>
        <w:tc>
          <w:tcPr>
            <w:tcW w:type="dxa" w:w="2556"/>
          </w:tcPr>
          <w:p>
            <w:pPr>
              <w:spacing w:after="100" w:before="100" w:line="259" w:lineRule="auto"/>
            </w:pPr>
            <w:r>
              <w:rPr>
                <w:b w:val="0"/>
                <w:color w:val="243247"/>
                <w:sz w:val="18"/>
              </w:rPr>
              <w:t>Cash flow before funding</w:t>
            </w:r>
          </w:p>
        </w:tc>
        <w:tc>
          <w:tcPr>
            <w:tcW w:type="dxa" w:w="2556"/>
          </w:tcPr>
          <w:p>
            <w:pPr>
              <w:spacing w:after="100" w:before="100" w:line="259" w:lineRule="auto"/>
            </w:pPr>
            <w:r>
              <w:rPr>
                <w:b w:val="0"/>
                <w:color w:val="243247"/>
                <w:sz w:val="18"/>
              </w:rPr>
              <w:t>(594,920)</w:t>
            </w:r>
          </w:p>
        </w:tc>
        <w:tc>
          <w:tcPr>
            <w:tcW w:type="dxa" w:w="2556"/>
          </w:tcPr>
          <w:p>
            <w:pPr>
              <w:spacing w:after="100" w:before="100" w:line="259" w:lineRule="auto"/>
            </w:pPr>
            <w:r>
              <w:rPr>
                <w:b w:val="0"/>
                <w:color w:val="243247"/>
                <w:sz w:val="18"/>
              </w:rPr>
              <w:t>(444,400)</w:t>
            </w:r>
          </w:p>
        </w:tc>
        <w:tc>
          <w:tcPr>
            <w:tcW w:type="dxa" w:w="2556"/>
          </w:tcPr>
          <w:p>
            <w:pPr>
              <w:spacing w:after="100" w:before="100" w:line="259" w:lineRule="auto"/>
            </w:pPr>
            <w:r>
              <w:rPr>
                <w:b w:val="0"/>
                <w:color w:val="243247"/>
                <w:sz w:val="18"/>
              </w:rPr>
              <w:t>(63,480)</w:t>
            </w:r>
          </w:p>
        </w:tc>
      </w:tr>
      <w:tr>
        <w:trPr>
          <w:cantSplit/>
        </w:trPr>
        <w:tc>
          <w:tcPr>
            <w:tcW w:type="dxa" w:w="2556"/>
            <w:shd w:fill="F3F6FA"/>
          </w:tcPr>
          <w:p>
            <w:pPr>
              <w:spacing w:after="100" w:before="100" w:line="259" w:lineRule="auto"/>
            </w:pPr>
            <w:r>
              <w:rPr>
                <w:b w:val="0"/>
                <w:color w:val="243247"/>
                <w:sz w:val="18"/>
              </w:rPr>
              <w:t>Exit annual recurring revenue</w:t>
            </w:r>
          </w:p>
        </w:tc>
        <w:tc>
          <w:tcPr>
            <w:tcW w:type="dxa" w:w="2556"/>
            <w:shd w:fill="F3F6FA"/>
          </w:tcPr>
          <w:p>
            <w:pPr>
              <w:spacing w:after="100" w:before="100" w:line="259" w:lineRule="auto"/>
            </w:pPr>
            <w:r>
              <w:rPr>
                <w:b w:val="0"/>
                <w:color w:val="243247"/>
                <w:sz w:val="18"/>
              </w:rPr>
              <w:t>216,000</w:t>
            </w:r>
          </w:p>
        </w:tc>
        <w:tc>
          <w:tcPr>
            <w:tcW w:type="dxa" w:w="2556"/>
            <w:shd w:fill="F3F6FA"/>
          </w:tcPr>
          <w:p>
            <w:pPr>
              <w:spacing w:after="100" w:before="100" w:line="259" w:lineRule="auto"/>
            </w:pPr>
            <w:r>
              <w:rPr>
                <w:b w:val="0"/>
                <w:color w:val="243247"/>
                <w:sz w:val="18"/>
              </w:rPr>
              <w:t>780,000</w:t>
            </w:r>
          </w:p>
        </w:tc>
        <w:tc>
          <w:tcPr>
            <w:tcW w:type="dxa" w:w="2556"/>
            <w:shd w:fill="F3F6FA"/>
          </w:tcPr>
          <w:p>
            <w:pPr>
              <w:spacing w:after="100" w:before="100" w:line="259" w:lineRule="auto"/>
            </w:pPr>
            <w:r>
              <w:rPr>
                <w:b w:val="0"/>
                <w:color w:val="243247"/>
                <w:sz w:val="18"/>
              </w:rPr>
              <w:t>2,046,000</w:t>
            </w:r>
          </w:p>
        </w:tc>
      </w:tr>
    </w:tbl>
    <w:p>
      <w:pPr>
        <w:spacing w:after="20" w:line="240" w:lineRule="auto" w:before="0"/>
      </w:pPr>
      <w:r>
        <w:rPr>
          <w:sz w:val="4"/>
        </w:rPr>
      </w:r>
    </w:p>
    <w:p>
      <w:r>
        <w:t>The model requires CAD 1,102,800 of cumulative cash before financing. A 20 percent reserve adds CAD 220,560, for a planning funding requirement of CAD 1,323,360. An illustrative CAD 1.35 million opening raise leaves CAD 247,200 at the end of 2029 in the base case.</w:t>
      </w:r>
    </w:p>
    <w:p>
      <w:r>
        <w:t>The downside case produces CAD 627,360 of negative ending cash with the same CAD 1.35 million funding input. That implies a cumulative cash gap of CAD 1,977,360 before a reserve, and would require earlier cost reductions or further financing. These figures are not investor returns or an assurance of funding.</w:t>
      </w:r>
    </w:p>
    <w:p>
      <w:pPr>
        <w:pStyle w:val="Heading2"/>
      </w:pPr>
      <w:r>
        <w:t>Financial discipline</w:t>
      </w:r>
    </w:p>
    <w:p>
      <w:r>
        <w:t>Recurring delivery costs are assumed at 24 percent of subscription revenue. Direct onboarding cost is CAD 4,000 per new account and direct pilot cost is CAD 7,000. Validate compute, support and data review costs in the pilot; gross margin falls quickly if analysts must review every low-quality frame.</w:t>
      </w:r>
    </w:p>
    <w:p>
      <w:r>
        <w:t>At the 2029 cost base, recurring contribution alone covers payroll and other operating expense at approximately 23 average accounts with CAD 5,500 monthly revenue and 76 percent recurring gross margin. One-time launch costs and new-pilot contribution are excluded from that calculation.</w:t>
      </w:r>
    </w:p>
    <w:p>
      <w:r>
        <w:t>EBITDA turns positive before cash flow because the model includes equipment purchases and two months of receivables. It excludes tax, depreciation, debt, grants and shareholder distributions and is not a complete set of financial statements.</w:t>
      </w:r>
    </w:p>
    <w:p>
      <w:pPr>
        <w:pStyle w:val="Heading1"/>
        <w:pageBreakBefore/>
      </w:pPr>
      <w:r>
        <w:t>Buyer economics and value evidence</w:t>
      </w:r>
    </w:p>
    <w:p>
      <w:r>
        <w:t>Municipal savings must be tied to accepted responsibility and verified repairs. A flagged warranty candidate is not recovered money. Staff time released is useful operating capacity, but it is not automatically a cash saving.</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100" w:before="100" w:line="259" w:lineRule="auto"/>
            </w:pPr>
            <w:r>
              <w:rPr>
                <w:b/>
                <w:color w:val="FFFFFF"/>
                <w:sz w:val="18"/>
              </w:rPr>
              <w:t>Illustrative Municipal buyer input</w:t>
            </w:r>
          </w:p>
        </w:tc>
        <w:tc>
          <w:tcPr>
            <w:tcW w:type="dxa" w:w="7128"/>
            <w:shd w:fill="172B42"/>
          </w:tcPr>
          <w:p>
            <w:pPr>
              <w:spacing w:after="100" w:before="100" w:line="259" w:lineRule="auto"/>
            </w:pPr>
            <w:r>
              <w:rPr>
                <w:b/>
                <w:color w:val="FFFFFF"/>
                <w:sz w:val="18"/>
              </w:rPr>
              <w:t>Annual value CAD</w:t>
            </w:r>
          </w:p>
        </w:tc>
      </w:tr>
      <w:tr>
        <w:trPr>
          <w:cantSplit/>
        </w:trPr>
        <w:tc>
          <w:tcPr>
            <w:tcW w:type="dxa" w:w="3096"/>
          </w:tcPr>
          <w:p>
            <w:pPr>
              <w:spacing w:after="100" w:before="100" w:line="259" w:lineRule="auto"/>
            </w:pPr>
            <w:r>
              <w:rPr>
                <w:b w:val="0"/>
                <w:color w:val="243247"/>
                <w:sz w:val="18"/>
              </w:rPr>
              <w:t>500 defects x 20 percent eligible x 80 percent accepted x 250</w:t>
            </w:r>
          </w:p>
        </w:tc>
        <w:tc>
          <w:tcPr>
            <w:tcW w:type="dxa" w:w="7128"/>
          </w:tcPr>
          <w:p>
            <w:pPr>
              <w:spacing w:after="100" w:before="100" w:line="259" w:lineRule="auto"/>
            </w:pPr>
            <w:r>
              <w:rPr>
                <w:b w:val="0"/>
                <w:color w:val="243247"/>
                <w:sz w:val="18"/>
              </w:rPr>
              <w:t>20,000 potential repair cost avoided</w:t>
            </w:r>
          </w:p>
        </w:tc>
      </w:tr>
      <w:tr>
        <w:trPr>
          <w:cantSplit/>
        </w:trPr>
        <w:tc>
          <w:tcPr>
            <w:tcW w:type="dxa" w:w="3096"/>
            <w:shd w:fill="F3F6FA"/>
          </w:tcPr>
          <w:p>
            <w:pPr>
              <w:spacing w:after="100" w:before="100" w:line="259" w:lineRule="auto"/>
            </w:pPr>
            <w:r>
              <w:rPr>
                <w:b w:val="0"/>
                <w:color w:val="243247"/>
                <w:sz w:val="18"/>
              </w:rPr>
              <w:t>800 administrative hours x 45</w:t>
            </w:r>
          </w:p>
        </w:tc>
        <w:tc>
          <w:tcPr>
            <w:tcW w:type="dxa" w:w="7128"/>
            <w:shd w:fill="F3F6FA"/>
          </w:tcPr>
          <w:p>
            <w:pPr>
              <w:spacing w:after="100" w:before="100" w:line="259" w:lineRule="auto"/>
            </w:pPr>
            <w:r>
              <w:rPr>
                <w:b w:val="0"/>
                <w:color w:val="243247"/>
                <w:sz w:val="18"/>
              </w:rPr>
              <w:t>36,000 capacity value</w:t>
            </w:r>
          </w:p>
        </w:tc>
      </w:tr>
      <w:tr>
        <w:trPr>
          <w:cantSplit/>
        </w:trPr>
        <w:tc>
          <w:tcPr>
            <w:tcW w:type="dxa" w:w="3096"/>
          </w:tcPr>
          <w:p>
            <w:pPr>
              <w:spacing w:after="100" w:before="100" w:line="259" w:lineRule="auto"/>
            </w:pPr>
            <w:r>
              <w:rPr>
                <w:b w:val="0"/>
                <w:color w:val="243247"/>
                <w:sz w:val="18"/>
              </w:rPr>
              <w:t>20 avoided duplicate dispatches x 250</w:t>
            </w:r>
          </w:p>
        </w:tc>
        <w:tc>
          <w:tcPr>
            <w:tcW w:type="dxa" w:w="7128"/>
          </w:tcPr>
          <w:p>
            <w:pPr>
              <w:spacing w:after="100" w:before="100" w:line="259" w:lineRule="auto"/>
            </w:pPr>
            <w:r>
              <w:rPr>
                <w:b w:val="0"/>
                <w:color w:val="243247"/>
                <w:sz w:val="18"/>
              </w:rPr>
              <w:t>5,000 potential dispatch cost avoided</w:t>
            </w:r>
          </w:p>
        </w:tc>
      </w:tr>
      <w:tr>
        <w:trPr>
          <w:cantSplit/>
        </w:trPr>
        <w:tc>
          <w:tcPr>
            <w:tcW w:type="dxa" w:w="3096"/>
            <w:shd w:fill="F3F6FA"/>
          </w:tcPr>
          <w:p>
            <w:pPr>
              <w:spacing w:after="100" w:before="100" w:line="259" w:lineRule="auto"/>
            </w:pPr>
            <w:r>
              <w:rPr>
                <w:b w:val="0"/>
                <w:color w:val="243247"/>
                <w:sz w:val="18"/>
              </w:rPr>
              <w:t>Total potential value including capacity</w:t>
            </w:r>
          </w:p>
        </w:tc>
        <w:tc>
          <w:tcPr>
            <w:tcW w:type="dxa" w:w="7128"/>
            <w:shd w:fill="F3F6FA"/>
          </w:tcPr>
          <w:p>
            <w:pPr>
              <w:spacing w:after="100" w:before="100" w:line="259" w:lineRule="auto"/>
            </w:pPr>
            <w:r>
              <w:rPr>
                <w:b w:val="0"/>
                <w:color w:val="243247"/>
                <w:sz w:val="18"/>
              </w:rPr>
              <w:t>61,000</w:t>
            </w:r>
          </w:p>
        </w:tc>
      </w:tr>
      <w:tr>
        <w:trPr>
          <w:cantSplit/>
        </w:trPr>
        <w:tc>
          <w:tcPr>
            <w:tcW w:type="dxa" w:w="3096"/>
          </w:tcPr>
          <w:p>
            <w:pPr>
              <w:spacing w:after="100" w:before="100" w:line="259" w:lineRule="auto"/>
            </w:pPr>
            <w:r>
              <w:rPr>
                <w:b w:val="0"/>
                <w:color w:val="243247"/>
                <w:sz w:val="18"/>
              </w:rPr>
              <w:t>First-year software, pilot, setup, devices and connectivity</w:t>
            </w:r>
          </w:p>
        </w:tc>
        <w:tc>
          <w:tcPr>
            <w:tcW w:type="dxa" w:w="7128"/>
          </w:tcPr>
          <w:p>
            <w:pPr>
              <w:spacing w:after="100" w:before="100" w:line="259" w:lineRule="auto"/>
            </w:pPr>
            <w:r>
              <w:rPr>
                <w:b w:val="0"/>
                <w:color w:val="243247"/>
                <w:sz w:val="18"/>
              </w:rPr>
              <w:t>55,750</w:t>
            </w:r>
          </w:p>
        </w:tc>
      </w:tr>
      <w:tr>
        <w:trPr>
          <w:cantSplit/>
        </w:trPr>
        <w:tc>
          <w:tcPr>
            <w:tcW w:type="dxa" w:w="3096"/>
            <w:shd w:fill="F3F6FA"/>
          </w:tcPr>
          <w:p>
            <w:pPr>
              <w:spacing w:after="100" w:before="100" w:line="259" w:lineRule="auto"/>
            </w:pPr>
            <w:r>
              <w:rPr>
                <w:b w:val="0"/>
                <w:color w:val="243247"/>
                <w:sz w:val="18"/>
              </w:rPr>
              <w:t>Net first-year value including capacity</w:t>
            </w:r>
          </w:p>
        </w:tc>
        <w:tc>
          <w:tcPr>
            <w:tcW w:type="dxa" w:w="7128"/>
            <w:shd w:fill="F3F6FA"/>
          </w:tcPr>
          <w:p>
            <w:pPr>
              <w:spacing w:after="100" w:before="100" w:line="259" w:lineRule="auto"/>
            </w:pPr>
            <w:r>
              <w:rPr>
                <w:b w:val="0"/>
                <w:color w:val="243247"/>
                <w:sz w:val="18"/>
              </w:rPr>
              <w:t>5,250</w:t>
            </w:r>
          </w:p>
        </w:tc>
      </w:tr>
      <w:tr>
        <w:trPr>
          <w:cantSplit/>
        </w:trPr>
        <w:tc>
          <w:tcPr>
            <w:tcW w:type="dxa" w:w="3096"/>
          </w:tcPr>
          <w:p>
            <w:pPr>
              <w:spacing w:after="100" w:before="100" w:line="259" w:lineRule="auto"/>
            </w:pPr>
            <w:r>
              <w:rPr>
                <w:b w:val="0"/>
                <w:color w:val="243247"/>
                <w:sz w:val="18"/>
              </w:rPr>
              <w:t>Net first-year cash-oriented benefit excluding capacity</w:t>
            </w:r>
          </w:p>
        </w:tc>
        <w:tc>
          <w:tcPr>
            <w:tcW w:type="dxa" w:w="7128"/>
          </w:tcPr>
          <w:p>
            <w:pPr>
              <w:spacing w:after="100" w:before="100" w:line="259" w:lineRule="auto"/>
            </w:pPr>
            <w:r>
              <w:rPr>
                <w:b w:val="0"/>
                <w:color w:val="243247"/>
                <w:sz w:val="18"/>
              </w:rPr>
              <w:t>(30,750)</w:t>
            </w:r>
          </w:p>
        </w:tc>
      </w:tr>
    </w:tbl>
    <w:p>
      <w:pPr>
        <w:spacing w:after="20" w:line="240" w:lineRule="auto" w:before="0"/>
      </w:pPr>
      <w:r>
        <w:rPr>
          <w:sz w:val="4"/>
        </w:rPr>
      </w:r>
    </w:p>
    <w:p>
      <w:r>
        <w:t>The first-year cost includes a full annual Municipal subscription, five installed devices at CAD 1,450, cellular at CAD 25 per device monthly, CAD 5,000 onboarding, CAD 18,000 pilot and a CAD 6,000 credit. Ongoing recurring software and cellular cost is CAD 31,500 annually. All quantities are editable assumptions in the Buyer ROI worksheet.</w:t>
      </w:r>
    </w:p>
    <w:p>
      <w:r>
        <w:t>This example illustrates why a generic claim that the platform pays for itself is not justified. The apparent 9.4 percent first-year value return depends on counting staff capacity. A buyer focused exclusively on cash savings would see a negative result under these assumptions.</w:t>
      </w:r>
    </w:p>
    <w:p>
      <w:pPr>
        <w:pStyle w:val="Heading2"/>
      </w:pPr>
      <w:r>
        <w:t>Measure value without double counting</w:t>
      </w:r>
    </w:p>
    <w:p>
      <w:pPr>
        <w:pStyle w:val="ListBullet"/>
      </w:pPr>
      <w:r>
        <w:t>Log accepted warranty claims with the amount the authority would otherwise have paid, supported by contract records or comparable invoiced work.</w:t>
      </w:r>
    </w:p>
    <w:p>
      <w:pPr>
        <w:pStyle w:val="ListBullet"/>
      </w:pPr>
      <w:r>
        <w:t>Measure handling time for comparable cases before and during the pilot. Keep review, travel and contractor coordination separate.</w:t>
      </w:r>
    </w:p>
    <w:p>
      <w:pPr>
        <w:pStyle w:val="ListBullet"/>
      </w:pPr>
      <w:r>
        <w:t>Count an avoided duplicate dispatch once. Do not also count the same event as a warranty repair saving.</w:t>
      </w:r>
    </w:p>
    <w:p>
      <w:pPr>
        <w:pStyle w:val="ListBullet"/>
      </w:pPr>
      <w:r>
        <w:t>Record changed inspection costs, new cellular charges, hardware failures, internal administration and integration support.</w:t>
      </w:r>
    </w:p>
    <w:p>
      <w:pPr>
        <w:pStyle w:val="ListBullet"/>
      </w:pPr>
      <w:r>
        <w:t>Discuss faster safety response and improved evidence as operating outcomes. Do not assign an invented monetary value to prevented collisions.</w:t>
      </w:r>
    </w:p>
    <w:p>
      <w:r>
        <w:t>The expansion decision should rest on the buyer's actual operating priorities, not a positive spreadsheet created by choosing favourable inputs.</w:t>
      </w:r>
    </w:p>
    <w:p>
      <w:pPr>
        <w:pStyle w:val="Heading1"/>
        <w:pageBreakBefore/>
      </w:pPr>
      <w:r>
        <w:t>Risk register and control ownership</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100" w:before="100" w:line="259" w:lineRule="auto"/>
            </w:pPr>
            <w:r>
              <w:rPr>
                <w:b/>
                <w:color w:val="FFFFFF"/>
                <w:sz w:val="18"/>
              </w:rPr>
              <w:t>Risk</w:t>
            </w:r>
          </w:p>
        </w:tc>
        <w:tc>
          <w:tcPr>
            <w:tcW w:type="dxa" w:w="3600"/>
            <w:shd w:fill="172B42"/>
          </w:tcPr>
          <w:p>
            <w:pPr>
              <w:spacing w:after="100" w:before="100" w:line="259" w:lineRule="auto"/>
            </w:pPr>
            <w:r>
              <w:rPr>
                <w:b/>
                <w:color w:val="FFFFFF"/>
                <w:sz w:val="18"/>
              </w:rPr>
              <w:t>Control and owner</w:t>
            </w:r>
          </w:p>
        </w:tc>
        <w:tc>
          <w:tcPr>
            <w:tcW w:type="dxa" w:w="4320"/>
            <w:shd w:fill="172B42"/>
          </w:tcPr>
          <w:p>
            <w:pPr>
              <w:spacing w:after="100" w:before="100" w:line="259" w:lineRule="auto"/>
            </w:pPr>
            <w:r>
              <w:rPr>
                <w:b/>
                <w:color w:val="FFFFFF"/>
                <w:sz w:val="18"/>
              </w:rPr>
              <w:t>Decision trigger</w:t>
            </w:r>
          </w:p>
        </w:tc>
      </w:tr>
      <w:tr>
        <w:trPr>
          <w:cantSplit/>
        </w:trPr>
        <w:tc>
          <w:tcPr>
            <w:tcW w:type="dxa" w:w="2304"/>
          </w:tcPr>
          <w:p>
            <w:pPr>
              <w:spacing w:after="100" w:before="100" w:line="259" w:lineRule="auto"/>
            </w:pPr>
            <w:r>
              <w:rPr>
                <w:b w:val="0"/>
                <w:color w:val="243247"/>
                <w:sz w:val="18"/>
              </w:rPr>
              <w:t>False negative or poor visibility</w:t>
            </w:r>
          </w:p>
        </w:tc>
        <w:tc>
          <w:tcPr>
            <w:tcW w:type="dxa" w:w="3600"/>
          </w:tcPr>
          <w:p>
            <w:pPr>
              <w:spacing w:after="100" w:before="100" w:line="259" w:lineRule="auto"/>
            </w:pPr>
            <w:r>
              <w:rPr>
                <w:b w:val="0"/>
                <w:color w:val="243247"/>
                <w:sz w:val="18"/>
              </w:rPr>
              <w:t>CV lead measures recall and labels unobserved conditions</w:t>
            </w:r>
          </w:p>
        </w:tc>
        <w:tc>
          <w:tcPr>
            <w:tcW w:type="dxa" w:w="4320"/>
          </w:tcPr>
          <w:p>
            <w:pPr>
              <w:spacing w:after="100" w:before="100" w:line="259" w:lineRule="auto"/>
            </w:pPr>
            <w:r>
              <w:rPr>
                <w:b w:val="0"/>
                <w:color w:val="243247"/>
                <w:sz w:val="18"/>
              </w:rPr>
              <w:t>Keep manual inspection if coverage or recall is insufficient</w:t>
            </w:r>
          </w:p>
        </w:tc>
      </w:tr>
      <w:tr>
        <w:trPr>
          <w:cantSplit/>
        </w:trPr>
        <w:tc>
          <w:tcPr>
            <w:tcW w:type="dxa" w:w="2304"/>
            <w:shd w:fill="F3F6FA"/>
          </w:tcPr>
          <w:p>
            <w:pPr>
              <w:spacing w:after="100" w:before="100" w:line="259" w:lineRule="auto"/>
            </w:pPr>
            <w:r>
              <w:rPr>
                <w:b w:val="0"/>
                <w:color w:val="243247"/>
                <w:sz w:val="18"/>
              </w:rPr>
              <w:t>Wrong contractor notice</w:t>
            </w:r>
          </w:p>
        </w:tc>
        <w:tc>
          <w:tcPr>
            <w:tcW w:type="dxa" w:w="3600"/>
            <w:shd w:fill="F3F6FA"/>
          </w:tcPr>
          <w:p>
            <w:pPr>
              <w:spacing w:after="100" w:before="100" w:line="259" w:lineRule="auto"/>
            </w:pPr>
            <w:r>
              <w:rPr>
                <w:b w:val="0"/>
                <w:color w:val="243247"/>
                <w:sz w:val="18"/>
              </w:rPr>
              <w:t>Analyst reviews scope; legal owner approves rule set</w:t>
            </w:r>
          </w:p>
        </w:tc>
        <w:tc>
          <w:tcPr>
            <w:tcW w:type="dxa" w:w="4320"/>
            <w:shd w:fill="F3F6FA"/>
          </w:tcPr>
          <w:p>
            <w:pPr>
              <w:spacing w:after="100" w:before="100" w:line="259" w:lineRule="auto"/>
            </w:pPr>
            <w:r>
              <w:rPr>
                <w:b w:val="0"/>
                <w:color w:val="243247"/>
                <w:sz w:val="18"/>
              </w:rPr>
              <w:t>Disable automatic notice on ambiguous or disputed records</w:t>
            </w:r>
          </w:p>
        </w:tc>
      </w:tr>
      <w:tr>
        <w:trPr>
          <w:cantSplit/>
        </w:trPr>
        <w:tc>
          <w:tcPr>
            <w:tcW w:type="dxa" w:w="2304"/>
          </w:tcPr>
          <w:p>
            <w:pPr>
              <w:spacing w:after="100" w:before="100" w:line="259" w:lineRule="auto"/>
            </w:pPr>
            <w:r>
              <w:rPr>
                <w:b w:val="0"/>
                <w:color w:val="243247"/>
                <w:sz w:val="18"/>
              </w:rPr>
              <w:t>Unclear GPS or wrong lane</w:t>
            </w:r>
          </w:p>
        </w:tc>
        <w:tc>
          <w:tcPr>
            <w:tcW w:type="dxa" w:w="3600"/>
          </w:tcPr>
          <w:p>
            <w:pPr>
              <w:spacing w:after="100" w:before="100" w:line="259" w:lineRule="auto"/>
            </w:pPr>
            <w:r>
              <w:rPr>
                <w:b w:val="0"/>
                <w:color w:val="243247"/>
                <w:sz w:val="18"/>
              </w:rPr>
              <w:t>GIS owner records uncertainty and requires corroboration</w:t>
            </w:r>
          </w:p>
        </w:tc>
        <w:tc>
          <w:tcPr>
            <w:tcW w:type="dxa" w:w="4320"/>
          </w:tcPr>
          <w:p>
            <w:pPr>
              <w:spacing w:after="100" w:before="100" w:line="259" w:lineRule="auto"/>
            </w:pPr>
            <w:r>
              <w:rPr>
                <w:b w:val="0"/>
                <w:color w:val="243247"/>
                <w:sz w:val="18"/>
              </w:rPr>
              <w:t>Field check before assigning responsibility</w:t>
            </w:r>
          </w:p>
        </w:tc>
      </w:tr>
      <w:tr>
        <w:trPr>
          <w:cantSplit/>
        </w:trPr>
        <w:tc>
          <w:tcPr>
            <w:tcW w:type="dxa" w:w="2304"/>
            <w:shd w:fill="F3F6FA"/>
          </w:tcPr>
          <w:p>
            <w:pPr>
              <w:spacing w:after="100" w:before="100" w:line="259" w:lineRule="auto"/>
            </w:pPr>
            <w:r>
              <w:rPr>
                <w:b w:val="0"/>
                <w:color w:val="243247"/>
                <w:sz w:val="18"/>
              </w:rPr>
              <w:t>Privacy overcollection</w:t>
            </w:r>
          </w:p>
        </w:tc>
        <w:tc>
          <w:tcPr>
            <w:tcW w:type="dxa" w:w="3600"/>
            <w:shd w:fill="F3F6FA"/>
          </w:tcPr>
          <w:p>
            <w:pPr>
              <w:spacing w:after="100" w:before="100" w:line="259" w:lineRule="auto"/>
            </w:pPr>
            <w:r>
              <w:rPr>
                <w:b w:val="0"/>
                <w:color w:val="243247"/>
                <w:sz w:val="18"/>
              </w:rPr>
              <w:t>Privacy owner approves capture limits and retention</w:t>
            </w:r>
          </w:p>
        </w:tc>
        <w:tc>
          <w:tcPr>
            <w:tcW w:type="dxa" w:w="4320"/>
            <w:shd w:fill="F3F6FA"/>
          </w:tcPr>
          <w:p>
            <w:pPr>
              <w:spacing w:after="100" w:before="100" w:line="259" w:lineRule="auto"/>
            </w:pPr>
            <w:r>
              <w:rPr>
                <w:b w:val="0"/>
                <w:color w:val="243247"/>
                <w:sz w:val="18"/>
              </w:rPr>
              <w:t>Do not start real capture before lawful authority is established</w:t>
            </w:r>
          </w:p>
        </w:tc>
      </w:tr>
      <w:tr>
        <w:trPr>
          <w:cantSplit/>
        </w:trPr>
        <w:tc>
          <w:tcPr>
            <w:tcW w:type="dxa" w:w="2304"/>
          </w:tcPr>
          <w:p>
            <w:pPr>
              <w:spacing w:after="100" w:before="100" w:line="259" w:lineRule="auto"/>
            </w:pPr>
            <w:r>
              <w:rPr>
                <w:b w:val="0"/>
                <w:color w:val="243247"/>
                <w:sz w:val="18"/>
              </w:rPr>
              <w:t>Long sales cycle</w:t>
            </w:r>
          </w:p>
        </w:tc>
        <w:tc>
          <w:tcPr>
            <w:tcW w:type="dxa" w:w="3600"/>
          </w:tcPr>
          <w:p>
            <w:pPr>
              <w:spacing w:after="100" w:before="100" w:line="259" w:lineRule="auto"/>
            </w:pPr>
            <w:r>
              <w:rPr>
                <w:b w:val="0"/>
                <w:color w:val="243247"/>
                <w:sz w:val="18"/>
              </w:rPr>
              <w:t>Founder stages hiring against paid milestones</w:t>
            </w:r>
          </w:p>
        </w:tc>
        <w:tc>
          <w:tcPr>
            <w:tcW w:type="dxa" w:w="4320"/>
          </w:tcPr>
          <w:p>
            <w:pPr>
              <w:spacing w:after="100" w:before="100" w:line="259" w:lineRule="auto"/>
            </w:pPr>
            <w:r>
              <w:rPr>
                <w:b w:val="0"/>
                <w:color w:val="243247"/>
                <w:sz w:val="18"/>
              </w:rPr>
              <w:t>Reduce burn if qualified pipeline misses quarterly target</w:t>
            </w:r>
          </w:p>
        </w:tc>
      </w:tr>
      <w:tr>
        <w:trPr>
          <w:cantSplit/>
        </w:trPr>
        <w:tc>
          <w:tcPr>
            <w:tcW w:type="dxa" w:w="2304"/>
            <w:shd w:fill="F3F6FA"/>
          </w:tcPr>
          <w:p>
            <w:pPr>
              <w:spacing w:after="100" w:before="100" w:line="259" w:lineRule="auto"/>
            </w:pPr>
            <w:r>
              <w:rPr>
                <w:b w:val="0"/>
                <w:color w:val="243247"/>
                <w:sz w:val="18"/>
              </w:rPr>
              <w:t>Unproven savings</w:t>
            </w:r>
          </w:p>
        </w:tc>
        <w:tc>
          <w:tcPr>
            <w:tcW w:type="dxa" w:w="3600"/>
            <w:shd w:fill="F3F6FA"/>
          </w:tcPr>
          <w:p>
            <w:pPr>
              <w:spacing w:after="100" w:before="100" w:line="259" w:lineRule="auto"/>
            </w:pPr>
            <w:r>
              <w:rPr>
                <w:b w:val="0"/>
                <w:color w:val="243247"/>
                <w:sz w:val="18"/>
              </w:rPr>
              <w:t>Finance separates capacity and cash benefits</w:t>
            </w:r>
          </w:p>
        </w:tc>
        <w:tc>
          <w:tcPr>
            <w:tcW w:type="dxa" w:w="4320"/>
            <w:shd w:fill="F3F6FA"/>
          </w:tcPr>
          <w:p>
            <w:pPr>
              <w:spacing w:after="100" w:before="100" w:line="259" w:lineRule="auto"/>
            </w:pPr>
            <w:r>
              <w:rPr>
                <w:b w:val="0"/>
                <w:color w:val="243247"/>
                <w:sz w:val="18"/>
              </w:rPr>
              <w:t>Reprice or narrow scope when customer value is weak</w:t>
            </w:r>
          </w:p>
        </w:tc>
      </w:tr>
      <w:tr>
        <w:trPr>
          <w:cantSplit/>
        </w:trPr>
        <w:tc>
          <w:tcPr>
            <w:tcW w:type="dxa" w:w="2304"/>
          </w:tcPr>
          <w:p>
            <w:pPr>
              <w:spacing w:after="100" w:before="100" w:line="259" w:lineRule="auto"/>
            </w:pPr>
            <w:r>
              <w:rPr>
                <w:b w:val="0"/>
                <w:color w:val="243247"/>
                <w:sz w:val="18"/>
              </w:rPr>
              <w:t>Integration delay</w:t>
            </w:r>
          </w:p>
        </w:tc>
        <w:tc>
          <w:tcPr>
            <w:tcW w:type="dxa" w:w="3600"/>
          </w:tcPr>
          <w:p>
            <w:pPr>
              <w:spacing w:after="100" w:before="100" w:line="259" w:lineRule="auto"/>
            </w:pPr>
            <w:r>
              <w:rPr>
                <w:b w:val="0"/>
                <w:color w:val="243247"/>
                <w:sz w:val="18"/>
              </w:rPr>
              <w:t>Engineering agrees data contracts and reconciliation tests</w:t>
            </w:r>
          </w:p>
        </w:tc>
        <w:tc>
          <w:tcPr>
            <w:tcW w:type="dxa" w:w="4320"/>
          </w:tcPr>
          <w:p>
            <w:pPr>
              <w:spacing w:after="100" w:before="100" w:line="259" w:lineRule="auto"/>
            </w:pPr>
            <w:r>
              <w:rPr>
                <w:b w:val="0"/>
                <w:color w:val="243247"/>
                <w:sz w:val="18"/>
              </w:rPr>
              <w:t>Ship bounded import/export before custom connectors</w:t>
            </w:r>
          </w:p>
        </w:tc>
      </w:tr>
      <w:tr>
        <w:trPr>
          <w:cantSplit/>
        </w:trPr>
        <w:tc>
          <w:tcPr>
            <w:tcW w:type="dxa" w:w="2304"/>
            <w:shd w:fill="F3F6FA"/>
          </w:tcPr>
          <w:p>
            <w:pPr>
              <w:spacing w:after="100" w:before="100" w:line="259" w:lineRule="auto"/>
            </w:pPr>
            <w:r>
              <w:rPr>
                <w:b w:val="0"/>
                <w:color w:val="243247"/>
                <w:sz w:val="18"/>
              </w:rPr>
              <w:t>Cyber incident</w:t>
            </w:r>
          </w:p>
        </w:tc>
        <w:tc>
          <w:tcPr>
            <w:tcW w:type="dxa" w:w="3600"/>
            <w:shd w:fill="F3F6FA"/>
          </w:tcPr>
          <w:p>
            <w:pPr>
              <w:spacing w:after="100" w:before="100" w:line="259" w:lineRule="auto"/>
            </w:pPr>
            <w:r>
              <w:rPr>
                <w:b w:val="0"/>
                <w:color w:val="243247"/>
                <w:sz w:val="18"/>
              </w:rPr>
              <w:t>Security lead limits tenant access and rehearses response</w:t>
            </w:r>
          </w:p>
        </w:tc>
        <w:tc>
          <w:tcPr>
            <w:tcW w:type="dxa" w:w="4320"/>
            <w:shd w:fill="F3F6FA"/>
          </w:tcPr>
          <w:p>
            <w:pPr>
              <w:spacing w:after="100" w:before="100" w:line="259" w:lineRule="auto"/>
            </w:pPr>
            <w:r>
              <w:rPr>
                <w:b w:val="0"/>
                <w:color w:val="243247"/>
                <w:sz w:val="18"/>
              </w:rPr>
              <w:t>Isolate affected services and preserve evidence</w:t>
            </w:r>
          </w:p>
        </w:tc>
      </w:tr>
      <w:tr>
        <w:trPr>
          <w:cantSplit/>
        </w:trPr>
        <w:tc>
          <w:tcPr>
            <w:tcW w:type="dxa" w:w="2304"/>
          </w:tcPr>
          <w:p>
            <w:pPr>
              <w:spacing w:after="100" w:before="100" w:line="259" w:lineRule="auto"/>
            </w:pPr>
            <w:r>
              <w:rPr>
                <w:b w:val="0"/>
                <w:color w:val="243247"/>
                <w:sz w:val="18"/>
              </w:rPr>
              <w:t>Contractor disagreement</w:t>
            </w:r>
          </w:p>
        </w:tc>
        <w:tc>
          <w:tcPr>
            <w:tcW w:type="dxa" w:w="3600"/>
          </w:tcPr>
          <w:p>
            <w:pPr>
              <w:spacing w:after="100" w:before="100" w:line="259" w:lineRule="auto"/>
            </w:pPr>
            <w:r>
              <w:rPr>
                <w:b w:val="0"/>
                <w:color w:val="243247"/>
                <w:sz w:val="18"/>
              </w:rPr>
              <w:t>Case owner preserves original evidence and dispute path</w:t>
            </w:r>
          </w:p>
        </w:tc>
        <w:tc>
          <w:tcPr>
            <w:tcW w:type="dxa" w:w="4320"/>
          </w:tcPr>
          <w:p>
            <w:pPr>
              <w:spacing w:after="100" w:before="100" w:line="259" w:lineRule="auto"/>
            </w:pPr>
            <w:r>
              <w:rPr>
                <w:b w:val="0"/>
                <w:color w:val="243247"/>
                <w:sz w:val="18"/>
              </w:rPr>
              <w:t>Urgent road action continues while cost recovery is reviewed</w:t>
            </w:r>
          </w:p>
        </w:tc>
      </w:tr>
      <w:tr>
        <w:trPr>
          <w:cantSplit/>
        </w:trPr>
        <w:tc>
          <w:tcPr>
            <w:tcW w:type="dxa" w:w="2304"/>
            <w:shd w:fill="F3F6FA"/>
          </w:tcPr>
          <w:p>
            <w:pPr>
              <w:spacing w:after="100" w:before="100" w:line="259" w:lineRule="auto"/>
            </w:pPr>
            <w:r>
              <w:rPr>
                <w:b w:val="0"/>
                <w:color w:val="243247"/>
                <w:sz w:val="18"/>
              </w:rPr>
              <w:t>Device or route failure</w:t>
            </w:r>
          </w:p>
        </w:tc>
        <w:tc>
          <w:tcPr>
            <w:tcW w:type="dxa" w:w="3600"/>
            <w:shd w:fill="F3F6FA"/>
          </w:tcPr>
          <w:p>
            <w:pPr>
              <w:spacing w:after="100" w:before="100" w:line="259" w:lineRule="auto"/>
            </w:pPr>
            <w:r>
              <w:rPr>
                <w:b w:val="0"/>
                <w:color w:val="243247"/>
                <w:sz w:val="18"/>
              </w:rPr>
              <w:t>Fleet manager monitors health and route freshness</w:t>
            </w:r>
          </w:p>
        </w:tc>
        <w:tc>
          <w:tcPr>
            <w:tcW w:type="dxa" w:w="4320"/>
            <w:shd w:fill="F3F6FA"/>
          </w:tcPr>
          <w:p>
            <w:pPr>
              <w:spacing w:after="100" w:before="100" w:line="259" w:lineRule="auto"/>
            </w:pPr>
            <w:r>
              <w:rPr>
                <w:b w:val="0"/>
                <w:color w:val="243247"/>
                <w:sz w:val="18"/>
              </w:rPr>
              <w:t>Create coverage task instead of reporting a safe road</w:t>
            </w:r>
          </w:p>
        </w:tc>
      </w:tr>
    </w:tbl>
    <w:p>
      <w:pPr>
        <w:spacing w:after="20" w:line="240" w:lineRule="auto" w:before="0"/>
      </w:pPr>
      <w:r>
        <w:rPr>
          <w:sz w:val="4"/>
        </w:rPr>
      </w:r>
    </w:p>
    <w:p>
      <w:r>
        <w:t>Ontario maintenance requirements and municipal service levels must be configured from current authoritative rules and the authority's policies. Do not convert an AI score into a legal finding or delay urgent work while responsibility is disputed. [S5]</w:t>
      </w:r>
    </w:p>
    <w:p>
      <w:r>
        <w:t>Public video collection needs a lawful purpose, appropriate notice, limited collection and an approved retention approach. The Ontario privacy commissioner's guidance page warns of 2026 and 2027 law changes; current counsel and privacy-officer review are required before real deployment. [S6]</w:t>
      </w:r>
    </w:p>
    <w:p>
      <w:r>
        <w:t>Canadian residency is a proposed procurement feature, not a universal claim that all municipal data must remain in Canada. Confirm the applicable requirements for each authority and every service in the data flow.</w:t>
      </w:r>
    </w:p>
    <w:p>
      <w:pPr>
        <w:pStyle w:val="Heading1"/>
        <w:pageBreakBefore/>
      </w:pPr>
      <w:r>
        <w:t>Launch milestones and commercial gates</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100" w:before="100" w:line="259" w:lineRule="auto"/>
            </w:pPr>
            <w:r>
              <w:rPr>
                <w:b/>
                <w:color w:val="FFFFFF"/>
                <w:sz w:val="18"/>
              </w:rPr>
              <w:t>Stage</w:t>
            </w:r>
          </w:p>
        </w:tc>
        <w:tc>
          <w:tcPr>
            <w:tcW w:type="dxa" w:w="3600"/>
            <w:shd w:fill="172B42"/>
          </w:tcPr>
          <w:p>
            <w:pPr>
              <w:spacing w:after="100" w:before="100" w:line="259" w:lineRule="auto"/>
            </w:pPr>
            <w:r>
              <w:rPr>
                <w:b/>
                <w:color w:val="FFFFFF"/>
                <w:sz w:val="18"/>
              </w:rPr>
              <w:t>Target duration</w:t>
            </w:r>
          </w:p>
        </w:tc>
        <w:tc>
          <w:tcPr>
            <w:tcW w:type="dxa" w:w="4320"/>
            <w:shd w:fill="172B42"/>
          </w:tcPr>
          <w:p>
            <w:pPr>
              <w:spacing w:after="100" w:before="100" w:line="259" w:lineRule="auto"/>
            </w:pPr>
            <w:r>
              <w:rPr>
                <w:b/>
                <w:color w:val="FFFFFF"/>
                <w:sz w:val="18"/>
              </w:rPr>
              <w:t>Exit evidence</w:t>
            </w:r>
          </w:p>
        </w:tc>
      </w:tr>
      <w:tr>
        <w:trPr>
          <w:cantSplit/>
        </w:trPr>
        <w:tc>
          <w:tcPr>
            <w:tcW w:type="dxa" w:w="2304"/>
          </w:tcPr>
          <w:p>
            <w:pPr>
              <w:spacing w:after="100" w:before="100" w:line="259" w:lineRule="auto"/>
            </w:pPr>
            <w:r>
              <w:rPr>
                <w:b w:val="0"/>
                <w:color w:val="243247"/>
                <w:sz w:val="18"/>
              </w:rPr>
              <w:t>Discovery</w:t>
            </w:r>
          </w:p>
        </w:tc>
        <w:tc>
          <w:tcPr>
            <w:tcW w:type="dxa" w:w="3600"/>
          </w:tcPr>
          <w:p>
            <w:pPr>
              <w:spacing w:after="100" w:before="100" w:line="259" w:lineRule="auto"/>
            </w:pPr>
            <w:r>
              <w:rPr>
                <w:b w:val="0"/>
                <w:color w:val="243247"/>
                <w:sz w:val="18"/>
              </w:rPr>
              <w:t>Weeks 1 to 4</w:t>
            </w:r>
          </w:p>
        </w:tc>
        <w:tc>
          <w:tcPr>
            <w:tcW w:type="dxa" w:w="4320"/>
          </w:tcPr>
          <w:p>
            <w:pPr>
              <w:spacing w:after="100" w:before="100" w:line="259" w:lineRule="auto"/>
            </w:pPr>
            <w:r>
              <w:rPr>
                <w:b w:val="0"/>
                <w:color w:val="243247"/>
                <w:sz w:val="18"/>
              </w:rPr>
              <w:t>Buyer sponsor; sample data; clear problem; documented willingness to pay</w:t>
            </w:r>
          </w:p>
        </w:tc>
      </w:tr>
      <w:tr>
        <w:trPr>
          <w:cantSplit/>
        </w:trPr>
        <w:tc>
          <w:tcPr>
            <w:tcW w:type="dxa" w:w="2304"/>
            <w:shd w:fill="F3F6FA"/>
          </w:tcPr>
          <w:p>
            <w:pPr>
              <w:spacing w:after="100" w:before="100" w:line="259" w:lineRule="auto"/>
            </w:pPr>
            <w:r>
              <w:rPr>
                <w:b w:val="0"/>
                <w:color w:val="243247"/>
                <w:sz w:val="18"/>
              </w:rPr>
              <w:t>Pilot foundation</w:t>
            </w:r>
          </w:p>
        </w:tc>
        <w:tc>
          <w:tcPr>
            <w:tcW w:type="dxa" w:w="3600"/>
            <w:shd w:fill="F3F6FA"/>
          </w:tcPr>
          <w:p>
            <w:pPr>
              <w:spacing w:after="100" w:before="100" w:line="259" w:lineRule="auto"/>
            </w:pPr>
            <w:r>
              <w:rPr>
                <w:b w:val="0"/>
                <w:color w:val="243247"/>
                <w:sz w:val="18"/>
              </w:rPr>
              <w:t>Weeks 5 to 12</w:t>
            </w:r>
          </w:p>
        </w:tc>
        <w:tc>
          <w:tcPr>
            <w:tcW w:type="dxa" w:w="4320"/>
            <w:shd w:fill="F3F6FA"/>
          </w:tcPr>
          <w:p>
            <w:pPr>
              <w:spacing w:after="100" w:before="100" w:line="259" w:lineRule="auto"/>
            </w:pPr>
            <w:r>
              <w:rPr>
                <w:b w:val="0"/>
                <w:color w:val="243247"/>
                <w:sz w:val="18"/>
              </w:rPr>
              <w:t>Secure ingest; privacy filtering; GIS match; analyst workflow; testable data export</w:t>
            </w:r>
          </w:p>
        </w:tc>
      </w:tr>
      <w:tr>
        <w:trPr>
          <w:cantSplit/>
        </w:trPr>
        <w:tc>
          <w:tcPr>
            <w:tcW w:type="dxa" w:w="2304"/>
          </w:tcPr>
          <w:p>
            <w:pPr>
              <w:spacing w:after="100" w:before="100" w:line="259" w:lineRule="auto"/>
            </w:pPr>
            <w:r>
              <w:rPr>
                <w:b w:val="0"/>
                <w:color w:val="243247"/>
                <w:sz w:val="18"/>
              </w:rPr>
              <w:t>Field pilot</w:t>
            </w:r>
          </w:p>
        </w:tc>
        <w:tc>
          <w:tcPr>
            <w:tcW w:type="dxa" w:w="3600"/>
          </w:tcPr>
          <w:p>
            <w:pPr>
              <w:spacing w:after="100" w:before="100" w:line="259" w:lineRule="auto"/>
            </w:pPr>
            <w:r>
              <w:rPr>
                <w:b w:val="0"/>
                <w:color w:val="243247"/>
                <w:sz w:val="18"/>
              </w:rPr>
              <w:t>Following 90 days</w:t>
            </w:r>
          </w:p>
        </w:tc>
        <w:tc>
          <w:tcPr>
            <w:tcW w:type="dxa" w:w="4320"/>
          </w:tcPr>
          <w:p>
            <w:pPr>
              <w:spacing w:after="100" w:before="100" w:line="259" w:lineRule="auto"/>
            </w:pPr>
            <w:r>
              <w:rPr>
                <w:b w:val="0"/>
                <w:color w:val="243247"/>
                <w:sz w:val="18"/>
              </w:rPr>
              <w:t>Measured detection, accuracy, staff effort, warranty precision and verified closures</w:t>
            </w:r>
          </w:p>
        </w:tc>
      </w:tr>
      <w:tr>
        <w:trPr>
          <w:cantSplit/>
        </w:trPr>
        <w:tc>
          <w:tcPr>
            <w:tcW w:type="dxa" w:w="2304"/>
            <w:shd w:fill="F3F6FA"/>
          </w:tcPr>
          <w:p>
            <w:pPr>
              <w:spacing w:after="100" w:before="100" w:line="259" w:lineRule="auto"/>
            </w:pPr>
            <w:r>
              <w:rPr>
                <w:b w:val="0"/>
                <w:color w:val="243247"/>
                <w:sz w:val="18"/>
              </w:rPr>
              <w:t>Production hardening</w:t>
            </w:r>
          </w:p>
        </w:tc>
        <w:tc>
          <w:tcPr>
            <w:tcW w:type="dxa" w:w="3600"/>
            <w:shd w:fill="F3F6FA"/>
          </w:tcPr>
          <w:p>
            <w:pPr>
              <w:spacing w:after="100" w:before="100" w:line="259" w:lineRule="auto"/>
            </w:pPr>
            <w:r>
              <w:rPr>
                <w:b w:val="0"/>
                <w:color w:val="243247"/>
                <w:sz w:val="18"/>
              </w:rPr>
              <w:t>Following 8 to 12 weeks</w:t>
            </w:r>
          </w:p>
        </w:tc>
        <w:tc>
          <w:tcPr>
            <w:tcW w:type="dxa" w:w="4320"/>
            <w:shd w:fill="F3F6FA"/>
          </w:tcPr>
          <w:p>
            <w:pPr>
              <w:spacing w:after="100" w:before="100" w:line="259" w:lineRule="auto"/>
            </w:pPr>
            <w:r>
              <w:rPr>
                <w:b w:val="0"/>
                <w:color w:val="243247"/>
                <w:sz w:val="18"/>
              </w:rPr>
              <w:t>Security assessment, accessibility review, recovery test and signed operating procedures</w:t>
            </w:r>
          </w:p>
        </w:tc>
      </w:tr>
      <w:tr>
        <w:trPr>
          <w:cantSplit/>
        </w:trPr>
        <w:tc>
          <w:tcPr>
            <w:tcW w:type="dxa" w:w="2304"/>
          </w:tcPr>
          <w:p>
            <w:pPr>
              <w:spacing w:after="100" w:before="100" w:line="259" w:lineRule="auto"/>
            </w:pPr>
            <w:r>
              <w:rPr>
                <w:b w:val="0"/>
                <w:color w:val="243247"/>
                <w:sz w:val="18"/>
              </w:rPr>
              <w:t>Repeatable rollout</w:t>
            </w:r>
          </w:p>
        </w:tc>
        <w:tc>
          <w:tcPr>
            <w:tcW w:type="dxa" w:w="3600"/>
          </w:tcPr>
          <w:p>
            <w:pPr>
              <w:spacing w:after="100" w:before="100" w:line="259" w:lineRule="auto"/>
            </w:pPr>
            <w:r>
              <w:rPr>
                <w:b w:val="0"/>
                <w:color w:val="243247"/>
                <w:sz w:val="18"/>
              </w:rPr>
              <w:t>Months 9 to 18</w:t>
            </w:r>
          </w:p>
        </w:tc>
        <w:tc>
          <w:tcPr>
            <w:tcW w:type="dxa" w:w="4320"/>
          </w:tcPr>
          <w:p>
            <w:pPr>
              <w:spacing w:after="100" w:before="100" w:line="259" w:lineRule="auto"/>
            </w:pPr>
            <w:r>
              <w:rPr>
                <w:b w:val="0"/>
                <w:color w:val="243247"/>
                <w:sz w:val="18"/>
              </w:rPr>
              <w:t>Two reference customers; predictable onboarding; sustainable delivery cost</w:t>
            </w:r>
          </w:p>
        </w:tc>
      </w:tr>
    </w:tbl>
    <w:p>
      <w:pPr>
        <w:spacing w:after="20" w:line="240" w:lineRule="auto" w:before="0"/>
      </w:pPr>
      <w:r>
        <w:rPr>
          <w:sz w:val="4"/>
        </w:rPr>
      </w:r>
    </w:p>
    <w:p>
      <w:r>
        <w:t>These phases overlap where dependencies allow. An initial usable pilot is a planning range of four to six months from a funded kickoff; a hardened multi-customer service is more reasonably planned over nine to twelve months. Procurement and winter validation can extend the schedule. The website created with this package demonstrates the workflow and does not eliminate the field-engineering work.</w:t>
      </w:r>
    </w:p>
    <w:p>
      <w:pPr>
        <w:pStyle w:val="Heading2"/>
      </w:pPr>
      <w:r>
        <w:t>Go or no go after the pilot</w:t>
      </w:r>
    </w:p>
    <w:p>
      <w:pPr>
        <w:pStyle w:val="ListBullet"/>
      </w:pPr>
      <w:r>
        <w:t>Go when the authority accepts the measured outcome, repair-contract data can be maintained, device coverage meets the chosen operating need and recurring delivery costs fit the planned price.</w:t>
      </w:r>
    </w:p>
    <w:p>
      <w:pPr>
        <w:pStyle w:val="ListBullet"/>
      </w:pPr>
      <w:r>
        <w:t>Narrow the product when the workflow delivers value but the detector is unreliable. Integrate an established capture partner while retaining investigations and warranty administration.</w:t>
      </w:r>
    </w:p>
    <w:p>
      <w:pPr>
        <w:pStyle w:val="ListBullet"/>
      </w:pPr>
      <w:r>
        <w:t>Pause automatic notices when contract metadata or responsibility is unreliable. Continue reviewed draft preparation until errors are understood.</w:t>
      </w:r>
    </w:p>
    <w:p>
      <w:pPr>
        <w:pStyle w:val="ListBullet"/>
      </w:pPr>
      <w:r>
        <w:t>Stop expansion when additional customers would multiply unresolved privacy, data quality or field-safety problems.</w:t>
      </w:r>
    </w:p>
    <w:p>
      <w:pPr>
        <w:pStyle w:val="Heading2"/>
      </w:pPr>
      <w:r>
        <w:t>Next commercial work</w:t>
      </w:r>
    </w:p>
    <w:p>
      <w:r>
        <w:t>Finalize the working name after clearance, choose a founding legal entity, interview municipal sponsors, obtain hardware quotations, recruit one fleet partner and negotiate a paid pilot statement of work. No fundraising, customer contact, incorporation or domain purchase has been executed through this package.</w:t>
      </w:r>
    </w:p>
    <w:p>
      <w:pPr>
        <w:pStyle w:val="Heading1"/>
        <w:pageBreakBefore/>
      </w:pPr>
      <w:r>
        <w:t>Brand and domain research</w:t>
      </w:r>
    </w:p>
    <w:p>
      <w:pPr>
        <w:spacing w:after="240"/>
      </w:pPr>
      <w:r>
        <w:drawing>
          <wp:inline xmlns:a="http://schemas.openxmlformats.org/drawingml/2006/main" xmlns:pic="http://schemas.openxmlformats.org/drawingml/2006/picture">
            <wp:extent cx="3200400" cy="1078154"/>
            <wp:docPr id="2" name="Picture 2"/>
            <wp:cNvGraphicFramePr>
              <a:graphicFrameLocks noChangeAspect="1"/>
            </wp:cNvGraphicFramePr>
            <a:graphic>
              <a:graphicData uri="http://schemas.openxmlformats.org/drawingml/2006/picture">
                <pic:pic>
                  <pic:nvPicPr>
                    <pic:cNvPr id="0" name="paveledger-logo.png"/>
                    <pic:cNvPicPr/>
                  </pic:nvPicPr>
                  <pic:blipFill>
                    <a:blip r:embed="rId10"/>
                    <a:stretch>
                      <a:fillRect/>
                    </a:stretch>
                  </pic:blipFill>
                  <pic:spPr>
                    <a:xfrm>
                      <a:off x="0" y="0"/>
                      <a:ext cx="3200400" cy="1078154"/>
                    </a:xfrm>
                    <a:prstGeom prst="rect"/>
                  </pic:spPr>
                </pic:pic>
              </a:graphicData>
            </a:graphic>
          </wp:inline>
        </w:drawing>
      </w:r>
    </w:p>
    <w:p>
      <w:r>
        <w:t>Recommended working name: PaveLedger. The name emphasizes a record of pavement observations and repair responsibility. Suggested descriptor: Road intelligence and repair accountability. PaveLedger Capture, PaveLedger Investigations and PaveLedger Contracts are product module names, not separate companies.</w:t>
      </w:r>
    </w:p>
    <w:p>
      <w:r>
        <w:t>The logo combines a red, angular leaf-inspired mark with road-like negative space and a navy wordmark. It is Canadian-inspired without claiming government affiliation. Use the supplied transparent PNG. Obtain a vector redraw and trademark review before a final commercial brand launch; the generated image is a concept asset.</w:t>
      </w:r>
    </w:p>
    <w:tbl>
      <w:tblPr>
        <w:tblW w:type="auto" w:w="0"/>
        <w:tblLayout w:type="fixed"/>
        <w:tblLook w:firstColumn="1" w:firstRow="1" w:lastColumn="0" w:lastRow="0" w:noHBand="0" w:noVBand="1" w:val="04A0"/>
      </w:tblPr>
      <w:tblGrid>
        <w:gridCol w:w="1704"/>
        <w:gridCol w:w="1704"/>
        <w:gridCol w:w="1704"/>
        <w:gridCol w:w="1704"/>
        <w:gridCol w:w="1704"/>
        <w:gridCol w:w="1704"/>
      </w:tblGrid>
      <w:tr>
        <w:trPr>
          <w:tblHeader/>
          <w:cantSplit/>
        </w:trPr>
        <w:tc>
          <w:tcPr>
            <w:tcW w:type="dxa" w:w="3024"/>
            <w:shd w:fill="172B42"/>
          </w:tcPr>
          <w:p>
            <w:pPr>
              <w:spacing w:after="100" w:before="100" w:line="259" w:lineRule="auto"/>
            </w:pPr>
            <w:r>
              <w:rPr>
                <w:b/>
                <w:color w:val="FFFFFF"/>
                <w:sz w:val="18"/>
              </w:rPr>
              <w:t>Name</w:t>
            </w:r>
          </w:p>
        </w:tc>
        <w:tc>
          <w:tcPr>
            <w:tcW w:type="dxa" w:w="1440"/>
            <w:shd w:fill="172B42"/>
          </w:tcPr>
          <w:p>
            <w:pPr>
              <w:spacing w:after="100" w:before="100" w:line="259" w:lineRule="auto"/>
            </w:pPr>
            <w:r>
              <w:rPr>
                <w:b/>
                <w:color w:val="FFFFFF"/>
                <w:sz w:val="18"/>
              </w:rPr>
              <w:t>ca</w:t>
            </w:r>
          </w:p>
        </w:tc>
        <w:tc>
          <w:tcPr>
            <w:tcW w:type="dxa" w:w="1440"/>
            <w:shd w:fill="172B42"/>
          </w:tcPr>
          <w:p>
            <w:pPr>
              <w:spacing w:after="100" w:before="100" w:line="259" w:lineRule="auto"/>
            </w:pPr>
            <w:r>
              <w:rPr>
                <w:b/>
                <w:color w:val="FFFFFF"/>
                <w:sz w:val="18"/>
              </w:rPr>
              <w:t>com</w:t>
            </w:r>
          </w:p>
        </w:tc>
        <w:tc>
          <w:tcPr>
            <w:tcW w:type="dxa" w:w="1440"/>
            <w:shd w:fill="172B42"/>
          </w:tcPr>
          <w:p>
            <w:pPr>
              <w:spacing w:after="100" w:before="100" w:line="259" w:lineRule="auto"/>
            </w:pPr>
            <w:r>
              <w:rPr>
                <w:b/>
                <w:color w:val="FFFFFF"/>
                <w:sz w:val="18"/>
              </w:rPr>
              <w:t>org</w:t>
            </w:r>
          </w:p>
        </w:tc>
        <w:tc>
          <w:tcPr>
            <w:tcW w:type="dxa" w:w="1440"/>
            <w:shd w:fill="172B42"/>
          </w:tcPr>
          <w:p>
            <w:pPr>
              <w:spacing w:after="100" w:before="100" w:line="259" w:lineRule="auto"/>
            </w:pPr>
            <w:r>
              <w:rPr>
                <w:b/>
                <w:color w:val="FFFFFF"/>
                <w:sz w:val="18"/>
              </w:rPr>
              <w:t>net</w:t>
            </w:r>
          </w:p>
        </w:tc>
        <w:tc>
          <w:tcPr>
            <w:tcW w:type="dxa" w:w="1440"/>
            <w:shd w:fill="172B42"/>
          </w:tcPr>
          <w:p>
            <w:pPr>
              <w:spacing w:after="100" w:before="100" w:line="259" w:lineRule="auto"/>
            </w:pPr>
            <w:r>
              <w:rPr>
                <w:b/>
                <w:color w:val="FFFFFF"/>
                <w:sz w:val="18"/>
              </w:rPr>
              <w:t>ai</w:t>
            </w:r>
          </w:p>
        </w:tc>
      </w:tr>
      <w:tr>
        <w:trPr>
          <w:cantSplit/>
        </w:trPr>
        <w:tc>
          <w:tcPr>
            <w:tcW w:type="dxa" w:w="3024"/>
          </w:tcPr>
          <w:p>
            <w:pPr>
              <w:spacing w:after="100" w:before="100" w:line="259" w:lineRule="auto"/>
            </w:pPr>
            <w:r>
              <w:rPr>
                <w:b w:val="0"/>
                <w:color w:val="243247"/>
                <w:sz w:val="18"/>
              </w:rPr>
              <w:t>paveledger</w:t>
            </w:r>
          </w:p>
        </w:tc>
        <w:tc>
          <w:tcPr>
            <w:tcW w:type="dxa" w:w="1440"/>
          </w:tcPr>
          <w:p>
            <w:pPr>
              <w:spacing w:after="100" w:before="100" w:line="259" w:lineRule="auto"/>
            </w:pPr>
            <w:r>
              <w:rPr>
                <w:b w:val="0"/>
                <w:color w:val="243247"/>
                <w:sz w:val="18"/>
              </w:rPr>
              <w:t>404</w:t>
            </w:r>
          </w:p>
        </w:tc>
        <w:tc>
          <w:tcPr>
            <w:tcW w:type="dxa" w:w="1440"/>
          </w:tcPr>
          <w:p>
            <w:pPr>
              <w:spacing w:after="100" w:before="100" w:line="259" w:lineRule="auto"/>
            </w:pPr>
            <w:r>
              <w:rPr>
                <w:b w:val="0"/>
                <w:color w:val="243247"/>
                <w:sz w:val="18"/>
              </w:rPr>
              <w:t>404</w:t>
            </w:r>
          </w:p>
        </w:tc>
        <w:tc>
          <w:tcPr>
            <w:tcW w:type="dxa" w:w="1440"/>
          </w:tcPr>
          <w:p>
            <w:pPr>
              <w:spacing w:after="100" w:before="100" w:line="259" w:lineRule="auto"/>
            </w:pPr>
            <w:r>
              <w:rPr>
                <w:b w:val="0"/>
                <w:color w:val="243247"/>
                <w:sz w:val="18"/>
              </w:rPr>
              <w:t>404</w:t>
            </w:r>
          </w:p>
        </w:tc>
        <w:tc>
          <w:tcPr>
            <w:tcW w:type="dxa" w:w="1440"/>
          </w:tcPr>
          <w:p>
            <w:pPr>
              <w:spacing w:after="100" w:before="100" w:line="259" w:lineRule="auto"/>
            </w:pPr>
            <w:r>
              <w:rPr>
                <w:b w:val="0"/>
                <w:color w:val="243247"/>
                <w:sz w:val="18"/>
              </w:rPr>
              <w:t>404</w:t>
            </w:r>
          </w:p>
        </w:tc>
        <w:tc>
          <w:tcPr>
            <w:tcW w:type="dxa" w:w="1440"/>
          </w:tcPr>
          <w:p>
            <w:pPr>
              <w:spacing w:after="100" w:before="100" w:line="259" w:lineRule="auto"/>
            </w:pPr>
            <w:r>
              <w:rPr>
                <w:b w:val="0"/>
                <w:color w:val="243247"/>
                <w:sz w:val="18"/>
              </w:rPr>
              <w:t>404</w:t>
            </w:r>
          </w:p>
        </w:tc>
      </w:tr>
      <w:tr>
        <w:trPr>
          <w:cantSplit/>
        </w:trPr>
        <w:tc>
          <w:tcPr>
            <w:tcW w:type="dxa" w:w="3024"/>
            <w:shd w:fill="F3F6FA"/>
          </w:tcPr>
          <w:p>
            <w:pPr>
              <w:spacing w:after="100" w:before="100" w:line="259" w:lineRule="auto"/>
            </w:pPr>
            <w:r>
              <w:rPr>
                <w:b w:val="0"/>
                <w:color w:val="243247"/>
                <w:sz w:val="18"/>
              </w:rPr>
              <w:t>roadcovenant</w:t>
            </w:r>
          </w:p>
        </w:tc>
        <w:tc>
          <w:tcPr>
            <w:tcW w:type="dxa" w:w="1440"/>
            <w:shd w:fill="F3F6FA"/>
          </w:tcPr>
          <w:p>
            <w:pPr>
              <w:spacing w:after="100" w:before="100" w:line="259" w:lineRule="auto"/>
            </w:pPr>
            <w:r>
              <w:rPr>
                <w:b w:val="0"/>
                <w:color w:val="243247"/>
                <w:sz w:val="18"/>
              </w:rPr>
              <w:t>404</w:t>
            </w:r>
          </w:p>
        </w:tc>
        <w:tc>
          <w:tcPr>
            <w:tcW w:type="dxa" w:w="1440"/>
            <w:shd w:fill="F3F6FA"/>
          </w:tcPr>
          <w:p>
            <w:pPr>
              <w:spacing w:after="100" w:before="100" w:line="259" w:lineRule="auto"/>
            </w:pPr>
            <w:r>
              <w:rPr>
                <w:b w:val="0"/>
                <w:color w:val="243247"/>
                <w:sz w:val="18"/>
              </w:rPr>
              <w:t>404</w:t>
            </w:r>
          </w:p>
        </w:tc>
        <w:tc>
          <w:tcPr>
            <w:tcW w:type="dxa" w:w="1440"/>
            <w:shd w:fill="F3F6FA"/>
          </w:tcPr>
          <w:p>
            <w:pPr>
              <w:spacing w:after="100" w:before="100" w:line="259" w:lineRule="auto"/>
            </w:pPr>
            <w:r>
              <w:rPr>
                <w:b w:val="0"/>
                <w:color w:val="243247"/>
                <w:sz w:val="18"/>
              </w:rPr>
              <w:t>404</w:t>
            </w:r>
          </w:p>
        </w:tc>
        <w:tc>
          <w:tcPr>
            <w:tcW w:type="dxa" w:w="1440"/>
            <w:shd w:fill="F3F6FA"/>
          </w:tcPr>
          <w:p>
            <w:pPr>
              <w:spacing w:after="100" w:before="100" w:line="259" w:lineRule="auto"/>
            </w:pPr>
            <w:r>
              <w:rPr>
                <w:b w:val="0"/>
                <w:color w:val="243247"/>
                <w:sz w:val="18"/>
              </w:rPr>
              <w:t>404</w:t>
            </w:r>
          </w:p>
        </w:tc>
        <w:tc>
          <w:tcPr>
            <w:tcW w:type="dxa" w:w="1440"/>
            <w:shd w:fill="F3F6FA"/>
          </w:tcPr>
          <w:p>
            <w:pPr>
              <w:spacing w:after="100" w:before="100" w:line="259" w:lineRule="auto"/>
            </w:pPr>
            <w:r>
              <w:rPr>
                <w:b w:val="0"/>
                <w:color w:val="243247"/>
                <w:sz w:val="18"/>
              </w:rPr>
              <w:t>404</w:t>
            </w:r>
          </w:p>
        </w:tc>
      </w:tr>
      <w:tr>
        <w:trPr>
          <w:cantSplit/>
        </w:trPr>
        <w:tc>
          <w:tcPr>
            <w:tcW w:type="dxa" w:w="3024"/>
          </w:tcPr>
          <w:p>
            <w:pPr>
              <w:spacing w:after="100" w:before="100" w:line="259" w:lineRule="auto"/>
            </w:pPr>
            <w:r>
              <w:rPr>
                <w:b w:val="0"/>
                <w:color w:val="243247"/>
                <w:sz w:val="18"/>
              </w:rPr>
              <w:t>paveaccount</w:t>
            </w:r>
          </w:p>
        </w:tc>
        <w:tc>
          <w:tcPr>
            <w:tcW w:type="dxa" w:w="1440"/>
          </w:tcPr>
          <w:p>
            <w:pPr>
              <w:spacing w:after="100" w:before="100" w:line="259" w:lineRule="auto"/>
            </w:pPr>
            <w:r>
              <w:rPr>
                <w:b w:val="0"/>
                <w:color w:val="243247"/>
                <w:sz w:val="18"/>
              </w:rPr>
              <w:t>404</w:t>
            </w:r>
          </w:p>
        </w:tc>
        <w:tc>
          <w:tcPr>
            <w:tcW w:type="dxa" w:w="1440"/>
          </w:tcPr>
          <w:p>
            <w:pPr>
              <w:spacing w:after="100" w:before="100" w:line="259" w:lineRule="auto"/>
            </w:pPr>
            <w:r>
              <w:rPr>
                <w:b w:val="0"/>
                <w:color w:val="243247"/>
                <w:sz w:val="18"/>
              </w:rPr>
              <w:t>404</w:t>
            </w:r>
          </w:p>
        </w:tc>
        <w:tc>
          <w:tcPr>
            <w:tcW w:type="dxa" w:w="1440"/>
          </w:tcPr>
          <w:p>
            <w:pPr>
              <w:spacing w:after="100" w:before="100" w:line="259" w:lineRule="auto"/>
            </w:pPr>
            <w:r>
              <w:rPr>
                <w:b w:val="0"/>
                <w:color w:val="243247"/>
                <w:sz w:val="18"/>
              </w:rPr>
              <w:t>404</w:t>
            </w:r>
          </w:p>
        </w:tc>
        <w:tc>
          <w:tcPr>
            <w:tcW w:type="dxa" w:w="1440"/>
          </w:tcPr>
          <w:p>
            <w:pPr>
              <w:spacing w:after="100" w:before="100" w:line="259" w:lineRule="auto"/>
            </w:pPr>
            <w:r>
              <w:rPr>
                <w:b w:val="0"/>
                <w:color w:val="243247"/>
                <w:sz w:val="18"/>
              </w:rPr>
              <w:t>404</w:t>
            </w:r>
          </w:p>
        </w:tc>
        <w:tc>
          <w:tcPr>
            <w:tcW w:type="dxa" w:w="1440"/>
          </w:tcPr>
          <w:p>
            <w:pPr>
              <w:spacing w:after="100" w:before="100" w:line="259" w:lineRule="auto"/>
            </w:pPr>
            <w:r>
              <w:rPr>
                <w:b w:val="0"/>
                <w:color w:val="243247"/>
                <w:sz w:val="18"/>
              </w:rPr>
              <w:t>404</w:t>
            </w:r>
          </w:p>
        </w:tc>
      </w:tr>
    </w:tbl>
    <w:p>
      <w:pPr>
        <w:spacing w:after="20" w:line="240" w:lineRule="auto" w:before="0"/>
      </w:pPr>
      <w:r>
        <w:rPr>
          <w:sz w:val="4"/>
        </w:rPr>
      </w:r>
    </w:p>
    <w:p>
      <w:r>
        <w:t>Checks ran on 25 September 2026 at approximately 10:14 a.m. Toronto time, using registry RDAP endpoints selected from IANA's bootstrap. Each candidate returned HTTP 404, interpreted as no domain registration record returned by that service. This is not a guarantee that the domain is purchasable, unreserved, standard-priced or free of trademark rights. The detailed endpoint and timestamp log is included as Domain_Research.json. [S12-S13]</w:t>
      </w:r>
    </w:p>
    <w:p>
      <w:r>
        <w:t>Prioritize .ca and .com if cleared; .ai may be a campaign address. .org and .net are defensive options rather than proof of organizational type. CIRA requires qualifying Canadian presence for .ca registrants. Check acquisition price, renewal cost, minimum term and auto-renewal before purchasing. [S7]</w:t>
      </w:r>
    </w:p>
    <w:p>
      <w:r>
        <w:t>Red and a maple-inspired motif meet the Canadian direction. The national flag and official stylized 11-point maple leaf have protected uses; final commercial art should be reviewed against Canadian Heritage guidance. Do not use the Canada wordmark or imply endorsement. [S8]</w:t>
      </w:r>
    </w:p>
    <w:p>
      <w:pPr>
        <w:pStyle w:val="Heading1"/>
        <w:pageBreakBefore/>
      </w:pPr>
      <w:r>
        <w:t>Brand use and sales message</w:t>
      </w:r>
    </w:p>
    <w:p>
      <w:pPr>
        <w:pStyle w:val="Heading2"/>
      </w:pPr>
      <w:r>
        <w:t>Visual system</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100" w:before="100" w:line="259" w:lineRule="auto"/>
            </w:pPr>
            <w:r>
              <w:rPr>
                <w:b/>
                <w:color w:val="FFFFFF"/>
                <w:sz w:val="18"/>
              </w:rPr>
              <w:t>Element</w:t>
            </w:r>
          </w:p>
        </w:tc>
        <w:tc>
          <w:tcPr>
            <w:tcW w:type="dxa" w:w="7128"/>
            <w:shd w:fill="172B42"/>
          </w:tcPr>
          <w:p>
            <w:pPr>
              <w:spacing w:after="100" w:before="100" w:line="259" w:lineRule="auto"/>
            </w:pPr>
            <w:r>
              <w:rPr>
                <w:b/>
                <w:color w:val="FFFFFF"/>
                <w:sz w:val="18"/>
              </w:rPr>
              <w:t>Specification</w:t>
            </w:r>
          </w:p>
        </w:tc>
      </w:tr>
      <w:tr>
        <w:trPr>
          <w:cantSplit/>
        </w:trPr>
        <w:tc>
          <w:tcPr>
            <w:tcW w:type="dxa" w:w="3096"/>
          </w:tcPr>
          <w:p>
            <w:pPr>
              <w:spacing w:after="100" w:before="100" w:line="259" w:lineRule="auto"/>
            </w:pPr>
            <w:r>
              <w:rPr>
                <w:b w:val="0"/>
                <w:color w:val="243247"/>
                <w:sz w:val="18"/>
              </w:rPr>
              <w:t>Primary red</w:t>
            </w:r>
          </w:p>
        </w:tc>
        <w:tc>
          <w:tcPr>
            <w:tcW w:type="dxa" w:w="7128"/>
          </w:tcPr>
          <w:p>
            <w:pPr>
              <w:spacing w:after="100" w:before="100" w:line="259" w:lineRule="auto"/>
            </w:pPr>
            <w:r>
              <w:rPr>
                <w:b w:val="0"/>
                <w:color w:val="243247"/>
                <w:sz w:val="18"/>
              </w:rPr>
              <w:t>Canadian-inspired deep red near #C9203D</w:t>
            </w:r>
          </w:p>
        </w:tc>
      </w:tr>
      <w:tr>
        <w:trPr>
          <w:cantSplit/>
        </w:trPr>
        <w:tc>
          <w:tcPr>
            <w:tcW w:type="dxa" w:w="3096"/>
            <w:shd w:fill="F3F6FA"/>
          </w:tcPr>
          <w:p>
            <w:pPr>
              <w:spacing w:after="100" w:before="100" w:line="259" w:lineRule="auto"/>
            </w:pPr>
            <w:r>
              <w:rPr>
                <w:b w:val="0"/>
                <w:color w:val="243247"/>
                <w:sz w:val="18"/>
              </w:rPr>
              <w:t>Primary navy</w:t>
            </w:r>
          </w:p>
        </w:tc>
        <w:tc>
          <w:tcPr>
            <w:tcW w:type="dxa" w:w="7128"/>
            <w:shd w:fill="F3F6FA"/>
          </w:tcPr>
          <w:p>
            <w:pPr>
              <w:spacing w:after="100" w:before="100" w:line="259" w:lineRule="auto"/>
            </w:pPr>
            <w:r>
              <w:rPr>
                <w:b w:val="0"/>
                <w:color w:val="243247"/>
                <w:sz w:val="18"/>
              </w:rPr>
              <w:t>Road operations navy near #172B42</w:t>
            </w:r>
          </w:p>
        </w:tc>
      </w:tr>
      <w:tr>
        <w:trPr>
          <w:cantSplit/>
        </w:trPr>
        <w:tc>
          <w:tcPr>
            <w:tcW w:type="dxa" w:w="3096"/>
          </w:tcPr>
          <w:p>
            <w:pPr>
              <w:spacing w:after="100" w:before="100" w:line="259" w:lineRule="auto"/>
            </w:pPr>
            <w:r>
              <w:rPr>
                <w:b w:val="0"/>
                <w:color w:val="243247"/>
                <w:sz w:val="18"/>
              </w:rPr>
              <w:t>Backgrounds</w:t>
            </w:r>
          </w:p>
        </w:tc>
        <w:tc>
          <w:tcPr>
            <w:tcW w:type="dxa" w:w="7128"/>
          </w:tcPr>
          <w:p>
            <w:pPr>
              <w:spacing w:after="100" w:before="100" w:line="259" w:lineRule="auto"/>
            </w:pPr>
            <w:r>
              <w:rPr>
                <w:b w:val="0"/>
                <w:color w:val="243247"/>
                <w:sz w:val="18"/>
              </w:rPr>
              <w:t>White and cool grey #F5F7FA</w:t>
            </w:r>
          </w:p>
        </w:tc>
      </w:tr>
      <w:tr>
        <w:trPr>
          <w:cantSplit/>
        </w:trPr>
        <w:tc>
          <w:tcPr>
            <w:tcW w:type="dxa" w:w="3096"/>
            <w:shd w:fill="F3F6FA"/>
          </w:tcPr>
          <w:p>
            <w:pPr>
              <w:spacing w:after="100" w:before="100" w:line="259" w:lineRule="auto"/>
            </w:pPr>
            <w:r>
              <w:rPr>
                <w:b w:val="0"/>
                <w:color w:val="243247"/>
                <w:sz w:val="18"/>
              </w:rPr>
              <w:t>Typography</w:t>
            </w:r>
          </w:p>
        </w:tc>
        <w:tc>
          <w:tcPr>
            <w:tcW w:type="dxa" w:w="7128"/>
            <w:shd w:fill="F3F6FA"/>
          </w:tcPr>
          <w:p>
            <w:pPr>
              <w:spacing w:after="100" w:before="100" w:line="259" w:lineRule="auto"/>
            </w:pPr>
            <w:r>
              <w:rPr>
                <w:b w:val="0"/>
                <w:color w:val="243247"/>
                <w:sz w:val="18"/>
              </w:rPr>
              <w:t>Clean accessible sans serif; strong hierarchy; restrained capitals</w:t>
            </w:r>
          </w:p>
        </w:tc>
      </w:tr>
      <w:tr>
        <w:trPr>
          <w:cantSplit/>
        </w:trPr>
        <w:tc>
          <w:tcPr>
            <w:tcW w:type="dxa" w:w="3096"/>
          </w:tcPr>
          <w:p>
            <w:pPr>
              <w:spacing w:after="100" w:before="100" w:line="259" w:lineRule="auto"/>
            </w:pPr>
            <w:r>
              <w:rPr>
                <w:b w:val="0"/>
                <w:color w:val="243247"/>
                <w:sz w:val="18"/>
              </w:rPr>
              <w:t>Logo spacing</w:t>
            </w:r>
          </w:p>
        </w:tc>
        <w:tc>
          <w:tcPr>
            <w:tcW w:type="dxa" w:w="7128"/>
          </w:tcPr>
          <w:p>
            <w:pPr>
              <w:spacing w:after="100" w:before="100" w:line="259" w:lineRule="auto"/>
            </w:pPr>
            <w:r>
              <w:rPr>
                <w:b w:val="0"/>
                <w:color w:val="243247"/>
                <w:sz w:val="18"/>
              </w:rPr>
              <w:t>Keep clear space at least the height of the road opening around the mark</w:t>
            </w:r>
          </w:p>
        </w:tc>
      </w:tr>
      <w:tr>
        <w:trPr>
          <w:cantSplit/>
        </w:trPr>
        <w:tc>
          <w:tcPr>
            <w:tcW w:type="dxa" w:w="3096"/>
            <w:shd w:fill="F3F6FA"/>
          </w:tcPr>
          <w:p>
            <w:pPr>
              <w:spacing w:after="100" w:before="100" w:line="259" w:lineRule="auto"/>
            </w:pPr>
            <w:r>
              <w:rPr>
                <w:b w:val="0"/>
                <w:color w:val="243247"/>
                <w:sz w:val="18"/>
              </w:rPr>
              <w:t>Small uses</w:t>
            </w:r>
          </w:p>
        </w:tc>
        <w:tc>
          <w:tcPr>
            <w:tcW w:type="dxa" w:w="7128"/>
            <w:shd w:fill="F3F6FA"/>
          </w:tcPr>
          <w:p>
            <w:pPr>
              <w:spacing w:after="100" w:before="100" w:line="259" w:lineRule="auto"/>
            </w:pPr>
            <w:r>
              <w:rPr>
                <w:b w:val="0"/>
                <w:color w:val="243247"/>
                <w:sz w:val="18"/>
              </w:rPr>
              <w:t>Use a professionally redrawn mark; do not squeeze the full wordmark into an app icon</w:t>
            </w:r>
          </w:p>
        </w:tc>
      </w:tr>
      <w:tr>
        <w:trPr>
          <w:cantSplit/>
        </w:trPr>
        <w:tc>
          <w:tcPr>
            <w:tcW w:type="dxa" w:w="3096"/>
          </w:tcPr>
          <w:p>
            <w:pPr>
              <w:spacing w:after="100" w:before="100" w:line="259" w:lineRule="auto"/>
            </w:pPr>
            <w:r>
              <w:rPr>
                <w:b w:val="0"/>
                <w:color w:val="243247"/>
                <w:sz w:val="18"/>
              </w:rPr>
              <w:t>Status colours</w:t>
            </w:r>
          </w:p>
        </w:tc>
        <w:tc>
          <w:tcPr>
            <w:tcW w:type="dxa" w:w="7128"/>
          </w:tcPr>
          <w:p>
            <w:pPr>
              <w:spacing w:after="100" w:before="100" w:line="259" w:lineRule="auto"/>
            </w:pPr>
            <w:r>
              <w:rPr>
                <w:b w:val="0"/>
                <w:color w:val="243247"/>
                <w:sz w:val="18"/>
              </w:rPr>
              <w:t>Separate operational state colours from brand red; include text labels</w:t>
            </w:r>
          </w:p>
        </w:tc>
      </w:tr>
    </w:tbl>
    <w:p>
      <w:pPr>
        <w:spacing w:after="20" w:line="240" w:lineRule="auto" w:before="0"/>
      </w:pPr>
      <w:r>
        <w:rPr>
          <w:sz w:val="4"/>
        </w:rPr>
      </w:r>
    </w:p>
    <w:p>
      <w:pPr>
        <w:pStyle w:val="Heading2"/>
      </w:pPr>
      <w:r>
        <w:t>Sales concept</w:t>
      </w:r>
    </w:p>
    <w:p>
      <w:r>
        <w:t>PaveLedger helps road authorities turn vehicle-based observations into assigned investigations, contract-aware repair requests and verified outcomes. It gives staff a clear record of the issue, the decision, the responsible party and the next action.</w:t>
      </w:r>
    </w:p>
    <w:p>
      <w:r>
        <w:t>Position the platform as compatible with existing municipal work management. A practical conversation begins with a specific route, the current reporting process and a small set of repair contracts. Show the buyer how a real case would move through their own team.</w:t>
      </w:r>
    </w:p>
    <w:p>
      <w:pPr>
        <w:pStyle w:val="Heading2"/>
      </w:pPr>
      <w:r>
        <w:t>Claims to use only when demonstrated</w:t>
      </w:r>
    </w:p>
    <w:p>
      <w:pPr>
        <w:pStyle w:val="ListBullet"/>
      </w:pPr>
      <w:r>
        <w:t>Measured detection precision and recall, with the test conditions and sample size.</w:t>
      </w:r>
    </w:p>
    <w:p>
      <w:pPr>
        <w:pStyle w:val="ListBullet"/>
      </w:pPr>
      <w:r>
        <w:t>Measured reduction in handling time, with the baseline and what tasks are included.</w:t>
      </w:r>
    </w:p>
    <w:p>
      <w:pPr>
        <w:pStyle w:val="ListBullet"/>
      </w:pPr>
      <w:r>
        <w:t>Verified warranty-related cost avoided, with accepted responsibility and supporting amounts.</w:t>
      </w:r>
    </w:p>
    <w:p>
      <w:pPr>
        <w:pStyle w:val="ListBullet"/>
      </w:pPr>
      <w:r>
        <w:t>Hosting and retention commitments supported by the actual architecture and signed service agreement.</w:t>
      </w:r>
    </w:p>
    <w:p>
      <w:pPr>
        <w:pStyle w:val="Heading2"/>
      </w:pPr>
      <w:r>
        <w:t>Claims to avoid</w:t>
      </w:r>
    </w:p>
    <w:p>
      <w:r>
        <w:t>Avoid exact GPS without a stated uncertainty, fully automatic repair verification from an absent detection, guaranteed statutory compliance, guaranteed savings, guaranteed government procurement and first-of-its-kind claims. Never present the fictional contractor records, generated photo or sample city workspace as a live customer deployment.</w:t>
      </w:r>
    </w:p>
    <w:p>
      <w:r>
        <w:t>The companion municipal brochure supports an initial buyer meeting. The fleet and contractor brochure explains participation and responsibilities. Both are concept sales materials and should be adapted with an approved company identity and contact details before distribution.</w:t>
      </w:r>
    </w:p>
    <w:p>
      <w:pPr>
        <w:pStyle w:val="Heading1"/>
        <w:pageBreakBefore/>
      </w:pPr>
      <w:r>
        <w:t>Research sources</w:t>
      </w:r>
    </w:p>
    <w:p>
      <w:r>
        <w:t>Sources support market context and design decisions. They do not validate PaveLedger performance, prices, profitability or ownership of a brand. Financial values in this plan come from the accompanying editable planning model.</w:t>
      </w:r>
    </w:p>
    <w:p>
      <w:r>
        <w:t>S1  City of Markham. Markham pilots new AI technology this Spring to assess road conditions. 11 April 2024.</w:t>
      </w:r>
    </w:p>
    <w:p>
      <w:pPr>
        <w:spacing w:after="200"/>
      </w:pPr>
      <w:r>
        <w:rPr>
          <w:color w:val="46637D"/>
          <w:sz w:val="17"/>
        </w:rPr>
        <w:t>https://www.markham.ca/about-city-markham/news/news-releases/markham-pilots-new-ai-technology-spring-assess-road-conditions</w:t>
      </w:r>
    </w:p>
    <w:p>
      <w:r>
        <w:t>S2  Citylogix. AI powered enterprise asset management platform. Accessed 25 September 2026.</w:t>
      </w:r>
    </w:p>
    <w:p>
      <w:pPr>
        <w:spacing w:after="200"/>
      </w:pPr>
      <w:r>
        <w:rPr>
          <w:color w:val="46637D"/>
          <w:sz w:val="17"/>
        </w:rPr>
        <w:t>https://citylogix.com/</w:t>
      </w:r>
    </w:p>
    <w:p>
      <w:r>
        <w:t>S3  Vaisala. Using Vaisala RoadAI to improve rural surveys in Suffolk. 14 September 2020.</w:t>
      </w:r>
    </w:p>
    <w:p>
      <w:pPr>
        <w:spacing w:after="200"/>
      </w:pPr>
      <w:r>
        <w:rPr>
          <w:color w:val="46637D"/>
          <w:sz w:val="17"/>
        </w:rPr>
        <w:t>https://www.vaisala.com/en/case/using-vaisala-roadai-improve-rural-surveys-suffolk-uk</w:t>
      </w:r>
    </w:p>
    <w:p>
      <w:r>
        <w:t>S4  Sahoo, Mohanty and Mishra. iWatchRoadv2 Pothole Detection Geospatial Mapping and Intelligent Road Governance. 18 October 2025; preprint under review.</w:t>
      </w:r>
    </w:p>
    <w:p>
      <w:pPr>
        <w:spacing w:after="200"/>
      </w:pPr>
      <w:r>
        <w:rPr>
          <w:color w:val="46637D"/>
          <w:sz w:val="17"/>
        </w:rPr>
        <w:t>https://arxiv.org/abs/2510.16375</w:t>
      </w:r>
    </w:p>
    <w:p>
      <w:r>
        <w:t>S5  Government of Ontario. O Reg 239/02 Minimum Maintenance Standards for Municipal Highways. Current e Laws entry searched 25 September 2026.</w:t>
      </w:r>
    </w:p>
    <w:p>
      <w:pPr>
        <w:spacing w:after="200"/>
      </w:pPr>
      <w:r>
        <w:rPr>
          <w:color w:val="46637D"/>
          <w:sz w:val="17"/>
        </w:rPr>
        <w:t>https://www.ontario.ca/laws/regulation/020239</w:t>
      </w:r>
    </w:p>
    <w:p>
      <w:r>
        <w:t>S6  Information and Privacy Commissioner of Ontario. Guidelines for the Use of Video Surveillance. 2015 guidance; page includes notice of 2026 and 2027 legislative changes.</w:t>
      </w:r>
    </w:p>
    <w:p>
      <w:pPr>
        <w:spacing w:after="200"/>
      </w:pPr>
      <w:r>
        <w:rPr>
          <w:color w:val="46637D"/>
          <w:sz w:val="17"/>
        </w:rPr>
        <w:t>https://www.ipc.on.ca/en/resources-and-decisions/guidelines-use-video-surveillance</w:t>
      </w:r>
    </w:p>
    <w:p>
      <w:r>
        <w:t>S7  CIRA. Canadian Presence Requirements for Registrants. Accessed 25 September 2026.</w:t>
      </w:r>
    </w:p>
    <w:p>
      <w:pPr>
        <w:spacing w:after="200"/>
      </w:pPr>
      <w:r>
        <w:rPr>
          <w:color w:val="46637D"/>
          <w:sz w:val="17"/>
        </w:rPr>
        <w:t>https://www.cira.ca/en/resources/documents/domains/canadian-presence-requirements-registrants/</w:t>
      </w:r>
    </w:p>
    <w:p>
      <w:pPr>
        <w:pStyle w:val="Heading1"/>
        <w:pageBreakBefore/>
      </w:pPr>
      <w:r>
        <w:t>Research sources continued</w:t>
      </w:r>
    </w:p>
    <w:p>
      <w:r>
        <w:t>S8  Canadian Heritage. Commercial Use of Canadian Symbols. Accessed 25 September 2026.</w:t>
      </w:r>
    </w:p>
    <w:p>
      <w:pPr>
        <w:spacing w:after="200"/>
      </w:pPr>
      <w:r>
        <w:rPr>
          <w:color w:val="46637D"/>
          <w:sz w:val="17"/>
        </w:rPr>
        <w:t>https://www.canada.ca/en/canadian-heritage/services/commercial-use-symbols-canada.html</w:t>
      </w:r>
    </w:p>
    <w:p>
      <w:r>
        <w:t>S9  PostGIS. ST DWithin documentation. Accessed 25 September 2026.</w:t>
      </w:r>
    </w:p>
    <w:p>
      <w:pPr>
        <w:spacing w:after="200"/>
      </w:pPr>
      <w:r>
        <w:rPr>
          <w:color w:val="46637D"/>
          <w:sz w:val="17"/>
        </w:rPr>
        <w:t>https://postgis.net/docs/ST_DWithin.html</w:t>
      </w:r>
    </w:p>
    <w:p>
      <w:r>
        <w:t>S10  Amazon Web Services. AWS Regions. Accessed 25 September 2026.</w:t>
      </w:r>
    </w:p>
    <w:p>
      <w:pPr>
        <w:spacing w:after="200"/>
      </w:pPr>
      <w:r>
        <w:rPr>
          <w:color w:val="46637D"/>
          <w:sz w:val="17"/>
        </w:rPr>
        <w:t>https://docs.aws.amazon.com/global-infrastructure/latest/regions/aws-regions.html</w:t>
      </w:r>
    </w:p>
    <w:p>
      <w:r>
        <w:t>S11  CRDDC research organizers. Road damage challenge data. Accessed 25 September 2026.</w:t>
      </w:r>
    </w:p>
    <w:p>
      <w:pPr>
        <w:spacing w:after="200"/>
      </w:pPr>
      <w:r>
        <w:rPr>
          <w:color w:val="46637D"/>
          <w:sz w:val="17"/>
        </w:rPr>
        <w:t>https://crddc2022.sekilab.global/data/</w:t>
      </w:r>
    </w:p>
    <w:p>
      <w:r>
        <w:t>S12  ICANN. Domain Registration Data Advanced Lookup Functionality Now Available. 2 August 2021.</w:t>
      </w:r>
    </w:p>
    <w:p>
      <w:pPr>
        <w:spacing w:after="200"/>
      </w:pPr>
      <w:r>
        <w:rPr>
          <w:color w:val="46637D"/>
          <w:sz w:val="17"/>
        </w:rPr>
        <w:t>https://www.icann.org/en/blogs/details/domain-registration-data-advanced-lookup-functionality-now-available-2-8-2021-en</w:t>
      </w:r>
    </w:p>
    <w:p>
      <w:r>
        <w:t>S13  IANA. RDAP DNS bootstrap registry. Queried 25 September 2026.</w:t>
      </w:r>
    </w:p>
    <w:p>
      <w:pPr>
        <w:spacing w:after="200"/>
      </w:pPr>
      <w:r>
        <w:rPr>
          <w:color w:val="46637D"/>
          <w:sz w:val="17"/>
        </w:rPr>
        <w:t>https://data.iana.org/rdap/dns.json</w:t>
      </w:r>
    </w:p>
    <w:p>
      <w:pPr>
        <w:pStyle w:val="Heading2"/>
      </w:pPr>
      <w:r>
        <w:t>Domain evidence scope</w:t>
      </w:r>
    </w:p>
    <w:p>
      <w:r>
        <w:t>Authoritative endpoints used: rdap.ca.fury.ca for .ca; rdap.verisign.com for .com and .net; rdap.publicinterestregistry.org for .org; and rdap.identitydigital.services for .ai. The included research log preserves the exact query URLs, UTC times, HTTP statuses and interpretation.</w:t>
      </w:r>
    </w:p>
    <w:p>
      <w:r>
        <w:t>Positive-control lookups returned records for google.com, cira.ca and speedtest.net. Positive-control requests for wikipedia.org and openai.ai were blocked with HTTP 403, so the .org and .ai findings have an additional validation limitation. Their candidate requests returned 404; confirm both with a registrar.</w:t>
      </w:r>
    </w:p>
    <w:p>
      <w:r>
        <w:t>No registrar purchase, trademark register examination, corporate name approval or legal clearance is represented by this research.</w:t>
      </w:r>
    </w:p>
    <w:sectPr w:rsidR="00FC693F" w:rsidRPr="0006063C" w:rsidSect="00034616">
      <w:footerReference w:type="default" r:id="rId9"/>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A8596"/>
        <w:sz w:val="16"/>
      </w:rPr>
      <w:t xml:space="preserve">PaveLedger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172B42"/>
      <w:sz w:val="38"/>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172B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PaveLedger business plan</dc:title>
  <dc:subject>PaveLedger platform concept</dc:subject>
  <dc:creator>PaveLedger project</dc:creator>
  <cp:keywords>road safety, investigations, warranty, Canada</cp:keywords>
  <dc:description>generated by python-docx</dc:description>
  <cp:lastModifiedBy/>
  <cp:revision>1</cp:revision>
  <dcterms:created xsi:type="dcterms:W3CDTF">2013-12-23T23:15:00Z</dcterms:created>
  <dcterms:modified xsi:type="dcterms:W3CDTF">2013-12-23T23:15:00Z</dcterms:modified>
  <cp:category/>
</cp:coreProperties>
</file>