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Fleet and contractor participation</w:t>
      </w:r>
    </w:p>
    <w:p>
      <w:pPr>
        <w:spacing w:after="240"/>
      </w:pPr>
      <w:r>
        <w:drawing>
          <wp:inline xmlns:a="http://schemas.openxmlformats.org/drawingml/2006/main" xmlns:pic="http://schemas.openxmlformats.org/drawingml/2006/picture">
            <wp:extent cx="3108960" cy="1047350"/>
            <wp:docPr id="1" name="Picture 1"/>
            <wp:cNvGraphicFramePr>
              <a:graphicFrameLocks noChangeAspect="1"/>
            </wp:cNvGraphicFramePr>
            <a:graphic>
              <a:graphicData uri="http://schemas.openxmlformats.org/drawingml/2006/picture">
                <pic:pic>
                  <pic:nvPicPr>
                    <pic:cNvPr id="0" name="paveledger-logo.png"/>
                    <pic:cNvPicPr/>
                  </pic:nvPicPr>
                  <pic:blipFill>
                    <a:blip r:embed="rId10"/>
                    <a:stretch>
                      <a:fillRect/>
                    </a:stretch>
                  </pic:blipFill>
                  <pic:spPr>
                    <a:xfrm>
                      <a:off x="0" y="0"/>
                      <a:ext cx="3108960" cy="1047350"/>
                    </a:xfrm>
                    <a:prstGeom prst="rect"/>
                  </pic:spPr>
                </pic:pic>
              </a:graphicData>
            </a:graphic>
          </wp:inline>
        </w:drawing>
      </w:r>
    </w:p>
    <w:p>
      <w:r>
        <w:t>Help road authorities build a dependable repair record.</w:t>
      </w:r>
    </w:p>
    <w:p>
      <w:pPr>
        <w:pStyle w:val="Heading2"/>
      </w:pPr>
      <w:r>
        <w:t>For bus and service vehicle fleets</w:t>
      </w:r>
    </w:p>
    <w:p>
      <w:r>
        <w:t>Approved road-facing cameras can collect useful observations on journeys already being made. The planned capture app handles secure uploads and offline queues, while the road authority reviews the reports. Drivers do not investigate defects or interact with the screen while moving.</w:t>
      </w:r>
    </w:p>
    <w:tbl>
      <w:tblPr>
        <w:tblW w:type="auto" w:w="0"/>
        <w:tblLayout w:type="fixed"/>
        <w:tblLook w:firstColumn="1" w:firstRow="1" w:lastColumn="0" w:lastRow="0" w:noHBand="0" w:noVBand="1" w:val="04A0"/>
      </w:tblPr>
      <w:tblGrid>
        <w:gridCol w:w="5112"/>
        <w:gridCol w:w="5112"/>
      </w:tblGrid>
      <w:tr>
        <w:trPr>
          <w:tblHeader/>
          <w:cantSplit/>
        </w:trPr>
        <w:tc>
          <w:tcPr>
            <w:tcW w:type="dxa" w:w="3096"/>
            <w:shd w:fill="172B42"/>
          </w:tcPr>
          <w:p>
            <w:pPr>
              <w:spacing w:after="100" w:before="100" w:line="259" w:lineRule="auto"/>
            </w:pPr>
            <w:r>
              <w:rPr>
                <w:b/>
                <w:color w:val="FFFFFF"/>
                <w:sz w:val="18"/>
              </w:rPr>
              <w:t>Fleet contribution</w:t>
            </w:r>
          </w:p>
        </w:tc>
        <w:tc>
          <w:tcPr>
            <w:tcW w:type="dxa" w:w="7128"/>
            <w:shd w:fill="172B42"/>
          </w:tcPr>
          <w:p>
            <w:pPr>
              <w:spacing w:after="100" w:before="100" w:line="259" w:lineRule="auto"/>
            </w:pPr>
            <w:r>
              <w:rPr>
                <w:b/>
                <w:color w:val="FFFFFF"/>
                <w:sz w:val="18"/>
              </w:rPr>
              <w:t>Platform responsibility</w:t>
            </w:r>
          </w:p>
        </w:tc>
      </w:tr>
      <w:tr>
        <w:trPr>
          <w:cantSplit/>
        </w:trPr>
        <w:tc>
          <w:tcPr>
            <w:tcW w:type="dxa" w:w="3096"/>
          </w:tcPr>
          <w:p>
            <w:pPr>
              <w:spacing w:after="100" w:before="100" w:line="259" w:lineRule="auto"/>
            </w:pPr>
            <w:r>
              <w:rPr>
                <w:b w:val="0"/>
                <w:color w:val="243247"/>
                <w:sz w:val="18"/>
              </w:rPr>
              <w:t>Safe approved mounting and power</w:t>
            </w:r>
          </w:p>
        </w:tc>
        <w:tc>
          <w:tcPr>
            <w:tcW w:type="dxa" w:w="7128"/>
          </w:tcPr>
          <w:p>
            <w:pPr>
              <w:spacing w:after="100" w:before="100" w:line="259" w:lineRule="auto"/>
            </w:pPr>
            <w:r>
              <w:rPr>
                <w:b w:val="0"/>
                <w:color w:val="243247"/>
                <w:sz w:val="18"/>
              </w:rPr>
              <w:t>Device configuration and health reporting</w:t>
            </w:r>
          </w:p>
        </w:tc>
      </w:tr>
      <w:tr>
        <w:trPr>
          <w:cantSplit/>
        </w:trPr>
        <w:tc>
          <w:tcPr>
            <w:tcW w:type="dxa" w:w="3096"/>
            <w:shd w:fill="F3F6FA"/>
          </w:tcPr>
          <w:p>
            <w:pPr>
              <w:spacing w:after="100" w:before="100" w:line="259" w:lineRule="auto"/>
            </w:pPr>
            <w:r>
              <w:rPr>
                <w:b w:val="0"/>
                <w:color w:val="243247"/>
                <w:sz w:val="18"/>
              </w:rPr>
              <w:t>Agreed routes and operating times</w:t>
            </w:r>
          </w:p>
        </w:tc>
        <w:tc>
          <w:tcPr>
            <w:tcW w:type="dxa" w:w="7128"/>
            <w:shd w:fill="F3F6FA"/>
          </w:tcPr>
          <w:p>
            <w:pPr>
              <w:spacing w:after="100" w:before="100" w:line="259" w:lineRule="auto"/>
            </w:pPr>
            <w:r>
              <w:rPr>
                <w:b w:val="0"/>
                <w:color w:val="243247"/>
                <w:sz w:val="18"/>
              </w:rPr>
              <w:t>Road-facing capture and controlled uploads</w:t>
            </w:r>
          </w:p>
        </w:tc>
      </w:tr>
      <w:tr>
        <w:trPr>
          <w:cantSplit/>
        </w:trPr>
        <w:tc>
          <w:tcPr>
            <w:tcW w:type="dxa" w:w="3096"/>
          </w:tcPr>
          <w:p>
            <w:pPr>
              <w:spacing w:after="100" w:before="100" w:line="259" w:lineRule="auto"/>
            </w:pPr>
            <w:r>
              <w:rPr>
                <w:b w:val="0"/>
                <w:color w:val="243247"/>
                <w:sz w:val="18"/>
              </w:rPr>
              <w:t>Report damaged or misaligned equipment</w:t>
            </w:r>
          </w:p>
        </w:tc>
        <w:tc>
          <w:tcPr>
            <w:tcW w:type="dxa" w:w="7128"/>
          </w:tcPr>
          <w:p>
            <w:pPr>
              <w:spacing w:after="100" w:before="100" w:line="259" w:lineRule="auto"/>
            </w:pPr>
            <w:r>
              <w:rPr>
                <w:b w:val="0"/>
                <w:color w:val="243247"/>
                <w:sz w:val="18"/>
              </w:rPr>
              <w:t>Quality checks and visible coverage gaps</w:t>
            </w:r>
          </w:p>
        </w:tc>
      </w:tr>
      <w:tr>
        <w:trPr>
          <w:cantSplit/>
        </w:trPr>
        <w:tc>
          <w:tcPr>
            <w:tcW w:type="dxa" w:w="3096"/>
            <w:shd w:fill="F3F6FA"/>
          </w:tcPr>
          <w:p>
            <w:pPr>
              <w:spacing w:after="100" w:before="100" w:line="259" w:lineRule="auto"/>
            </w:pPr>
            <w:r>
              <w:rPr>
                <w:b w:val="0"/>
                <w:color w:val="243247"/>
                <w:sz w:val="18"/>
              </w:rPr>
              <w:t>Follow fleet and privacy procedures</w:t>
            </w:r>
          </w:p>
        </w:tc>
        <w:tc>
          <w:tcPr>
            <w:tcW w:type="dxa" w:w="7128"/>
            <w:shd w:fill="F3F6FA"/>
          </w:tcPr>
          <w:p>
            <w:pPr>
              <w:spacing w:after="100" w:before="100" w:line="259" w:lineRule="auto"/>
            </w:pPr>
            <w:r>
              <w:rPr>
                <w:b w:val="0"/>
                <w:color w:val="243247"/>
                <w:sz w:val="18"/>
              </w:rPr>
              <w:t>Redacted evidence and access controls</w:t>
            </w:r>
          </w:p>
        </w:tc>
      </w:tr>
    </w:tbl>
    <w:p>
      <w:pPr>
        <w:spacing w:after="20" w:line="240" w:lineRule="auto" w:before="0"/>
      </w:pPr>
      <w:r>
        <w:rPr>
          <w:sz w:val="4"/>
        </w:rPr>
      </w:r>
    </w:p>
    <w:p>
      <w:pPr>
        <w:pStyle w:val="Heading2"/>
      </w:pPr>
      <w:r>
        <w:t>For volunteer participants</w:t>
      </w:r>
    </w:p>
    <w:p>
      <w:r>
        <w:t>Participation should be opt-in, with approved capture zones and a clear pause control. The program must explain what is collected and retained. It should not expose volunteers' private routes or home locations to other participants. Volunteers do not need access to municipal tickets.</w:t>
      </w:r>
    </w:p>
    <w:p>
      <w:pPr>
        <w:pStyle w:val="Heading2"/>
      </w:pPr>
      <w:r>
        <w:t>For road repair contractors</w:t>
      </w:r>
    </w:p>
    <w:p>
      <w:r>
        <w:t>Receive a clear report with the ticket reference, defect image, location context and relevant contract. A scoped portal is designed to let your authorized contact acknowledge the request, raise a responsibility question, schedule work and submit completion evidence.</w:t>
      </w:r>
    </w:p>
    <w:p>
      <w:r>
        <w:t>Participation terms, devices and costs depend on the road authority's approved pilot agreement.</w:t>
      </w:r>
    </w:p>
    <w:p>
      <w:pPr>
        <w:pStyle w:val="Heading1"/>
        <w:pageBreakBefore/>
      </w:pPr>
      <w:r>
        <w:t>Clear responsibilities through the repair process</w:t>
      </w:r>
    </w:p>
    <w:tbl>
      <w:tblPr>
        <w:tblW w:type="auto" w:w="0"/>
        <w:tblLayout w:type="fixed"/>
        <w:tblLook w:firstColumn="1" w:firstRow="1" w:lastColumn="0" w:lastRow="0" w:noHBand="0" w:noVBand="1" w:val="04A0"/>
      </w:tblPr>
      <w:tblGrid>
        <w:gridCol w:w="3408"/>
        <w:gridCol w:w="3408"/>
        <w:gridCol w:w="3408"/>
      </w:tblGrid>
      <w:tr>
        <w:trPr>
          <w:tblHeader/>
          <w:cantSplit/>
        </w:trPr>
        <w:tc>
          <w:tcPr>
            <w:tcW w:type="dxa" w:w="2304"/>
            <w:shd w:fill="172B42"/>
          </w:tcPr>
          <w:p>
            <w:pPr>
              <w:spacing w:after="100" w:before="100" w:line="259" w:lineRule="auto"/>
            </w:pPr>
            <w:r>
              <w:rPr>
                <w:b/>
                <w:color w:val="FFFFFF"/>
                <w:sz w:val="18"/>
              </w:rPr>
              <w:t>Stage</w:t>
            </w:r>
          </w:p>
        </w:tc>
        <w:tc>
          <w:tcPr>
            <w:tcW w:type="dxa" w:w="3600"/>
            <w:shd w:fill="172B42"/>
          </w:tcPr>
          <w:p>
            <w:pPr>
              <w:spacing w:after="100" w:before="100" w:line="259" w:lineRule="auto"/>
            </w:pPr>
            <w:r>
              <w:rPr>
                <w:b/>
                <w:color w:val="FFFFFF"/>
                <w:sz w:val="18"/>
              </w:rPr>
              <w:t>Who acts</w:t>
            </w:r>
          </w:p>
        </w:tc>
        <w:tc>
          <w:tcPr>
            <w:tcW w:type="dxa" w:w="4320"/>
            <w:shd w:fill="172B42"/>
          </w:tcPr>
          <w:p>
            <w:pPr>
              <w:spacing w:after="100" w:before="100" w:line="259" w:lineRule="auto"/>
            </w:pPr>
            <w:r>
              <w:rPr>
                <w:b/>
                <w:color w:val="FFFFFF"/>
                <w:sz w:val="18"/>
              </w:rPr>
              <w:t>What is recorded</w:t>
            </w:r>
          </w:p>
        </w:tc>
      </w:tr>
      <w:tr>
        <w:trPr>
          <w:cantSplit/>
        </w:trPr>
        <w:tc>
          <w:tcPr>
            <w:tcW w:type="dxa" w:w="2304"/>
          </w:tcPr>
          <w:p>
            <w:pPr>
              <w:spacing w:after="100" w:before="100" w:line="259" w:lineRule="auto"/>
            </w:pPr>
            <w:r>
              <w:rPr>
                <w:b w:val="0"/>
                <w:color w:val="243247"/>
                <w:sz w:val="18"/>
              </w:rPr>
              <w:t>Issue confirmed</w:t>
            </w:r>
          </w:p>
        </w:tc>
        <w:tc>
          <w:tcPr>
            <w:tcW w:type="dxa" w:w="3600"/>
          </w:tcPr>
          <w:p>
            <w:pPr>
              <w:spacing w:after="100" w:before="100" w:line="259" w:lineRule="auto"/>
            </w:pPr>
            <w:r>
              <w:rPr>
                <w:b w:val="0"/>
                <w:color w:val="243247"/>
                <w:sz w:val="18"/>
              </w:rPr>
              <w:t>Municipal analyst</w:t>
            </w:r>
          </w:p>
        </w:tc>
        <w:tc>
          <w:tcPr>
            <w:tcW w:type="dxa" w:w="4320"/>
          </w:tcPr>
          <w:p>
            <w:pPr>
              <w:spacing w:after="100" w:before="100" w:line="259" w:lineRule="auto"/>
            </w:pPr>
            <w:r>
              <w:rPr>
                <w:b w:val="0"/>
                <w:color w:val="243247"/>
                <w:sz w:val="18"/>
              </w:rPr>
              <w:t>Evidence, location and urgency</w:t>
            </w:r>
          </w:p>
        </w:tc>
      </w:tr>
      <w:tr>
        <w:trPr>
          <w:cantSplit/>
        </w:trPr>
        <w:tc>
          <w:tcPr>
            <w:tcW w:type="dxa" w:w="2304"/>
            <w:shd w:fill="F3F6FA"/>
          </w:tcPr>
          <w:p>
            <w:pPr>
              <w:spacing w:after="100" w:before="100" w:line="259" w:lineRule="auto"/>
            </w:pPr>
            <w:r>
              <w:rPr>
                <w:b w:val="0"/>
                <w:color w:val="243247"/>
                <w:sz w:val="18"/>
              </w:rPr>
              <w:t>Responsibility reviewed</w:t>
            </w:r>
          </w:p>
        </w:tc>
        <w:tc>
          <w:tcPr>
            <w:tcW w:type="dxa" w:w="3600"/>
            <w:shd w:fill="F3F6FA"/>
          </w:tcPr>
          <w:p>
            <w:pPr>
              <w:spacing w:after="100" w:before="100" w:line="259" w:lineRule="auto"/>
            </w:pPr>
            <w:r>
              <w:rPr>
                <w:b w:val="0"/>
                <w:color w:val="243247"/>
                <w:sz w:val="18"/>
              </w:rPr>
              <w:t>Municipal contract owner</w:t>
            </w:r>
          </w:p>
        </w:tc>
        <w:tc>
          <w:tcPr>
            <w:tcW w:type="dxa" w:w="4320"/>
            <w:shd w:fill="F3F6FA"/>
          </w:tcPr>
          <w:p>
            <w:pPr>
              <w:spacing w:after="100" w:before="100" w:line="259" w:lineRule="auto"/>
            </w:pPr>
            <w:r>
              <w:rPr>
                <w:b w:val="0"/>
                <w:color w:val="243247"/>
                <w:sz w:val="18"/>
              </w:rPr>
              <w:t>Contract scope, dates and contact</w:t>
            </w:r>
          </w:p>
        </w:tc>
      </w:tr>
      <w:tr>
        <w:trPr>
          <w:cantSplit/>
        </w:trPr>
        <w:tc>
          <w:tcPr>
            <w:tcW w:type="dxa" w:w="2304"/>
          </w:tcPr>
          <w:p>
            <w:pPr>
              <w:spacing w:after="100" w:before="100" w:line="259" w:lineRule="auto"/>
            </w:pPr>
            <w:r>
              <w:rPr>
                <w:b w:val="0"/>
                <w:color w:val="243247"/>
                <w:sz w:val="18"/>
              </w:rPr>
              <w:t>Request received</w:t>
            </w:r>
          </w:p>
        </w:tc>
        <w:tc>
          <w:tcPr>
            <w:tcW w:type="dxa" w:w="3600"/>
          </w:tcPr>
          <w:p>
            <w:pPr>
              <w:spacing w:after="100" w:before="100" w:line="259" w:lineRule="auto"/>
            </w:pPr>
            <w:r>
              <w:rPr>
                <w:b w:val="0"/>
                <w:color w:val="243247"/>
                <w:sz w:val="18"/>
              </w:rPr>
              <w:t>Authorized contractor POC</w:t>
            </w:r>
          </w:p>
        </w:tc>
        <w:tc>
          <w:tcPr>
            <w:tcW w:type="dxa" w:w="4320"/>
          </w:tcPr>
          <w:p>
            <w:pPr>
              <w:spacing w:after="100" w:before="100" w:line="259" w:lineRule="auto"/>
            </w:pPr>
            <w:r>
              <w:rPr>
                <w:b w:val="0"/>
                <w:color w:val="243247"/>
                <w:sz w:val="18"/>
              </w:rPr>
              <w:t>Acknowledgement or dispute</w:t>
            </w:r>
          </w:p>
        </w:tc>
      </w:tr>
      <w:tr>
        <w:trPr>
          <w:cantSplit/>
        </w:trPr>
        <w:tc>
          <w:tcPr>
            <w:tcW w:type="dxa" w:w="2304"/>
            <w:shd w:fill="F3F6FA"/>
          </w:tcPr>
          <w:p>
            <w:pPr>
              <w:spacing w:after="100" w:before="100" w:line="259" w:lineRule="auto"/>
            </w:pPr>
            <w:r>
              <w:rPr>
                <w:b w:val="0"/>
                <w:color w:val="243247"/>
                <w:sz w:val="18"/>
              </w:rPr>
              <w:t>Repair undertaken</w:t>
            </w:r>
          </w:p>
        </w:tc>
        <w:tc>
          <w:tcPr>
            <w:tcW w:type="dxa" w:w="3600"/>
            <w:shd w:fill="F3F6FA"/>
          </w:tcPr>
          <w:p>
            <w:pPr>
              <w:spacing w:after="100" w:before="100" w:line="259" w:lineRule="auto"/>
            </w:pPr>
            <w:r>
              <w:rPr>
                <w:b w:val="0"/>
                <w:color w:val="243247"/>
                <w:sz w:val="18"/>
              </w:rPr>
              <w:t>Contractor or municipal crew</w:t>
            </w:r>
          </w:p>
        </w:tc>
        <w:tc>
          <w:tcPr>
            <w:tcW w:type="dxa" w:w="4320"/>
            <w:shd w:fill="F3F6FA"/>
          </w:tcPr>
          <w:p>
            <w:pPr>
              <w:spacing w:after="100" w:before="100" w:line="259" w:lineRule="auto"/>
            </w:pPr>
            <w:r>
              <w:rPr>
                <w:b w:val="0"/>
                <w:color w:val="243247"/>
                <w:sz w:val="18"/>
              </w:rPr>
              <w:t>Schedule, work description and evidence</w:t>
            </w:r>
          </w:p>
        </w:tc>
      </w:tr>
      <w:tr>
        <w:trPr>
          <w:cantSplit/>
        </w:trPr>
        <w:tc>
          <w:tcPr>
            <w:tcW w:type="dxa" w:w="2304"/>
          </w:tcPr>
          <w:p>
            <w:pPr>
              <w:spacing w:after="100" w:before="100" w:line="259" w:lineRule="auto"/>
            </w:pPr>
            <w:r>
              <w:rPr>
                <w:b w:val="0"/>
                <w:color w:val="243247"/>
                <w:sz w:val="18"/>
              </w:rPr>
              <w:t>Repair reviewed</w:t>
            </w:r>
          </w:p>
        </w:tc>
        <w:tc>
          <w:tcPr>
            <w:tcW w:type="dxa" w:w="3600"/>
          </w:tcPr>
          <w:p>
            <w:pPr>
              <w:spacing w:after="100" w:before="100" w:line="259" w:lineRule="auto"/>
            </w:pPr>
            <w:r>
              <w:rPr>
                <w:b w:val="0"/>
                <w:color w:val="243247"/>
                <w:sz w:val="18"/>
              </w:rPr>
              <w:t>Municipal reviewer</w:t>
            </w:r>
          </w:p>
        </w:tc>
        <w:tc>
          <w:tcPr>
            <w:tcW w:type="dxa" w:w="4320"/>
          </w:tcPr>
          <w:p>
            <w:pPr>
              <w:spacing w:after="100" w:before="100" w:line="259" w:lineRule="auto"/>
            </w:pPr>
            <w:r>
              <w:rPr>
                <w:b w:val="0"/>
                <w:color w:val="243247"/>
                <w:sz w:val="18"/>
              </w:rPr>
              <w:t>Clear repeat observation or field inspection</w:t>
            </w:r>
          </w:p>
        </w:tc>
      </w:tr>
      <w:tr>
        <w:trPr>
          <w:cantSplit/>
        </w:trPr>
        <w:tc>
          <w:tcPr>
            <w:tcW w:type="dxa" w:w="2304"/>
            <w:shd w:fill="F3F6FA"/>
          </w:tcPr>
          <w:p>
            <w:pPr>
              <w:spacing w:after="100" w:before="100" w:line="259" w:lineRule="auto"/>
            </w:pPr>
            <w:r>
              <w:rPr>
                <w:b w:val="0"/>
                <w:color w:val="243247"/>
                <w:sz w:val="18"/>
              </w:rPr>
              <w:t>Case resolved or reopened</w:t>
            </w:r>
          </w:p>
        </w:tc>
        <w:tc>
          <w:tcPr>
            <w:tcW w:type="dxa" w:w="3600"/>
            <w:shd w:fill="F3F6FA"/>
          </w:tcPr>
          <w:p>
            <w:pPr>
              <w:spacing w:after="100" w:before="100" w:line="259" w:lineRule="auto"/>
            </w:pPr>
            <w:r>
              <w:rPr>
                <w:b w:val="0"/>
                <w:color w:val="243247"/>
                <w:sz w:val="18"/>
              </w:rPr>
              <w:t>Authorized municipal staff</w:t>
            </w:r>
          </w:p>
        </w:tc>
        <w:tc>
          <w:tcPr>
            <w:tcW w:type="dxa" w:w="4320"/>
            <w:shd w:fill="F3F6FA"/>
          </w:tcPr>
          <w:p>
            <w:pPr>
              <w:spacing w:after="100" w:before="100" w:line="259" w:lineRule="auto"/>
            </w:pPr>
            <w:r>
              <w:rPr>
                <w:b w:val="0"/>
                <w:color w:val="243247"/>
                <w:sz w:val="18"/>
              </w:rPr>
              <w:t>Decision and complete history</w:t>
            </w:r>
          </w:p>
        </w:tc>
      </w:tr>
    </w:tbl>
    <w:p>
      <w:pPr>
        <w:spacing w:after="20" w:line="240" w:lineRule="auto" w:before="0"/>
      </w:pPr>
      <w:r>
        <w:rPr>
          <w:sz w:val="4"/>
        </w:rPr>
      </w:r>
    </w:p>
    <w:p>
      <w:pPr>
        <w:pStyle w:val="Heading2"/>
      </w:pPr>
      <w:r>
        <w:t>A fair and traceable process</w:t>
      </w:r>
    </w:p>
    <w:p>
      <w:r>
        <w:t>A contract match is a candidate for review, not an automatic finding of liability. Contractors can identify an incorrect scope, excluded work or another responsible party. The road authority can still take urgent safety action while a cost-recovery question is being resolved.</w:t>
      </w:r>
    </w:p>
    <w:p>
      <w:r>
        <w:t>Completion photos start verification. A later bus or service vehicle pass can provide supporting evidence when it shows the same location clearly. Occlusion, snow or a different lane keeps the verification task open.</w:t>
      </w:r>
    </w:p>
    <w:p>
      <w:pPr>
        <w:pStyle w:val="Heading2"/>
      </w:pPr>
      <w:r>
        <w:t>Privacy and access</w:t>
      </w:r>
    </w:p>
    <w:p>
      <w:r>
        <w:t>Drivers and volunteers see their capture participation and equipment status. Contractors see only their assigned firm's cases. Municipal investigators and managers receive access according to role and responsibility. Production deployment requires agreed notices, retention and security controls.</w:t>
      </w:r>
    </w:p>
    <w:p>
      <w:pPr>
        <w:pStyle w:val="Heading2"/>
      </w:pPr>
      <w:r>
        <w:t>Prepare for a pilot</w:t>
      </w:r>
    </w:p>
    <w:p>
      <w:pPr>
        <w:pStyle w:val="ListBullet"/>
      </w:pPr>
      <w:r>
        <w:t>Fleet: nominate an operations contact, five suitable vehicles and representative routes.</w:t>
      </w:r>
    </w:p>
    <w:p>
      <w:pPr>
        <w:pStyle w:val="ListBullet"/>
      </w:pPr>
      <w:r>
        <w:t>Contractor: nominate the authorized POC and backup, identify the contract scope and confirm the permitted notice channel.</w:t>
      </w:r>
    </w:p>
    <w:p>
      <w:pPr>
        <w:pStyle w:val="ListBullet"/>
      </w:pPr>
      <w:r>
        <w:t>Road authority: supply the road ownership map, repair records, response policy and privacy approval.</w:t>
      </w:r>
    </w:p>
    <w:p>
      <w:r>
        <w:t>Concept participation brochure | September 2026. The accompanying demonstration uses fictional records and generated imagery. No invitation, repair demand or contractor communication has been sent.</w:t>
      </w:r>
    </w:p>
    <w:sectPr w:rsidR="00FC693F" w:rsidRPr="0006063C" w:rsidSect="00034616">
      <w:footerReference w:type="default" r:id="rId9"/>
      <w:pgSz w:w="12240" w:h="15840"/>
      <w:pgMar w:top="893"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A8596"/>
        <w:sz w:val="16"/>
      </w:rPr>
      <w:t xml:space="preserve">PaveLedger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Arial" w:hAnsi="Arial"/>
      <w:b/>
      <w:bCs/>
      <w:color w:val="172B42"/>
      <w:sz w:val="38"/>
      <w:szCs w:val="28"/>
    </w:rPr>
  </w:style>
  <w:style w:type="paragraph" w:styleId="Heading2">
    <w:name w:val="heading 2"/>
    <w:basedOn w:val="Normal"/>
    <w:next w:val="Normal"/>
    <w:link w:val="Heading2Char"/>
    <w:uiPriority w:val="9"/>
    <w:unhideWhenUsed/>
    <w:qFormat/>
    <w:rsid w:val="00FC693F"/>
    <w:pPr>
      <w:keepNext/>
      <w:keepLines/>
      <w:spacing w:before="200" w:after="240"/>
      <w:outlineLvl w:val="1"/>
    </w:pPr>
    <w:rPr>
      <w:rFonts w:asciiTheme="majorHAnsi" w:eastAsiaTheme="majorEastAsia" w:hAnsiTheme="majorHAnsi" w:cstheme="majorBidi" w:ascii="Arial" w:hAnsi="Arial"/>
      <w:b/>
      <w:bCs/>
      <w:color w:val="172B4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Fleet and contractor participation</dc:title>
  <dc:subject>PaveLedger platform concept</dc:subject>
  <dc:creator>PaveLedger project</dc:creator>
  <cp:keywords>road safety, investigations, warranty, Canada</cp:keywords>
  <dc:description>generated by python-docx</dc:description>
  <cp:lastModifiedBy/>
  <cp:revision>1</cp:revision>
  <dcterms:created xsi:type="dcterms:W3CDTF">2013-12-23T23:15:00Z</dcterms:created>
  <dcterms:modified xsi:type="dcterms:W3CDTF">2013-12-23T23:15:00Z</dcterms:modified>
  <cp:category/>
</cp:coreProperties>
</file>