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PaveLedger platform engineering design</w:t>
      </w:r>
    </w:p>
    <w:p>
      <w:pPr>
        <w:spacing w:after="240"/>
      </w:pPr>
      <w:r>
        <w:drawing>
          <wp:inline xmlns:a="http://schemas.openxmlformats.org/drawingml/2006/main" xmlns:pic="http://schemas.openxmlformats.org/drawingml/2006/picture">
            <wp:extent cx="3291840" cy="1108959"/>
            <wp:docPr id="1" name="Picture 1"/>
            <wp:cNvGraphicFramePr>
              <a:graphicFrameLocks noChangeAspect="1"/>
            </wp:cNvGraphicFramePr>
            <a:graphic>
              <a:graphicData uri="http://schemas.openxmlformats.org/drawingml/2006/picture">
                <pic:pic>
                  <pic:nvPicPr>
                    <pic:cNvPr id="0" name="paveledger-logo.png"/>
                    <pic:cNvPicPr/>
                  </pic:nvPicPr>
                  <pic:blipFill>
                    <a:blip r:embed="rId10"/>
                    <a:stretch>
                      <a:fillRect/>
                    </a:stretch>
                  </pic:blipFill>
                  <pic:spPr>
                    <a:xfrm>
                      <a:off x="0" y="0"/>
                      <a:ext cx="3291840" cy="1108959"/>
                    </a:xfrm>
                    <a:prstGeom prst="rect"/>
                  </pic:spPr>
                </pic:pic>
              </a:graphicData>
            </a:graphic>
          </wp:inline>
        </w:drawing>
      </w:r>
    </w:p>
    <w:p>
      <w:r>
        <w:t>Production architecture and implementation specification</w:t>
      </w:r>
    </w:p>
    <w:p>
      <w:r>
        <w:t>Version 1 | 25 September 2026</w:t>
      </w:r>
    </w:p>
    <w:p>
      <w:r>
        <w:t>Design a road safety platform that converts camera observations into traceable investigations, routes the work through authorized teams and contractors, and verifies the outcome. The system must preserve uncertainty, original evidence and the complete history of each decision.</w:t>
      </w:r>
    </w:p>
    <w:tbl>
      <w:tblPr>
        <w:tblW w:type="auto" w:w="0"/>
        <w:tblLayout w:type="fixed"/>
        <w:tblLook w:firstColumn="1" w:firstRow="1" w:lastColumn="0" w:lastRow="0" w:noHBand="0" w:noVBand="1" w:val="04A0"/>
      </w:tblPr>
      <w:tblGrid>
        <w:gridCol w:w="5112"/>
        <w:gridCol w:w="5112"/>
      </w:tblGrid>
      <w:tr>
        <w:trPr>
          <w:tblHeader/>
          <w:cantSplit/>
        </w:trPr>
        <w:tc>
          <w:tcPr>
            <w:tcW w:type="dxa" w:w="3096"/>
            <w:shd w:fill="172B42"/>
          </w:tcPr>
          <w:p>
            <w:pPr>
              <w:spacing w:after="60" w:before="60" w:line="259" w:lineRule="auto"/>
            </w:pPr>
            <w:r>
              <w:rPr>
                <w:b/>
                <w:color w:val="FFFFFF"/>
                <w:sz w:val="18"/>
              </w:rPr>
              <w:t>Design decision</w:t>
            </w:r>
          </w:p>
        </w:tc>
        <w:tc>
          <w:tcPr>
            <w:tcW w:type="dxa" w:w="7128"/>
            <w:shd w:fill="172B42"/>
          </w:tcPr>
          <w:p>
            <w:pPr>
              <w:spacing w:after="60" w:before="60" w:line="259" w:lineRule="auto"/>
            </w:pPr>
            <w:r>
              <w:rPr>
                <w:b/>
                <w:color w:val="FFFFFF"/>
                <w:sz w:val="18"/>
              </w:rPr>
              <w:t>Recommended approach</w:t>
            </w:r>
          </w:p>
        </w:tc>
      </w:tr>
      <w:tr>
        <w:trPr>
          <w:cantSplit/>
        </w:trPr>
        <w:tc>
          <w:tcPr>
            <w:tcW w:type="dxa" w:w="3096"/>
          </w:tcPr>
          <w:p>
            <w:pPr>
              <w:spacing w:after="60" w:before="60" w:line="259" w:lineRule="auto"/>
            </w:pPr>
            <w:r>
              <w:rPr>
                <w:b w:val="0"/>
                <w:color w:val="243247"/>
                <w:sz w:val="18"/>
              </w:rPr>
              <w:t>Capture</w:t>
            </w:r>
          </w:p>
        </w:tc>
        <w:tc>
          <w:tcPr>
            <w:tcW w:type="dxa" w:w="7128"/>
          </w:tcPr>
          <w:p>
            <w:pPr>
              <w:spacing w:after="60" w:before="60" w:line="259" w:lineRule="auto"/>
            </w:pPr>
            <w:r>
              <w:rPr>
                <w:b w:val="0"/>
                <w:color w:val="243247"/>
                <w:sz w:val="18"/>
              </w:rPr>
              <w:t>Managed Android capture app first; supported edge camera option; responsive web for office and contractors</w:t>
            </w:r>
          </w:p>
        </w:tc>
      </w:tr>
      <w:tr>
        <w:trPr>
          <w:cantSplit/>
        </w:trPr>
        <w:tc>
          <w:tcPr>
            <w:tcW w:type="dxa" w:w="3096"/>
            <w:shd w:fill="F3F6FA"/>
          </w:tcPr>
          <w:p>
            <w:pPr>
              <w:spacing w:after="60" w:before="60" w:line="259" w:lineRule="auto"/>
            </w:pPr>
            <w:r>
              <w:rPr>
                <w:b w:val="0"/>
                <w:color w:val="243247"/>
                <w:sz w:val="18"/>
              </w:rPr>
              <w:t>Core service</w:t>
            </w:r>
          </w:p>
        </w:tc>
        <w:tc>
          <w:tcPr>
            <w:tcW w:type="dxa" w:w="7128"/>
            <w:shd w:fill="F3F6FA"/>
          </w:tcPr>
          <w:p>
            <w:pPr>
              <w:spacing w:after="60" w:before="60" w:line="259" w:lineRule="auto"/>
            </w:pPr>
            <w:r>
              <w:rPr>
                <w:b w:val="0"/>
                <w:color w:val="243247"/>
                <w:sz w:val="18"/>
              </w:rPr>
              <w:t>Modular API service with background workers and a versioned workflow engine</w:t>
            </w:r>
          </w:p>
        </w:tc>
      </w:tr>
      <w:tr>
        <w:trPr>
          <w:cantSplit/>
        </w:trPr>
        <w:tc>
          <w:tcPr>
            <w:tcW w:type="dxa" w:w="3096"/>
          </w:tcPr>
          <w:p>
            <w:pPr>
              <w:spacing w:after="60" w:before="60" w:line="259" w:lineRule="auto"/>
            </w:pPr>
            <w:r>
              <w:rPr>
                <w:b w:val="0"/>
                <w:color w:val="243247"/>
                <w:sz w:val="18"/>
              </w:rPr>
              <w:t>Database</w:t>
            </w:r>
          </w:p>
        </w:tc>
        <w:tc>
          <w:tcPr>
            <w:tcW w:type="dxa" w:w="7128"/>
          </w:tcPr>
          <w:p>
            <w:pPr>
              <w:spacing w:after="60" w:before="60" w:line="259" w:lineRule="auto"/>
            </w:pPr>
            <w:r>
              <w:rPr>
                <w:b w:val="0"/>
                <w:color w:val="243247"/>
                <w:sz w:val="18"/>
              </w:rPr>
              <w:t>PostgreSQL with PostGIS for production spatial and tenant data</w:t>
            </w:r>
          </w:p>
        </w:tc>
      </w:tr>
      <w:tr>
        <w:trPr>
          <w:cantSplit/>
        </w:trPr>
        <w:tc>
          <w:tcPr>
            <w:tcW w:type="dxa" w:w="3096"/>
            <w:shd w:fill="F3F6FA"/>
          </w:tcPr>
          <w:p>
            <w:pPr>
              <w:spacing w:after="60" w:before="60" w:line="259" w:lineRule="auto"/>
            </w:pPr>
            <w:r>
              <w:rPr>
                <w:b w:val="0"/>
                <w:color w:val="243247"/>
                <w:sz w:val="18"/>
              </w:rPr>
              <w:t>Media</w:t>
            </w:r>
          </w:p>
        </w:tc>
        <w:tc>
          <w:tcPr>
            <w:tcW w:type="dxa" w:w="7128"/>
            <w:shd w:fill="F3F6FA"/>
          </w:tcPr>
          <w:p>
            <w:pPr>
              <w:spacing w:after="60" w:before="60" w:line="259" w:lineRule="auto"/>
            </w:pPr>
            <w:r>
              <w:rPr>
                <w:b w:val="0"/>
                <w:color w:val="243247"/>
                <w:sz w:val="18"/>
              </w:rPr>
              <w:t>Private regional object storage, redacted derivatives and time-limited authorized retrieval</w:t>
            </w:r>
          </w:p>
        </w:tc>
      </w:tr>
      <w:tr>
        <w:trPr>
          <w:cantSplit/>
        </w:trPr>
        <w:tc>
          <w:tcPr>
            <w:tcW w:type="dxa" w:w="3096"/>
          </w:tcPr>
          <w:p>
            <w:pPr>
              <w:spacing w:after="60" w:before="60" w:line="259" w:lineRule="auto"/>
            </w:pPr>
            <w:r>
              <w:rPr>
                <w:b w:val="0"/>
                <w:color w:val="243247"/>
                <w:sz w:val="18"/>
              </w:rPr>
              <w:t>Identity</w:t>
            </w:r>
          </w:p>
        </w:tc>
        <w:tc>
          <w:tcPr>
            <w:tcW w:type="dxa" w:w="7128"/>
          </w:tcPr>
          <w:p>
            <w:pPr>
              <w:spacing w:after="60" w:before="60" w:line="259" w:lineRule="auto"/>
            </w:pPr>
            <w:r>
              <w:rPr>
                <w:b w:val="0"/>
                <w:color w:val="243247"/>
                <w:sz w:val="18"/>
              </w:rPr>
              <w:t>Municipal OIDC or SAML SSO; MFA; server-enforced role and resource scope</w:t>
            </w:r>
          </w:p>
        </w:tc>
      </w:tr>
      <w:tr>
        <w:trPr>
          <w:cantSplit/>
        </w:trPr>
        <w:tc>
          <w:tcPr>
            <w:tcW w:type="dxa" w:w="3096"/>
            <w:shd w:fill="F3F6FA"/>
          </w:tcPr>
          <w:p>
            <w:pPr>
              <w:spacing w:after="60" w:before="60" w:line="259" w:lineRule="auto"/>
            </w:pPr>
            <w:r>
              <w:rPr>
                <w:b w:val="0"/>
                <w:color w:val="243247"/>
                <w:sz w:val="18"/>
              </w:rPr>
              <w:t>AI</w:t>
            </w:r>
          </w:p>
        </w:tc>
        <w:tc>
          <w:tcPr>
            <w:tcW w:type="dxa" w:w="7128"/>
            <w:shd w:fill="F3F6FA"/>
          </w:tcPr>
          <w:p>
            <w:pPr>
              <w:spacing w:after="60" w:before="60" w:line="259" w:lineRule="auto"/>
            </w:pPr>
            <w:r>
              <w:rPr>
                <w:b w:val="0"/>
                <w:color w:val="243247"/>
                <w:sz w:val="18"/>
              </w:rPr>
              <w:t>Purpose-trained road defect detector; human review and condition-specific evaluation</w:t>
            </w:r>
          </w:p>
        </w:tc>
      </w:tr>
      <w:tr>
        <w:trPr>
          <w:cantSplit/>
        </w:trPr>
        <w:tc>
          <w:tcPr>
            <w:tcW w:type="dxa" w:w="3096"/>
          </w:tcPr>
          <w:p>
            <w:pPr>
              <w:spacing w:after="60" w:before="60" w:line="259" w:lineRule="auto"/>
            </w:pPr>
            <w:r>
              <w:rPr>
                <w:b w:val="0"/>
                <w:color w:val="243247"/>
                <w:sz w:val="18"/>
              </w:rPr>
              <w:t>Hosting</w:t>
            </w:r>
          </w:p>
        </w:tc>
        <w:tc>
          <w:tcPr>
            <w:tcW w:type="dxa" w:w="7128"/>
          </w:tcPr>
          <w:p>
            <w:pPr>
              <w:spacing w:after="60" w:before="60" w:line="259" w:lineRule="auto"/>
            </w:pPr>
            <w:r>
              <w:rPr>
                <w:b w:val="0"/>
                <w:color w:val="243247"/>
                <w:sz w:val="18"/>
              </w:rPr>
              <w:t>Canadian primary region and Canadian recovery region when required by the customer</w:t>
            </w:r>
          </w:p>
        </w:tc>
      </w:tr>
    </w:tbl>
    <w:p>
      <w:pPr>
        <w:spacing w:after="20" w:line="240" w:lineRule="auto" w:before="0"/>
      </w:pPr>
      <w:r>
        <w:rPr>
          <w:sz w:val="4"/>
        </w:rPr>
      </w:r>
    </w:p>
    <w:p>
      <w:r>
        <w:t>The delivered demonstration uses a private hosted web application and a persistent database with a compact state document. It exercises the workflow, not a production camera pipeline. It is a single-organization prototype, not the production multi-tenant architecture described here. Real AI inference, genuine evidence uploads, geospatial contract matching, contractor delivery, app-store capture apps and recovery infrastructure remain to be implemented.</w:t>
      </w:r>
    </w:p>
    <w:p>
      <w:r>
        <w:t>Acceptance depends on field evidence and security tests, not the visual completeness of the demonstration.</w:t>
      </w:r>
    </w:p>
    <w:p>
      <w:pPr>
        <w:pStyle w:val="Heading1"/>
        <w:pageBreakBefore/>
      </w:pPr>
      <w:r>
        <w:t>System architecture and data flow</w:t>
      </w:r>
    </w:p>
    <w:tbl>
      <w:tblPr>
        <w:tblW w:type="auto" w:w="0"/>
        <w:tblLayout w:type="fixed"/>
        <w:tblLook w:firstColumn="1" w:firstRow="1" w:lastColumn="0" w:lastRow="0" w:noHBand="0" w:noVBand="1" w:val="04A0"/>
      </w:tblPr>
      <w:tblGrid>
        <w:gridCol w:w="3408"/>
        <w:gridCol w:w="3408"/>
        <w:gridCol w:w="3408"/>
      </w:tblGrid>
      <w:tr>
        <w:trPr>
          <w:tblHeader/>
          <w:cantSplit/>
        </w:trPr>
        <w:tc>
          <w:tcPr>
            <w:tcW w:type="dxa" w:w="2304"/>
            <w:shd w:fill="172B42"/>
          </w:tcPr>
          <w:p>
            <w:pPr>
              <w:spacing w:after="60" w:before="60" w:line="259" w:lineRule="auto"/>
            </w:pPr>
            <w:r>
              <w:rPr>
                <w:b/>
                <w:color w:val="FFFFFF"/>
                <w:sz w:val="18"/>
              </w:rPr>
              <w:t>Layer</w:t>
            </w:r>
          </w:p>
        </w:tc>
        <w:tc>
          <w:tcPr>
            <w:tcW w:type="dxa" w:w="3600"/>
            <w:shd w:fill="172B42"/>
          </w:tcPr>
          <w:p>
            <w:pPr>
              <w:spacing w:after="60" w:before="60" w:line="259" w:lineRule="auto"/>
            </w:pPr>
            <w:r>
              <w:rPr>
                <w:b/>
                <w:color w:val="FFFFFF"/>
                <w:sz w:val="18"/>
              </w:rPr>
              <w:t>Components</w:t>
            </w:r>
          </w:p>
        </w:tc>
        <w:tc>
          <w:tcPr>
            <w:tcW w:type="dxa" w:w="4320"/>
            <w:shd w:fill="172B42"/>
          </w:tcPr>
          <w:p>
            <w:pPr>
              <w:spacing w:after="60" w:before="60" w:line="259" w:lineRule="auto"/>
            </w:pPr>
            <w:r>
              <w:rPr>
                <w:b/>
                <w:color w:val="FFFFFF"/>
                <w:sz w:val="18"/>
              </w:rPr>
              <w:t>Boundary</w:t>
            </w:r>
          </w:p>
        </w:tc>
      </w:tr>
      <w:tr>
        <w:trPr>
          <w:cantSplit/>
        </w:trPr>
        <w:tc>
          <w:tcPr>
            <w:tcW w:type="dxa" w:w="2304"/>
          </w:tcPr>
          <w:p>
            <w:pPr>
              <w:spacing w:after="60" w:before="60" w:line="259" w:lineRule="auto"/>
            </w:pPr>
            <w:r>
              <w:rPr>
                <w:b w:val="0"/>
                <w:color w:val="243247"/>
                <w:sz w:val="18"/>
              </w:rPr>
              <w:t>Vehicle</w:t>
            </w:r>
          </w:p>
        </w:tc>
        <w:tc>
          <w:tcPr>
            <w:tcW w:type="dxa" w:w="3600"/>
          </w:tcPr>
          <w:p>
            <w:pPr>
              <w:spacing w:after="60" w:before="60" w:line="259" w:lineRule="auto"/>
            </w:pPr>
            <w:r>
              <w:rPr>
                <w:b w:val="0"/>
                <w:color w:val="243247"/>
                <w:sz w:val="18"/>
              </w:rPr>
              <w:t>Camera, GNSS, clock, local detector, blur, encrypted queue</w:t>
            </w:r>
          </w:p>
        </w:tc>
        <w:tc>
          <w:tcPr>
            <w:tcW w:type="dxa" w:w="4320"/>
          </w:tcPr>
          <w:p>
            <w:pPr>
              <w:spacing w:after="60" w:before="60" w:line="259" w:lineRule="auto"/>
            </w:pPr>
            <w:r>
              <w:rPr>
                <w:b w:val="0"/>
                <w:color w:val="243247"/>
                <w:sz w:val="18"/>
              </w:rPr>
              <w:t>Device certificate and signed observation envelope</w:t>
            </w:r>
          </w:p>
        </w:tc>
      </w:tr>
      <w:tr>
        <w:trPr>
          <w:cantSplit/>
        </w:trPr>
        <w:tc>
          <w:tcPr>
            <w:tcW w:type="dxa" w:w="2304"/>
            <w:shd w:fill="F3F6FA"/>
          </w:tcPr>
          <w:p>
            <w:pPr>
              <w:spacing w:after="60" w:before="60" w:line="259" w:lineRule="auto"/>
            </w:pPr>
            <w:r>
              <w:rPr>
                <w:b w:val="0"/>
                <w:color w:val="243247"/>
                <w:sz w:val="18"/>
              </w:rPr>
              <w:t>Ingestion</w:t>
            </w:r>
          </w:p>
        </w:tc>
        <w:tc>
          <w:tcPr>
            <w:tcW w:type="dxa" w:w="3600"/>
            <w:shd w:fill="F3F6FA"/>
          </w:tcPr>
          <w:p>
            <w:pPr>
              <w:spacing w:after="60" w:before="60" w:line="259" w:lineRule="auto"/>
            </w:pPr>
            <w:r>
              <w:rPr>
                <w:b w:val="0"/>
                <w:color w:val="243247"/>
                <w:sz w:val="18"/>
              </w:rPr>
              <w:t>Upload authorization, quota guard, checksum validation, schema version</w:t>
            </w:r>
          </w:p>
        </w:tc>
        <w:tc>
          <w:tcPr>
            <w:tcW w:type="dxa" w:w="4320"/>
            <w:shd w:fill="F3F6FA"/>
          </w:tcPr>
          <w:p>
            <w:pPr>
              <w:spacing w:after="60" w:before="60" w:line="259" w:lineRule="auto"/>
            </w:pPr>
            <w:r>
              <w:rPr>
                <w:b w:val="0"/>
                <w:color w:val="243247"/>
                <w:sz w:val="18"/>
              </w:rPr>
              <w:t>Authenticated tenant and device; no direct database exposure</w:t>
            </w:r>
          </w:p>
        </w:tc>
      </w:tr>
      <w:tr>
        <w:trPr>
          <w:cantSplit/>
        </w:trPr>
        <w:tc>
          <w:tcPr>
            <w:tcW w:type="dxa" w:w="2304"/>
          </w:tcPr>
          <w:p>
            <w:pPr>
              <w:spacing w:after="60" w:before="60" w:line="259" w:lineRule="auto"/>
            </w:pPr>
            <w:r>
              <w:rPr>
                <w:b w:val="0"/>
                <w:color w:val="243247"/>
                <w:sz w:val="18"/>
              </w:rPr>
              <w:t>Processing</w:t>
            </w:r>
          </w:p>
        </w:tc>
        <w:tc>
          <w:tcPr>
            <w:tcW w:type="dxa" w:w="3600"/>
          </w:tcPr>
          <w:p>
            <w:pPr>
              <w:spacing w:after="60" w:before="60" w:line="259" w:lineRule="auto"/>
            </w:pPr>
            <w:r>
              <w:rPr>
                <w:b w:val="0"/>
                <w:color w:val="243247"/>
                <w:sz w:val="18"/>
              </w:rPr>
              <w:t>Quality gate, inference, geospatial match, duplicate clustering</w:t>
            </w:r>
          </w:p>
        </w:tc>
        <w:tc>
          <w:tcPr>
            <w:tcW w:type="dxa" w:w="4320"/>
          </w:tcPr>
          <w:p>
            <w:pPr>
              <w:spacing w:after="60" w:before="60" w:line="259" w:lineRule="auto"/>
            </w:pPr>
            <w:r>
              <w:rPr>
                <w:b w:val="0"/>
                <w:color w:val="243247"/>
                <w:sz w:val="18"/>
              </w:rPr>
              <w:t>Asynchronous workers with bounded retry and dead-letter queue</w:t>
            </w:r>
          </w:p>
        </w:tc>
      </w:tr>
      <w:tr>
        <w:trPr>
          <w:cantSplit/>
        </w:trPr>
        <w:tc>
          <w:tcPr>
            <w:tcW w:type="dxa" w:w="2304"/>
            <w:shd w:fill="F3F6FA"/>
          </w:tcPr>
          <w:p>
            <w:pPr>
              <w:spacing w:after="60" w:before="60" w:line="259" w:lineRule="auto"/>
            </w:pPr>
            <w:r>
              <w:rPr>
                <w:b w:val="0"/>
                <w:color w:val="243247"/>
                <w:sz w:val="18"/>
              </w:rPr>
              <w:t>Investigation</w:t>
            </w:r>
          </w:p>
        </w:tc>
        <w:tc>
          <w:tcPr>
            <w:tcW w:type="dxa" w:w="3600"/>
            <w:shd w:fill="F3F6FA"/>
          </w:tcPr>
          <w:p>
            <w:pPr>
              <w:spacing w:after="60" w:before="60" w:line="259" w:lineRule="auto"/>
            </w:pPr>
            <w:r>
              <w:rPr>
                <w:b w:val="0"/>
                <w:color w:val="243247"/>
                <w:sz w:val="18"/>
              </w:rPr>
              <w:t>Ticket service, assignment, state engine, SLA and notification outbox</w:t>
            </w:r>
          </w:p>
        </w:tc>
        <w:tc>
          <w:tcPr>
            <w:tcW w:type="dxa" w:w="4320"/>
            <w:shd w:fill="F3F6FA"/>
          </w:tcPr>
          <w:p>
            <w:pPr>
              <w:spacing w:after="60" w:before="60" w:line="259" w:lineRule="auto"/>
            </w:pPr>
            <w:r>
              <w:rPr>
                <w:b w:val="0"/>
                <w:color w:val="243247"/>
                <w:sz w:val="18"/>
              </w:rPr>
              <w:t>Server authorization on every read and mutation</w:t>
            </w:r>
          </w:p>
        </w:tc>
      </w:tr>
      <w:tr>
        <w:trPr>
          <w:cantSplit/>
        </w:trPr>
        <w:tc>
          <w:tcPr>
            <w:tcW w:type="dxa" w:w="2304"/>
          </w:tcPr>
          <w:p>
            <w:pPr>
              <w:spacing w:after="60" w:before="60" w:line="259" w:lineRule="auto"/>
            </w:pPr>
            <w:r>
              <w:rPr>
                <w:b w:val="0"/>
                <w:color w:val="243247"/>
                <w:sz w:val="18"/>
              </w:rPr>
              <w:t>Contract intelligence</w:t>
            </w:r>
          </w:p>
        </w:tc>
        <w:tc>
          <w:tcPr>
            <w:tcW w:type="dxa" w:w="3600"/>
          </w:tcPr>
          <w:p>
            <w:pPr>
              <w:spacing w:after="60" w:before="60" w:line="259" w:lineRule="auto"/>
            </w:pPr>
            <w:r>
              <w:rPr>
                <w:b w:val="0"/>
                <w:color w:val="243247"/>
                <w:sz w:val="18"/>
              </w:rPr>
              <w:t>Work scopes, warranty versions, contact directory, rule evaluation</w:t>
            </w:r>
          </w:p>
        </w:tc>
        <w:tc>
          <w:tcPr>
            <w:tcW w:type="dxa" w:w="4320"/>
          </w:tcPr>
          <w:p>
            <w:pPr>
              <w:spacing w:after="60" w:before="60" w:line="259" w:lineRule="auto"/>
            </w:pPr>
            <w:r>
              <w:rPr>
                <w:b w:val="0"/>
                <w:color w:val="243247"/>
                <w:sz w:val="18"/>
              </w:rPr>
              <w:t>Deterministic eligibility rules plus analyst confirmation</w:t>
            </w:r>
          </w:p>
        </w:tc>
      </w:tr>
      <w:tr>
        <w:trPr>
          <w:cantSplit/>
        </w:trPr>
        <w:tc>
          <w:tcPr>
            <w:tcW w:type="dxa" w:w="2304"/>
            <w:shd w:fill="F3F6FA"/>
          </w:tcPr>
          <w:p>
            <w:pPr>
              <w:spacing w:after="60" w:before="60" w:line="259" w:lineRule="auto"/>
            </w:pPr>
            <w:r>
              <w:rPr>
                <w:b w:val="0"/>
                <w:color w:val="243247"/>
                <w:sz w:val="18"/>
              </w:rPr>
              <w:t>Evidence</w:t>
            </w:r>
          </w:p>
        </w:tc>
        <w:tc>
          <w:tcPr>
            <w:tcW w:type="dxa" w:w="3600"/>
            <w:shd w:fill="F3F6FA"/>
          </w:tcPr>
          <w:p>
            <w:pPr>
              <w:spacing w:after="60" w:before="60" w:line="259" w:lineRule="auto"/>
            </w:pPr>
            <w:r>
              <w:rPr>
                <w:b w:val="0"/>
                <w:color w:val="243247"/>
                <w:sz w:val="18"/>
              </w:rPr>
              <w:t>Private objects, redacted copies, hashes, provenance, legal hold</w:t>
            </w:r>
          </w:p>
        </w:tc>
        <w:tc>
          <w:tcPr>
            <w:tcW w:type="dxa" w:w="4320"/>
            <w:shd w:fill="F3F6FA"/>
          </w:tcPr>
          <w:p>
            <w:pPr>
              <w:spacing w:after="60" w:before="60" w:line="259" w:lineRule="auto"/>
            </w:pPr>
            <w:r>
              <w:rPr>
                <w:b w:val="0"/>
                <w:color w:val="243247"/>
                <w:sz w:val="18"/>
              </w:rPr>
              <w:t>Object retrieval checks the same tenant and ticket permissions</w:t>
            </w:r>
          </w:p>
        </w:tc>
      </w:tr>
      <w:tr>
        <w:trPr>
          <w:cantSplit/>
        </w:trPr>
        <w:tc>
          <w:tcPr>
            <w:tcW w:type="dxa" w:w="2304"/>
          </w:tcPr>
          <w:p>
            <w:pPr>
              <w:spacing w:after="60" w:before="60" w:line="259" w:lineRule="auto"/>
            </w:pPr>
            <w:r>
              <w:rPr>
                <w:b w:val="0"/>
                <w:color w:val="243247"/>
                <w:sz w:val="18"/>
              </w:rPr>
              <w:t>Experience</w:t>
            </w:r>
          </w:p>
        </w:tc>
        <w:tc>
          <w:tcPr>
            <w:tcW w:type="dxa" w:w="3600"/>
          </w:tcPr>
          <w:p>
            <w:pPr>
              <w:spacing w:after="60" w:before="60" w:line="259" w:lineRule="auto"/>
            </w:pPr>
            <w:r>
              <w:rPr>
                <w:b w:val="0"/>
                <w:color w:val="243247"/>
                <w:sz w:val="18"/>
              </w:rPr>
              <w:t>Admin web, analyst desk, contractor portal, mobile capture status</w:t>
            </w:r>
          </w:p>
        </w:tc>
        <w:tc>
          <w:tcPr>
            <w:tcW w:type="dxa" w:w="4320"/>
          </w:tcPr>
          <w:p>
            <w:pPr>
              <w:spacing w:after="60" w:before="60" w:line="259" w:lineRule="auto"/>
            </w:pPr>
            <w:r>
              <w:rPr>
                <w:b w:val="0"/>
                <w:color w:val="243247"/>
                <w:sz w:val="18"/>
              </w:rPr>
              <w:t>No data authorization delegated to browser controls</w:t>
            </w:r>
          </w:p>
        </w:tc>
      </w:tr>
      <w:tr>
        <w:trPr>
          <w:cantSplit/>
        </w:trPr>
        <w:tc>
          <w:tcPr>
            <w:tcW w:type="dxa" w:w="2304"/>
            <w:shd w:fill="F3F6FA"/>
          </w:tcPr>
          <w:p>
            <w:pPr>
              <w:spacing w:after="60" w:before="60" w:line="259" w:lineRule="auto"/>
            </w:pPr>
            <w:r>
              <w:rPr>
                <w:b w:val="0"/>
                <w:color w:val="243247"/>
                <w:sz w:val="18"/>
              </w:rPr>
              <w:t>Operations</w:t>
            </w:r>
          </w:p>
        </w:tc>
        <w:tc>
          <w:tcPr>
            <w:tcW w:type="dxa" w:w="3600"/>
            <w:shd w:fill="F3F6FA"/>
          </w:tcPr>
          <w:p>
            <w:pPr>
              <w:spacing w:after="60" w:before="60" w:line="259" w:lineRule="auto"/>
            </w:pPr>
            <w:r>
              <w:rPr>
                <w:b w:val="0"/>
                <w:color w:val="243247"/>
                <w:sz w:val="18"/>
              </w:rPr>
              <w:t>Metrics, audit archive, backups, restore and model registry</w:t>
            </w:r>
          </w:p>
        </w:tc>
        <w:tc>
          <w:tcPr>
            <w:tcW w:type="dxa" w:w="4320"/>
            <w:shd w:fill="F3F6FA"/>
          </w:tcPr>
          <w:p>
            <w:pPr>
              <w:spacing w:after="60" w:before="60" w:line="259" w:lineRule="auto"/>
            </w:pPr>
            <w:r>
              <w:rPr>
                <w:b w:val="0"/>
                <w:color w:val="243247"/>
                <w:sz w:val="18"/>
              </w:rPr>
              <w:t>Separate production, test and development identities</w:t>
            </w:r>
          </w:p>
        </w:tc>
      </w:tr>
    </w:tbl>
    <w:p>
      <w:pPr>
        <w:spacing w:after="20" w:line="240" w:lineRule="auto" w:before="0"/>
      </w:pPr>
      <w:r>
        <w:rPr>
          <w:sz w:val="4"/>
        </w:rPr>
      </w:r>
    </w:p>
    <w:p>
      <w:pPr>
        <w:pStyle w:val="Heading2"/>
      </w:pPr>
      <w:r>
        <w:t>Event order</w:t>
      </w:r>
    </w:p>
    <w:p>
      <w:r>
        <w:t>A device uploads metadata and authorized evidence. The ingest service acknowledges only after durable storage is confirmed. Processing creates an observation and links it to a defect cluster. The case service opens one investigation or adds evidence to the existing one. Assignment creates an outbox event; a notification worker delivers the permitted alert.</w:t>
      </w:r>
    </w:p>
    <w:p>
      <w:r>
        <w:t>After the analyst confirms the issue, the warranty engine proposes responsibility and the notice service applies the customer's dispatch policy. The contractor acknowledges, records the repair and supplies completion evidence. A later qualified pass or field inspection creates a verification observation. The reviewer closes or reopens the same case, preserving earlier repair attempts.</w:t>
      </w:r>
    </w:p>
    <w:p>
      <w:pPr>
        <w:pStyle w:val="Heading2"/>
      </w:pPr>
      <w:r>
        <w:t>Integration strategy</w:t>
      </w:r>
    </w:p>
    <w:p>
      <w:r>
        <w:t>Keep a stable internal road-segment ID and a mapping to the authority's GIS and work-order IDs. Publish a transactional outbox for integrations rather than updating an external system inside the ticket transaction. Reconcile acknowledgements and errors. The municipal asset system can remain the authoritative work-order system when the buyer requires it.</w:t>
      </w:r>
    </w:p>
    <w:p>
      <w:pPr>
        <w:pStyle w:val="Heading1"/>
        <w:pageBreakBefore/>
      </w:pPr>
      <w:r>
        <w:t>Vehicle capture and mobile applications</w:t>
      </w:r>
    </w:p>
    <w:p>
      <w:r>
        <w:t>Use three product surfaces: a managed capture app for approved vehicles, a responsive analyst/admin web app, and a mobile-friendly contractor portal. A volunteer participant sees device health and participation controls, not other people's observations or municipal investigations.</w:t>
      </w:r>
    </w:p>
    <w:tbl>
      <w:tblPr>
        <w:tblW w:type="auto" w:w="0"/>
        <w:tblLayout w:type="fixed"/>
        <w:tblLook w:firstColumn="1" w:firstRow="1" w:lastColumn="0" w:lastRow="0" w:noHBand="0" w:noVBand="1" w:val="04A0"/>
      </w:tblPr>
      <w:tblGrid>
        <w:gridCol w:w="5112"/>
        <w:gridCol w:w="5112"/>
      </w:tblGrid>
      <w:tr>
        <w:trPr>
          <w:tblHeader/>
          <w:cantSplit/>
        </w:trPr>
        <w:tc>
          <w:tcPr>
            <w:tcW w:type="dxa" w:w="3096"/>
            <w:shd w:fill="172B42"/>
          </w:tcPr>
          <w:p>
            <w:pPr>
              <w:spacing w:after="60" w:before="60" w:line="259" w:lineRule="auto"/>
            </w:pPr>
            <w:r>
              <w:rPr>
                <w:b/>
                <w:color w:val="FFFFFF"/>
                <w:sz w:val="18"/>
              </w:rPr>
              <w:t>Requirement</w:t>
            </w:r>
          </w:p>
        </w:tc>
        <w:tc>
          <w:tcPr>
            <w:tcW w:type="dxa" w:w="7128"/>
            <w:shd w:fill="172B42"/>
          </w:tcPr>
          <w:p>
            <w:pPr>
              <w:spacing w:after="60" w:before="60" w:line="259" w:lineRule="auto"/>
            </w:pPr>
            <w:r>
              <w:rPr>
                <w:b/>
                <w:color w:val="FFFFFF"/>
                <w:sz w:val="18"/>
              </w:rPr>
              <w:t>Engineering rule</w:t>
            </w:r>
          </w:p>
        </w:tc>
      </w:tr>
      <w:tr>
        <w:trPr>
          <w:cantSplit/>
        </w:trPr>
        <w:tc>
          <w:tcPr>
            <w:tcW w:type="dxa" w:w="3096"/>
          </w:tcPr>
          <w:p>
            <w:pPr>
              <w:spacing w:after="60" w:before="60" w:line="259" w:lineRule="auto"/>
            </w:pPr>
            <w:r>
              <w:rPr>
                <w:b w:val="0"/>
                <w:color w:val="243247"/>
                <w:sz w:val="18"/>
              </w:rPr>
              <w:t>Mount and power</w:t>
            </w:r>
          </w:p>
        </w:tc>
        <w:tc>
          <w:tcPr>
            <w:tcW w:type="dxa" w:w="7128"/>
          </w:tcPr>
          <w:p>
            <w:pPr>
              <w:spacing w:after="60" w:before="60" w:line="259" w:lineRule="auto"/>
            </w:pPr>
            <w:r>
              <w:rPr>
                <w:b w:val="0"/>
                <w:color w:val="243247"/>
                <w:sz w:val="18"/>
              </w:rPr>
              <w:t>Approved fixed mounting and power; do not obstruct vision or vehicle safety equipment</w:t>
            </w:r>
          </w:p>
        </w:tc>
      </w:tr>
      <w:tr>
        <w:trPr>
          <w:cantSplit/>
        </w:trPr>
        <w:tc>
          <w:tcPr>
            <w:tcW w:type="dxa" w:w="3096"/>
            <w:shd w:fill="F3F6FA"/>
          </w:tcPr>
          <w:p>
            <w:pPr>
              <w:spacing w:after="60" w:before="60" w:line="259" w:lineRule="auto"/>
            </w:pPr>
            <w:r>
              <w:rPr>
                <w:b w:val="0"/>
                <w:color w:val="243247"/>
                <w:sz w:val="18"/>
              </w:rPr>
              <w:t>Image capture</w:t>
            </w:r>
          </w:p>
        </w:tc>
        <w:tc>
          <w:tcPr>
            <w:tcW w:type="dxa" w:w="7128"/>
            <w:shd w:fill="F3F6FA"/>
          </w:tcPr>
          <w:p>
            <w:pPr>
              <w:spacing w:after="60" w:before="60" w:line="259" w:lineRule="auto"/>
            </w:pPr>
            <w:r>
              <w:rPr>
                <w:b w:val="0"/>
                <w:color w:val="243247"/>
                <w:sz w:val="18"/>
              </w:rPr>
              <w:t>Road-facing region of interest; configurable frame cadence; no audio or cabin recording</w:t>
            </w:r>
          </w:p>
        </w:tc>
      </w:tr>
      <w:tr>
        <w:trPr>
          <w:cantSplit/>
        </w:trPr>
        <w:tc>
          <w:tcPr>
            <w:tcW w:type="dxa" w:w="3096"/>
          </w:tcPr>
          <w:p>
            <w:pPr>
              <w:spacing w:after="60" w:before="60" w:line="259" w:lineRule="auto"/>
            </w:pPr>
            <w:r>
              <w:rPr>
                <w:b w:val="0"/>
                <w:color w:val="243247"/>
                <w:sz w:val="18"/>
              </w:rPr>
              <w:t>Location</w:t>
            </w:r>
          </w:p>
        </w:tc>
        <w:tc>
          <w:tcPr>
            <w:tcW w:type="dxa" w:w="7128"/>
          </w:tcPr>
          <w:p>
            <w:pPr>
              <w:spacing w:after="60" w:before="60" w:line="259" w:lineRule="auto"/>
            </w:pPr>
            <w:r>
              <w:rPr>
                <w:b w:val="0"/>
                <w:color w:val="243247"/>
                <w:sz w:val="18"/>
              </w:rPr>
              <w:t>GNSS fix, reported accuracy, heading, speed and capture timestamp stored per observation</w:t>
            </w:r>
          </w:p>
        </w:tc>
      </w:tr>
      <w:tr>
        <w:trPr>
          <w:cantSplit/>
        </w:trPr>
        <w:tc>
          <w:tcPr>
            <w:tcW w:type="dxa" w:w="3096"/>
            <w:shd w:fill="F3F6FA"/>
          </w:tcPr>
          <w:p>
            <w:pPr>
              <w:spacing w:after="60" w:before="60" w:line="259" w:lineRule="auto"/>
            </w:pPr>
            <w:r>
              <w:rPr>
                <w:b w:val="0"/>
                <w:color w:val="243247"/>
                <w:sz w:val="18"/>
              </w:rPr>
              <w:t>Clock synchronization</w:t>
            </w:r>
          </w:p>
        </w:tc>
        <w:tc>
          <w:tcPr>
            <w:tcW w:type="dxa" w:w="7128"/>
            <w:shd w:fill="F3F6FA"/>
          </w:tcPr>
          <w:p>
            <w:pPr>
              <w:spacing w:after="60" w:before="60" w:line="259" w:lineRule="auto"/>
            </w:pPr>
            <w:r>
              <w:rPr>
                <w:b w:val="0"/>
                <w:color w:val="243247"/>
                <w:sz w:val="18"/>
              </w:rPr>
              <w:t>UTC clock offset tracked; retain both capture time and receive time</w:t>
            </w:r>
          </w:p>
        </w:tc>
      </w:tr>
      <w:tr>
        <w:trPr>
          <w:cantSplit/>
        </w:trPr>
        <w:tc>
          <w:tcPr>
            <w:tcW w:type="dxa" w:w="3096"/>
          </w:tcPr>
          <w:p>
            <w:pPr>
              <w:spacing w:after="60" w:before="60" w:line="259" w:lineRule="auto"/>
            </w:pPr>
            <w:r>
              <w:rPr>
                <w:b w:val="0"/>
                <w:color w:val="243247"/>
                <w:sz w:val="18"/>
              </w:rPr>
              <w:t>Offline use</w:t>
            </w:r>
          </w:p>
        </w:tc>
        <w:tc>
          <w:tcPr>
            <w:tcW w:type="dxa" w:w="7128"/>
          </w:tcPr>
          <w:p>
            <w:pPr>
              <w:spacing w:after="60" w:before="60" w:line="259" w:lineRule="auto"/>
            </w:pPr>
            <w:r>
              <w:rPr>
                <w:b w:val="0"/>
                <w:color w:val="243247"/>
                <w:sz w:val="18"/>
              </w:rPr>
              <w:t>Encrypted bounded queue, resumable upload, retry jitter, checksum and acknowledgement</w:t>
            </w:r>
          </w:p>
        </w:tc>
      </w:tr>
      <w:tr>
        <w:trPr>
          <w:cantSplit/>
        </w:trPr>
        <w:tc>
          <w:tcPr>
            <w:tcW w:type="dxa" w:w="3096"/>
            <w:shd w:fill="F3F6FA"/>
          </w:tcPr>
          <w:p>
            <w:pPr>
              <w:spacing w:after="60" w:before="60" w:line="259" w:lineRule="auto"/>
            </w:pPr>
            <w:r>
              <w:rPr>
                <w:b w:val="0"/>
                <w:color w:val="243247"/>
                <w:sz w:val="18"/>
              </w:rPr>
              <w:t>Privacy</w:t>
            </w:r>
          </w:p>
        </w:tc>
        <w:tc>
          <w:tcPr>
            <w:tcW w:type="dxa" w:w="7128"/>
            <w:shd w:fill="F3F6FA"/>
          </w:tcPr>
          <w:p>
            <w:pPr>
              <w:spacing w:after="60" w:before="60" w:line="259" w:lineRule="auto"/>
            </w:pPr>
            <w:r>
              <w:rPr>
                <w:b w:val="0"/>
                <w:color w:val="243247"/>
                <w:sz w:val="18"/>
              </w:rPr>
              <w:t>On-device face and plate redaction where viable; server quality check before routine visibility</w:t>
            </w:r>
          </w:p>
        </w:tc>
      </w:tr>
      <w:tr>
        <w:trPr>
          <w:cantSplit/>
        </w:trPr>
        <w:tc>
          <w:tcPr>
            <w:tcW w:type="dxa" w:w="3096"/>
          </w:tcPr>
          <w:p>
            <w:pPr>
              <w:spacing w:after="60" w:before="60" w:line="259" w:lineRule="auto"/>
            </w:pPr>
            <w:r>
              <w:rPr>
                <w:b w:val="0"/>
                <w:color w:val="243247"/>
                <w:sz w:val="18"/>
              </w:rPr>
              <w:t>Device trust</w:t>
            </w:r>
          </w:p>
        </w:tc>
        <w:tc>
          <w:tcPr>
            <w:tcW w:type="dxa" w:w="7128"/>
          </w:tcPr>
          <w:p>
            <w:pPr>
              <w:spacing w:after="60" w:before="60" w:line="259" w:lineRule="auto"/>
            </w:pPr>
            <w:r>
              <w:rPr>
                <w:b w:val="0"/>
                <w:color w:val="243247"/>
                <w:sz w:val="18"/>
              </w:rPr>
              <w:t>Unique identity, signed configuration, key rotation, revocation and firmware version</w:t>
            </w:r>
          </w:p>
        </w:tc>
      </w:tr>
      <w:tr>
        <w:trPr>
          <w:cantSplit/>
        </w:trPr>
        <w:tc>
          <w:tcPr>
            <w:tcW w:type="dxa" w:w="3096"/>
            <w:shd w:fill="F3F6FA"/>
          </w:tcPr>
          <w:p>
            <w:pPr>
              <w:spacing w:after="60" w:before="60" w:line="259" w:lineRule="auto"/>
            </w:pPr>
            <w:r>
              <w:rPr>
                <w:b w:val="0"/>
                <w:color w:val="243247"/>
                <w:sz w:val="18"/>
              </w:rPr>
              <w:t>Driver interaction</w:t>
            </w:r>
          </w:p>
        </w:tc>
        <w:tc>
          <w:tcPr>
            <w:tcW w:type="dxa" w:w="7128"/>
            <w:shd w:fill="F3F6FA"/>
          </w:tcPr>
          <w:p>
            <w:pPr>
              <w:spacing w:after="60" w:before="60" w:line="259" w:lineRule="auto"/>
            </w:pPr>
            <w:r>
              <w:rPr>
                <w:b w:val="0"/>
                <w:color w:val="243247"/>
                <w:sz w:val="18"/>
              </w:rPr>
              <w:t>No manual interaction while moving; issue reporting only when safely parked</w:t>
            </w:r>
          </w:p>
        </w:tc>
      </w:tr>
      <w:tr>
        <w:trPr>
          <w:cantSplit/>
        </w:trPr>
        <w:tc>
          <w:tcPr>
            <w:tcW w:type="dxa" w:w="3096"/>
          </w:tcPr>
          <w:p>
            <w:pPr>
              <w:spacing w:after="60" w:before="60" w:line="259" w:lineRule="auto"/>
            </w:pPr>
            <w:r>
              <w:rPr>
                <w:b w:val="0"/>
                <w:color w:val="243247"/>
                <w:sz w:val="18"/>
              </w:rPr>
              <w:t>Volunteer controls</w:t>
            </w:r>
          </w:p>
        </w:tc>
        <w:tc>
          <w:tcPr>
            <w:tcW w:type="dxa" w:w="7128"/>
          </w:tcPr>
          <w:p>
            <w:pPr>
              <w:spacing w:after="60" w:before="60" w:line="259" w:lineRule="auto"/>
            </w:pPr>
            <w:r>
              <w:rPr>
                <w:b w:val="0"/>
                <w:color w:val="243247"/>
                <w:sz w:val="18"/>
              </w:rPr>
              <w:t>Opt-in zones and times; stop capture; no home or private-route tracking by default</w:t>
            </w:r>
          </w:p>
        </w:tc>
      </w:tr>
    </w:tbl>
    <w:p>
      <w:pPr>
        <w:spacing w:after="20" w:line="240" w:lineRule="auto" w:before="0"/>
      </w:pPr>
      <w:r>
        <w:rPr>
          <w:sz w:val="4"/>
        </w:rPr>
      </w:r>
    </w:p>
    <w:p>
      <w:r>
        <w:t>Pilot a reliable Android phone or a dedicated camera/edge computer that exposes required timestamps and sensor data. A consumer dashcam with proprietary storage may be unsuitable even if it records good video. Validate thermal limits, vibration, glare, battery drain, mobile OS background restrictions and winter power behavior.</w:t>
      </w:r>
    </w:p>
    <w:p>
      <w:r>
        <w:t>A dedicated stereo or depth sensor is a later option if measured pothole dimensions are required. A single ordinary camera image cannot reliably establish engineering depth or statutory severity dimensions without calibration and a validated method.</w:t>
      </w:r>
    </w:p>
    <w:p>
      <w:r>
        <w:t>Keep full-route video off the standard upload path. Retain a short encrypted device buffer only if the authority authorizes it, and overwrite it according to policy. Store selected redacted evidence bundles centrally. Field onboarding must include fleet, labour and privacy review where applicable.</w:t>
      </w:r>
    </w:p>
    <w:p>
      <w:pPr>
        <w:pStyle w:val="Heading1"/>
        <w:pageBreakBefore/>
      </w:pPr>
      <w:r>
        <w:t>Computer vision and model governance</w:t>
      </w:r>
    </w:p>
    <w:p>
      <w:pPr>
        <w:pStyle w:val="Heading2"/>
      </w:pPr>
      <w:r>
        <w:t>Detection pipeline</w:t>
      </w:r>
    </w:p>
    <w:p>
      <w:pPr>
        <w:pStyle w:val="ListBullet"/>
      </w:pPr>
      <w:r>
        <w:t>Validate file type, hash, timestamp, sensor metadata and capture quality. Quarantine corrupted or malformed input.</w:t>
      </w:r>
    </w:p>
    <w:p>
      <w:pPr>
        <w:pStyle w:val="ListBullet"/>
      </w:pPr>
      <w:r>
        <w:t>Reject or flag frames with excessive blur, occlusion, glare, snow cover or uncertain location. An unobservable road is not a defect-free road.</w:t>
      </w:r>
    </w:p>
    <w:p>
      <w:pPr>
        <w:pStyle w:val="ListBullet"/>
      </w:pPr>
      <w:r>
        <w:t>Run a detector for potholes and selected crack classes. Keep class scores, bounding boxes or masks, model version and image dimensions.</w:t>
      </w:r>
    </w:p>
    <w:p>
      <w:pPr>
        <w:pStyle w:val="ListBullet"/>
      </w:pPr>
      <w:r>
        <w:t>Group temporally adjacent frames into one observation bundle and estimate a candidate road location. Do not open a new ticket for every frame.</w:t>
      </w:r>
    </w:p>
    <w:p>
      <w:pPr>
        <w:pStyle w:val="ListBullet"/>
      </w:pPr>
      <w:r>
        <w:t>Apply a separately approved prioritization rule using visible size cues, road class and exposure. Record measured dimensions only when actually measured.</w:t>
      </w:r>
    </w:p>
    <w:p>
      <w:pPr>
        <w:pStyle w:val="ListBullet"/>
      </w:pPr>
      <w:r>
        <w:t>Route uncertain detections to review. Sample rejected frames and apparently clear road sections to estimate missed defects.</w:t>
      </w:r>
    </w:p>
    <w:p>
      <w:pPr>
        <w:pStyle w:val="Heading2"/>
      </w:pPr>
      <w:r>
        <w:t>Training and evaluation</w:t>
      </w:r>
    </w:p>
    <w:p>
      <w:r>
        <w:t>Public road-damage datasets can support an initial benchmark. The CRDDC dataset description includes longitudinal, transverse and alligator cracking and potholes. Dataset access does not itself establish commercial license rights or suitability for Canada; check dataset, code and model licenses independently. [S11]</w:t>
      </w:r>
    </w:p>
    <w:p>
      <w:r>
        <w:t>Build local labelled data covering asphalt repairs, utility cuts, manholes, shadows, puddles, snow, wet surfaces, night lighting and different vehicles. Split training and test data by road segment, date and fleet so near-identical frames do not leak across sets.</w:t>
      </w:r>
    </w:p>
    <w:p>
      <w:r>
        <w:t>Report event-level precision and recall, false alerts per driven kilometre, duplicate-ticket rate and location error. Show results by condition and damage class, with sample sizes and confidence intervals. A high frame-level accuracy on mostly undamaged roads can hide poor defect recall.</w:t>
      </w:r>
    </w:p>
    <w:p>
      <w:r>
        <w:t>Use shadow deployment, a model registry, approval sign-off, rollback and drift monitoring. Store the version that produced each decision. A general language model may summarize analyst notes or extract candidate warranty clauses with citations, but cannot independently decide legal responsibility or close a safety investigation.</w:t>
      </w:r>
    </w:p>
    <w:p>
      <w:pPr>
        <w:pStyle w:val="Heading1"/>
        <w:pageBreakBefore/>
      </w:pPr>
      <w:r>
        <w:t>Geospatial accuracy and duplicate handling</w:t>
      </w:r>
    </w:p>
    <w:p>
      <w:r>
        <w:t>Store coordinates in WGS84 with explicitly named latitude and longitude. Spatial calculations must use appropriate geography or projected coordinates, not treat degrees as metres. PostGIS supports distance queries in metres for geography through ST_DWithin. [S9]</w:t>
      </w:r>
    </w:p>
    <w:tbl>
      <w:tblPr>
        <w:tblW w:type="auto" w:w="0"/>
        <w:tblLayout w:type="fixed"/>
        <w:tblLook w:firstColumn="1" w:firstRow="1" w:lastColumn="0" w:lastRow="0" w:noHBand="0" w:noVBand="1" w:val="04A0"/>
      </w:tblPr>
      <w:tblGrid>
        <w:gridCol w:w="5112"/>
        <w:gridCol w:w="5112"/>
      </w:tblGrid>
      <w:tr>
        <w:trPr>
          <w:tblHeader/>
          <w:cantSplit/>
        </w:trPr>
        <w:tc>
          <w:tcPr>
            <w:tcW w:type="dxa" w:w="3096"/>
            <w:shd w:fill="172B42"/>
          </w:tcPr>
          <w:p>
            <w:pPr>
              <w:spacing w:after="60" w:before="60" w:line="259" w:lineRule="auto"/>
            </w:pPr>
            <w:r>
              <w:rPr>
                <w:b/>
                <w:color w:val="FFFFFF"/>
                <w:sz w:val="18"/>
              </w:rPr>
              <w:t>Stage</w:t>
            </w:r>
          </w:p>
        </w:tc>
        <w:tc>
          <w:tcPr>
            <w:tcW w:type="dxa" w:w="7128"/>
            <w:shd w:fill="172B42"/>
          </w:tcPr>
          <w:p>
            <w:pPr>
              <w:spacing w:after="60" w:before="60" w:line="259" w:lineRule="auto"/>
            </w:pPr>
            <w:r>
              <w:rPr>
                <w:b/>
                <w:color w:val="FFFFFF"/>
                <w:sz w:val="18"/>
              </w:rPr>
              <w:t>Required method</w:t>
            </w:r>
          </w:p>
        </w:tc>
      </w:tr>
      <w:tr>
        <w:trPr>
          <w:cantSplit/>
        </w:trPr>
        <w:tc>
          <w:tcPr>
            <w:tcW w:type="dxa" w:w="3096"/>
          </w:tcPr>
          <w:p>
            <w:pPr>
              <w:spacing w:after="60" w:before="60" w:line="259" w:lineRule="auto"/>
            </w:pPr>
            <w:r>
              <w:rPr>
                <w:b w:val="0"/>
                <w:color w:val="243247"/>
                <w:sz w:val="18"/>
              </w:rPr>
              <w:t>Device position</w:t>
            </w:r>
          </w:p>
        </w:tc>
        <w:tc>
          <w:tcPr>
            <w:tcW w:type="dxa" w:w="7128"/>
          </w:tcPr>
          <w:p>
            <w:pPr>
              <w:spacing w:after="60" w:before="60" w:line="259" w:lineRule="auto"/>
            </w:pPr>
            <w:r>
              <w:rPr>
                <w:b w:val="0"/>
                <w:color w:val="243247"/>
                <w:sz w:val="18"/>
              </w:rPr>
              <w:t>Record GNSS fix and uncertainty at the image exposure time</w:t>
            </w:r>
          </w:p>
        </w:tc>
      </w:tr>
      <w:tr>
        <w:trPr>
          <w:cantSplit/>
        </w:trPr>
        <w:tc>
          <w:tcPr>
            <w:tcW w:type="dxa" w:w="3096"/>
            <w:shd w:fill="F3F6FA"/>
          </w:tcPr>
          <w:p>
            <w:pPr>
              <w:spacing w:after="60" w:before="60" w:line="259" w:lineRule="auto"/>
            </w:pPr>
            <w:r>
              <w:rPr>
                <w:b w:val="0"/>
                <w:color w:val="243247"/>
                <w:sz w:val="18"/>
              </w:rPr>
              <w:t>Defect position</w:t>
            </w:r>
          </w:p>
        </w:tc>
        <w:tc>
          <w:tcPr>
            <w:tcW w:type="dxa" w:w="7128"/>
            <w:shd w:fill="F3F6FA"/>
          </w:tcPr>
          <w:p>
            <w:pPr>
              <w:spacing w:after="60" w:before="60" w:line="259" w:lineRule="auto"/>
            </w:pPr>
            <w:r>
              <w:rPr>
                <w:b w:val="0"/>
                <w:color w:val="243247"/>
                <w:sz w:val="18"/>
              </w:rPr>
              <w:t>Use camera calibration and ground-plane or depth estimate where validated; retain method and uncertainty</w:t>
            </w:r>
          </w:p>
        </w:tc>
      </w:tr>
      <w:tr>
        <w:trPr>
          <w:cantSplit/>
        </w:trPr>
        <w:tc>
          <w:tcPr>
            <w:tcW w:type="dxa" w:w="3096"/>
          </w:tcPr>
          <w:p>
            <w:pPr>
              <w:spacing w:after="60" w:before="60" w:line="259" w:lineRule="auto"/>
            </w:pPr>
            <w:r>
              <w:rPr>
                <w:b w:val="0"/>
                <w:color w:val="243247"/>
                <w:sz w:val="18"/>
              </w:rPr>
              <w:t>Map match</w:t>
            </w:r>
          </w:p>
        </w:tc>
        <w:tc>
          <w:tcPr>
            <w:tcW w:type="dxa" w:w="7128"/>
          </w:tcPr>
          <w:p>
            <w:pPr>
              <w:spacing w:after="60" w:before="60" w:line="259" w:lineRule="auto"/>
            </w:pPr>
            <w:r>
              <w:rPr>
                <w:b w:val="0"/>
                <w:color w:val="243247"/>
                <w:sz w:val="18"/>
              </w:rPr>
              <w:t>Compare road geometry, direction, route, speed and heading; preserve alternatives</w:t>
            </w:r>
          </w:p>
        </w:tc>
      </w:tr>
      <w:tr>
        <w:trPr>
          <w:cantSplit/>
        </w:trPr>
        <w:tc>
          <w:tcPr>
            <w:tcW w:type="dxa" w:w="3096"/>
            <w:shd w:fill="F3F6FA"/>
          </w:tcPr>
          <w:p>
            <w:pPr>
              <w:spacing w:after="60" w:before="60" w:line="259" w:lineRule="auto"/>
            </w:pPr>
            <w:r>
              <w:rPr>
                <w:b w:val="0"/>
                <w:color w:val="243247"/>
                <w:sz w:val="18"/>
              </w:rPr>
              <w:t>Lane assignment</w:t>
            </w:r>
          </w:p>
        </w:tc>
        <w:tc>
          <w:tcPr>
            <w:tcW w:type="dxa" w:w="7128"/>
            <w:shd w:fill="F3F6FA"/>
          </w:tcPr>
          <w:p>
            <w:pPr>
              <w:spacing w:after="60" w:before="60" w:line="259" w:lineRule="auto"/>
            </w:pPr>
            <w:r>
              <w:rPr>
                <w:b w:val="0"/>
                <w:color w:val="243247"/>
                <w:sz w:val="18"/>
              </w:rPr>
              <w:t>Confirm from lane-level data or analyst review; parallel lanes are not interchangeable</w:t>
            </w:r>
          </w:p>
        </w:tc>
      </w:tr>
      <w:tr>
        <w:trPr>
          <w:cantSplit/>
        </w:trPr>
        <w:tc>
          <w:tcPr>
            <w:tcW w:type="dxa" w:w="3096"/>
          </w:tcPr>
          <w:p>
            <w:pPr>
              <w:spacing w:after="60" w:before="60" w:line="259" w:lineRule="auto"/>
            </w:pPr>
            <w:r>
              <w:rPr>
                <w:b w:val="0"/>
                <w:color w:val="243247"/>
                <w:sz w:val="18"/>
              </w:rPr>
              <w:t>Jurisdiction</w:t>
            </w:r>
          </w:p>
        </w:tc>
        <w:tc>
          <w:tcPr>
            <w:tcW w:type="dxa" w:w="7128"/>
          </w:tcPr>
          <w:p>
            <w:pPr>
              <w:spacing w:after="60" w:before="60" w:line="259" w:lineRule="auto"/>
            </w:pPr>
            <w:r>
              <w:rPr>
                <w:b w:val="0"/>
                <w:color w:val="243247"/>
                <w:sz w:val="18"/>
              </w:rPr>
              <w:t>Resolve authoritative road owner and maintenance responsibility, including boundary roads</w:t>
            </w:r>
          </w:p>
        </w:tc>
      </w:tr>
      <w:tr>
        <w:trPr>
          <w:cantSplit/>
        </w:trPr>
        <w:tc>
          <w:tcPr>
            <w:tcW w:type="dxa" w:w="3096"/>
            <w:shd w:fill="F3F6FA"/>
          </w:tcPr>
          <w:p>
            <w:pPr>
              <w:spacing w:after="60" w:before="60" w:line="259" w:lineRule="auto"/>
            </w:pPr>
            <w:r>
              <w:rPr>
                <w:b w:val="0"/>
                <w:color w:val="243247"/>
                <w:sz w:val="18"/>
              </w:rPr>
              <w:t>Duplicate search</w:t>
            </w:r>
          </w:p>
        </w:tc>
        <w:tc>
          <w:tcPr>
            <w:tcW w:type="dxa" w:w="7128"/>
            <w:shd w:fill="F3F6FA"/>
          </w:tcPr>
          <w:p>
            <w:pPr>
              <w:spacing w:after="60" w:before="60" w:line="259" w:lineRule="auto"/>
            </w:pPr>
            <w:r>
              <w:rPr>
                <w:b w:val="0"/>
                <w:color w:val="243247"/>
                <w:sz w:val="18"/>
              </w:rPr>
              <w:t>Search compatible nearby observations by spatial uncertainty, time, class and appearance</w:t>
            </w:r>
          </w:p>
        </w:tc>
      </w:tr>
      <w:tr>
        <w:trPr>
          <w:cantSplit/>
        </w:trPr>
        <w:tc>
          <w:tcPr>
            <w:tcW w:type="dxa" w:w="3096"/>
          </w:tcPr>
          <w:p>
            <w:pPr>
              <w:spacing w:after="60" w:before="60" w:line="259" w:lineRule="auto"/>
            </w:pPr>
            <w:r>
              <w:rPr>
                <w:b w:val="0"/>
                <w:color w:val="243247"/>
                <w:sz w:val="18"/>
              </w:rPr>
              <w:t>Cluster decision</w:t>
            </w:r>
          </w:p>
        </w:tc>
        <w:tc>
          <w:tcPr>
            <w:tcW w:type="dxa" w:w="7128"/>
          </w:tcPr>
          <w:p>
            <w:pPr>
              <w:spacing w:after="60" w:before="60" w:line="259" w:lineRule="auto"/>
            </w:pPr>
            <w:r>
              <w:rPr>
                <w:b w:val="0"/>
                <w:color w:val="243247"/>
                <w:sz w:val="18"/>
              </w:rPr>
              <w:t>Maintain observation IDs and one defect-cluster ID; allow reviewed split or merge</w:t>
            </w:r>
          </w:p>
        </w:tc>
      </w:tr>
    </w:tbl>
    <w:p>
      <w:pPr>
        <w:spacing w:after="20" w:line="240" w:lineRule="auto" w:before="0"/>
      </w:pPr>
      <w:r>
        <w:rPr>
          <w:sz w:val="4"/>
        </w:rPr>
      </w:r>
    </w:p>
    <w:p>
      <w:r>
        <w:t>Do not label a vehicle GPS point as the exact pothole position. The pothole may be several metres ahead of the camera. Store the raw device position, estimated defect position, uncertainty radius and the calculation used. If the position is poor, ask for a field check before notifying a contractor.</w:t>
      </w:r>
    </w:p>
    <w:p>
      <w:r>
        <w:t>Use a calibrated proximity threshold, initially 5 to 15 metres where the pilot supports it, combined with heading and same-lane evidence. This is an engineering starting range, not a universal rule. Nearby distinct potholes must remain separate. Do not merge opposite carriageways or stacked roads merely because coordinates are close.</w:t>
      </w:r>
    </w:p>
    <w:p>
      <w:r>
        <w:t>A new sighting of an open defect adds an observation and may raise severity. A sighting near a closed case becomes a recurrence candidate. Confirm whether it is a failed repair at the same location or a different defect, then reopen the original or create a linked new case.</w:t>
      </w:r>
    </w:p>
    <w:p>
      <w:r>
        <w:t>GIS geometry and road IDs change over time. Version the road network and retain the version used for a contract match so the original decision can be reconstructed.</w:t>
      </w:r>
    </w:p>
    <w:p>
      <w:pPr>
        <w:pStyle w:val="Heading1"/>
        <w:pageBreakBefore/>
      </w:pPr>
      <w:r>
        <w:t>Warranty and contractor responsibility engine</w:t>
      </w:r>
    </w:p>
    <w:p>
      <w:r>
        <w:t>A camera cannot determine who repaired a road. Responsibility comes from the authority's contracts, work orders, permits, completion certificates, as-built extents and approved contact directory. Import and maintain those records as a separate controlled dataset.</w:t>
      </w:r>
    </w:p>
    <w:tbl>
      <w:tblPr>
        <w:tblW w:type="auto" w:w="0"/>
        <w:tblLayout w:type="fixed"/>
        <w:tblLook w:firstColumn="1" w:firstRow="1" w:lastColumn="0" w:lastRow="0" w:noHBand="0" w:noVBand="1" w:val="04A0"/>
      </w:tblPr>
      <w:tblGrid>
        <w:gridCol w:w="5112"/>
        <w:gridCol w:w="5112"/>
      </w:tblGrid>
      <w:tr>
        <w:trPr>
          <w:tblHeader/>
          <w:cantSplit/>
        </w:trPr>
        <w:tc>
          <w:tcPr>
            <w:tcW w:type="dxa" w:w="3096"/>
            <w:shd w:fill="172B42"/>
          </w:tcPr>
          <w:p>
            <w:pPr>
              <w:spacing w:after="60" w:before="60" w:line="259" w:lineRule="auto"/>
            </w:pPr>
            <w:r>
              <w:rPr>
                <w:b/>
                <w:color w:val="FFFFFF"/>
                <w:sz w:val="18"/>
              </w:rPr>
              <w:t>Field group</w:t>
            </w:r>
          </w:p>
        </w:tc>
        <w:tc>
          <w:tcPr>
            <w:tcW w:type="dxa" w:w="7128"/>
            <w:shd w:fill="172B42"/>
          </w:tcPr>
          <w:p>
            <w:pPr>
              <w:spacing w:after="60" w:before="60" w:line="259" w:lineRule="auto"/>
            </w:pPr>
            <w:r>
              <w:rPr>
                <w:b/>
                <w:color w:val="FFFFFF"/>
                <w:sz w:val="18"/>
              </w:rPr>
              <w:t>Minimum data</w:t>
            </w:r>
          </w:p>
        </w:tc>
      </w:tr>
      <w:tr>
        <w:trPr>
          <w:cantSplit/>
        </w:trPr>
        <w:tc>
          <w:tcPr>
            <w:tcW w:type="dxa" w:w="3096"/>
          </w:tcPr>
          <w:p>
            <w:pPr>
              <w:spacing w:after="60" w:before="60" w:line="259" w:lineRule="auto"/>
            </w:pPr>
            <w:r>
              <w:rPr>
                <w:b w:val="0"/>
                <w:color w:val="243247"/>
                <w:sz w:val="18"/>
              </w:rPr>
              <w:t>Contract identity</w:t>
            </w:r>
          </w:p>
        </w:tc>
        <w:tc>
          <w:tcPr>
            <w:tcW w:type="dxa" w:w="7128"/>
          </w:tcPr>
          <w:p>
            <w:pPr>
              <w:spacing w:after="60" w:before="60" w:line="259" w:lineRule="auto"/>
            </w:pPr>
            <w:r>
              <w:rPr>
                <w:b w:val="0"/>
                <w:color w:val="243247"/>
                <w:sz w:val="18"/>
              </w:rPr>
              <w:t>Authority, contract ID, version, contractor legal entity and authorized subcontractor</w:t>
            </w:r>
          </w:p>
        </w:tc>
      </w:tr>
      <w:tr>
        <w:trPr>
          <w:cantSplit/>
        </w:trPr>
        <w:tc>
          <w:tcPr>
            <w:tcW w:type="dxa" w:w="3096"/>
            <w:shd w:fill="F3F6FA"/>
          </w:tcPr>
          <w:p>
            <w:pPr>
              <w:spacing w:after="60" w:before="60" w:line="259" w:lineRule="auto"/>
            </w:pPr>
            <w:r>
              <w:rPr>
                <w:b w:val="0"/>
                <w:color w:val="243247"/>
                <w:sz w:val="18"/>
              </w:rPr>
              <w:t>Physical scope</w:t>
            </w:r>
          </w:p>
        </w:tc>
        <w:tc>
          <w:tcPr>
            <w:tcW w:type="dxa" w:w="7128"/>
            <w:shd w:fill="F3F6FA"/>
          </w:tcPr>
          <w:p>
            <w:pPr>
              <w:spacing w:after="60" w:before="60" w:line="259" w:lineRule="auto"/>
            </w:pPr>
            <w:r>
              <w:rPr>
                <w:b w:val="0"/>
                <w:color w:val="243247"/>
                <w:sz w:val="18"/>
              </w:rPr>
              <w:t>Road segment, lane/direction, chainage or polygon, work type and limits</w:t>
            </w:r>
          </w:p>
        </w:tc>
      </w:tr>
      <w:tr>
        <w:trPr>
          <w:cantSplit/>
        </w:trPr>
        <w:tc>
          <w:tcPr>
            <w:tcW w:type="dxa" w:w="3096"/>
          </w:tcPr>
          <w:p>
            <w:pPr>
              <w:spacing w:after="60" w:before="60" w:line="259" w:lineRule="auto"/>
            </w:pPr>
            <w:r>
              <w:rPr>
                <w:b w:val="0"/>
                <w:color w:val="243247"/>
                <w:sz w:val="18"/>
              </w:rPr>
              <w:t>Coverage</w:t>
            </w:r>
          </w:p>
        </w:tc>
        <w:tc>
          <w:tcPr>
            <w:tcW w:type="dxa" w:w="7128"/>
          </w:tcPr>
          <w:p>
            <w:pPr>
              <w:spacing w:after="60" w:before="60" w:line="259" w:lineRule="auto"/>
            </w:pPr>
            <w:r>
              <w:rPr>
                <w:b w:val="0"/>
                <w:color w:val="243247"/>
                <w:sz w:val="18"/>
              </w:rPr>
              <w:t>Covered defect classes, exclusions, acceptance date, warranty term and extension rules</w:t>
            </w:r>
          </w:p>
        </w:tc>
      </w:tr>
      <w:tr>
        <w:trPr>
          <w:cantSplit/>
        </w:trPr>
        <w:tc>
          <w:tcPr>
            <w:tcW w:type="dxa" w:w="3096"/>
            <w:shd w:fill="F3F6FA"/>
          </w:tcPr>
          <w:p>
            <w:pPr>
              <w:spacing w:after="60" w:before="60" w:line="259" w:lineRule="auto"/>
            </w:pPr>
            <w:r>
              <w:rPr>
                <w:b w:val="0"/>
                <w:color w:val="243247"/>
                <w:sz w:val="18"/>
              </w:rPr>
              <w:t>Notice rules</w:t>
            </w:r>
          </w:p>
        </w:tc>
        <w:tc>
          <w:tcPr>
            <w:tcW w:type="dxa" w:w="7128"/>
            <w:shd w:fill="F3F6FA"/>
          </w:tcPr>
          <w:p>
            <w:pPr>
              <w:spacing w:after="60" w:before="60" w:line="259" w:lineRule="auto"/>
            </w:pPr>
            <w:r>
              <w:rPr>
                <w:b w:val="0"/>
                <w:color w:val="243247"/>
                <w:sz w:val="18"/>
              </w:rPr>
              <w:t>Trigger date, notice deadline, permitted channel, recipient and required attachments</w:t>
            </w:r>
          </w:p>
        </w:tc>
      </w:tr>
      <w:tr>
        <w:trPr>
          <w:cantSplit/>
        </w:trPr>
        <w:tc>
          <w:tcPr>
            <w:tcW w:type="dxa" w:w="3096"/>
          </w:tcPr>
          <w:p>
            <w:pPr>
              <w:spacing w:after="60" w:before="60" w:line="259" w:lineRule="auto"/>
            </w:pPr>
            <w:r>
              <w:rPr>
                <w:b w:val="0"/>
                <w:color w:val="243247"/>
                <w:sz w:val="18"/>
              </w:rPr>
              <w:t>Evidence</w:t>
            </w:r>
          </w:p>
        </w:tc>
        <w:tc>
          <w:tcPr>
            <w:tcW w:type="dxa" w:w="7128"/>
          </w:tcPr>
          <w:p>
            <w:pPr>
              <w:spacing w:after="60" w:before="60" w:line="259" w:lineRule="auto"/>
            </w:pPr>
            <w:r>
              <w:rPr>
                <w:b w:val="0"/>
                <w:color w:val="243247"/>
                <w:sz w:val="18"/>
              </w:rPr>
              <w:t>Signed document, clause reference, acceptance certificate and change orders</w:t>
            </w:r>
          </w:p>
        </w:tc>
      </w:tr>
      <w:tr>
        <w:trPr>
          <w:cantSplit/>
        </w:trPr>
        <w:tc>
          <w:tcPr>
            <w:tcW w:type="dxa" w:w="3096"/>
            <w:shd w:fill="F3F6FA"/>
          </w:tcPr>
          <w:p>
            <w:pPr>
              <w:spacing w:after="60" w:before="60" w:line="259" w:lineRule="auto"/>
            </w:pPr>
            <w:r>
              <w:rPr>
                <w:b w:val="0"/>
                <w:color w:val="243247"/>
                <w:sz w:val="18"/>
              </w:rPr>
              <w:t>Contacts</w:t>
            </w:r>
          </w:p>
        </w:tc>
        <w:tc>
          <w:tcPr>
            <w:tcW w:type="dxa" w:w="7128"/>
            <w:shd w:fill="F3F6FA"/>
          </w:tcPr>
          <w:p>
            <w:pPr>
              <w:spacing w:after="60" w:before="60" w:line="259" w:lineRule="auto"/>
            </w:pPr>
            <w:r>
              <w:rPr>
                <w:b w:val="0"/>
                <w:color w:val="243247"/>
                <w:sz w:val="18"/>
              </w:rPr>
              <w:t>Named POC, verified email/portal identity, escalation contact and effective dates</w:t>
            </w:r>
          </w:p>
        </w:tc>
      </w:tr>
    </w:tbl>
    <w:p>
      <w:pPr>
        <w:spacing w:after="20" w:line="240" w:lineRule="auto" w:before="0"/>
      </w:pPr>
      <w:r>
        <w:rPr>
          <w:sz w:val="4"/>
        </w:rPr>
      </w:r>
    </w:p>
    <w:p>
      <w:pPr>
        <w:pStyle w:val="Heading2"/>
      </w:pPr>
      <w:r>
        <w:t>Rule evaluation</w:t>
      </w:r>
    </w:p>
    <w:p>
      <w:r>
        <w:t>Evaluate tenant and jurisdiction, spatial work scope, work type, defect class, relevant dates, exclusions and notice rules. Return eligible candidate, ineligible, ambiguous or missing data, with the clause and input values that produced the result. Never infer eligibility from a contractor name and road name alone.</w:t>
      </w:r>
    </w:p>
    <w:p>
      <w:r>
        <w:t>A warranty term can run from acceptance rather than invoice date. A defect noticed before expiry may have a different notice deadline. Keep observation, municipal awareness, confirmation and dispatch timestamps separately. Date semantics must be approved by the contract owner.</w:t>
      </w:r>
    </w:p>
    <w:p>
      <w:pPr>
        <w:pStyle w:val="Heading2"/>
      </w:pPr>
      <w:r>
        <w:t>Controlled automation</w:t>
      </w:r>
    </w:p>
    <w:p>
      <w:r>
        <w:t>Default to automatic ticket creation and reviewed contractor notices. Permit automatic notice only under a versioned municipal policy with validated geometry, approved terms, one unambiguous candidate, sufficient evidence and a verified contact. Log every rule and dispatch result. Ambiguity, missing documents, disputes and expired terms enter an analyst queue.</w:t>
      </w:r>
    </w:p>
    <w:p>
      <w:r>
        <w:t>Unknown or uncovered responsibility routes to the authority's own maintenance process. A disputed warranty does not pause immediate safety action. The platform requests review and repair under a contract; it does not conclusively determine liability.</w:t>
      </w:r>
    </w:p>
    <w:p>
      <w:pPr>
        <w:pStyle w:val="Heading1"/>
        <w:pageBreakBefore/>
      </w:pPr>
      <w:r>
        <w:t>Ticket lifecycle and stage controls</w:t>
      </w:r>
    </w:p>
    <w:tbl>
      <w:tblPr>
        <w:tblW w:type="auto" w:w="0"/>
        <w:tblLayout w:type="fixed"/>
        <w:tblLook w:firstColumn="1" w:firstRow="1" w:lastColumn="0" w:lastRow="0" w:noHBand="0" w:noVBand="1" w:val="04A0"/>
      </w:tblPr>
      <w:tblGrid>
        <w:gridCol w:w="3408"/>
        <w:gridCol w:w="3408"/>
        <w:gridCol w:w="3408"/>
      </w:tblGrid>
      <w:tr>
        <w:trPr>
          <w:tblHeader/>
          <w:cantSplit/>
        </w:trPr>
        <w:tc>
          <w:tcPr>
            <w:tcW w:type="dxa" w:w="2304"/>
            <w:shd w:fill="172B42"/>
          </w:tcPr>
          <w:p>
            <w:pPr>
              <w:spacing w:after="60" w:before="60" w:line="259" w:lineRule="auto"/>
            </w:pPr>
            <w:r>
              <w:rPr>
                <w:b/>
                <w:color w:val="FFFFFF"/>
                <w:sz w:val="18"/>
              </w:rPr>
              <w:t>Stage</w:t>
            </w:r>
          </w:p>
        </w:tc>
        <w:tc>
          <w:tcPr>
            <w:tcW w:type="dxa" w:w="3600"/>
            <w:shd w:fill="172B42"/>
          </w:tcPr>
          <w:p>
            <w:pPr>
              <w:spacing w:after="60" w:before="60" w:line="259" w:lineRule="auto"/>
            </w:pPr>
            <w:r>
              <w:rPr>
                <w:b/>
                <w:color w:val="FFFFFF"/>
                <w:sz w:val="18"/>
              </w:rPr>
              <w:t>Colour</w:t>
            </w:r>
          </w:p>
        </w:tc>
        <w:tc>
          <w:tcPr>
            <w:tcW w:type="dxa" w:w="4320"/>
            <w:shd w:fill="172B42"/>
          </w:tcPr>
          <w:p>
            <w:pPr>
              <w:spacing w:after="60" w:before="60" w:line="259" w:lineRule="auto"/>
            </w:pPr>
            <w:r>
              <w:rPr>
                <w:b/>
                <w:color w:val="FFFFFF"/>
                <w:sz w:val="18"/>
              </w:rPr>
              <w:t>Entry and exit evidence</w:t>
            </w:r>
          </w:p>
        </w:tc>
      </w:tr>
      <w:tr>
        <w:trPr>
          <w:cantSplit/>
        </w:trPr>
        <w:tc>
          <w:tcPr>
            <w:tcW w:type="dxa" w:w="2304"/>
          </w:tcPr>
          <w:p>
            <w:pPr>
              <w:spacing w:after="60" w:before="60" w:line="259" w:lineRule="auto"/>
            </w:pPr>
            <w:r>
              <w:rPr>
                <w:b w:val="0"/>
                <w:color w:val="243247"/>
                <w:sz w:val="18"/>
              </w:rPr>
              <w:t>Detected</w:t>
            </w:r>
          </w:p>
        </w:tc>
        <w:tc>
          <w:tcPr>
            <w:tcW w:type="dxa" w:w="3600"/>
          </w:tcPr>
          <w:p>
            <w:pPr>
              <w:spacing w:after="60" w:before="60" w:line="259" w:lineRule="auto"/>
            </w:pPr>
            <w:r>
              <w:rPr>
                <w:b w:val="0"/>
                <w:color w:val="243247"/>
                <w:sz w:val="18"/>
              </w:rPr>
              <w:t>Slate #54667E</w:t>
            </w:r>
          </w:p>
        </w:tc>
        <w:tc>
          <w:tcPr>
            <w:tcW w:type="dxa" w:w="4320"/>
          </w:tcPr>
          <w:p>
            <w:pPr>
              <w:spacing w:after="60" w:before="60" w:line="259" w:lineRule="auto"/>
            </w:pPr>
            <w:r>
              <w:rPr>
                <w:b w:val="0"/>
                <w:color w:val="243247"/>
                <w:sz w:val="18"/>
              </w:rPr>
              <w:t>Observation accepted; unique ticket or cluster link created</w:t>
            </w:r>
          </w:p>
        </w:tc>
      </w:tr>
      <w:tr>
        <w:trPr>
          <w:cantSplit/>
        </w:trPr>
        <w:tc>
          <w:tcPr>
            <w:tcW w:type="dxa" w:w="2304"/>
            <w:shd w:fill="F3F6FA"/>
          </w:tcPr>
          <w:p>
            <w:pPr>
              <w:spacing w:after="60" w:before="60" w:line="259" w:lineRule="auto"/>
            </w:pPr>
            <w:r>
              <w:rPr>
                <w:b w:val="0"/>
                <w:color w:val="243247"/>
                <w:sz w:val="18"/>
              </w:rPr>
              <w:t>Team assigned</w:t>
            </w:r>
          </w:p>
        </w:tc>
        <w:tc>
          <w:tcPr>
            <w:tcW w:type="dxa" w:w="3600"/>
            <w:shd w:fill="F3F6FA"/>
          </w:tcPr>
          <w:p>
            <w:pPr>
              <w:spacing w:after="60" w:before="60" w:line="259" w:lineRule="auto"/>
            </w:pPr>
            <w:r>
              <w:rPr>
                <w:b w:val="0"/>
                <w:color w:val="243247"/>
                <w:sz w:val="18"/>
              </w:rPr>
              <w:t>Blue #365CBF</w:t>
            </w:r>
          </w:p>
        </w:tc>
        <w:tc>
          <w:tcPr>
            <w:tcW w:type="dxa" w:w="4320"/>
            <w:shd w:fill="F3F6FA"/>
          </w:tcPr>
          <w:p>
            <w:pPr>
              <w:spacing w:after="60" w:before="60" w:line="259" w:lineRule="auto"/>
            </w:pPr>
            <w:r>
              <w:rPr>
                <w:b w:val="0"/>
                <w:color w:val="243247"/>
                <w:sz w:val="18"/>
              </w:rPr>
              <w:t>Jurisdiction and responsible team selected</w:t>
            </w:r>
          </w:p>
        </w:tc>
      </w:tr>
      <w:tr>
        <w:trPr>
          <w:cantSplit/>
        </w:trPr>
        <w:tc>
          <w:tcPr>
            <w:tcW w:type="dxa" w:w="2304"/>
          </w:tcPr>
          <w:p>
            <w:pPr>
              <w:spacing w:after="60" w:before="60" w:line="259" w:lineRule="auto"/>
            </w:pPr>
            <w:r>
              <w:rPr>
                <w:b w:val="0"/>
                <w:color w:val="243247"/>
                <w:sz w:val="18"/>
              </w:rPr>
              <w:t>Analyst assigned</w:t>
            </w:r>
          </w:p>
        </w:tc>
        <w:tc>
          <w:tcPr>
            <w:tcW w:type="dxa" w:w="3600"/>
          </w:tcPr>
          <w:p>
            <w:pPr>
              <w:spacing w:after="60" w:before="60" w:line="259" w:lineRule="auto"/>
            </w:pPr>
            <w:r>
              <w:rPr>
                <w:b w:val="0"/>
                <w:color w:val="243247"/>
                <w:sz w:val="18"/>
              </w:rPr>
              <w:t>Indigo #584BC2</w:t>
            </w:r>
          </w:p>
        </w:tc>
        <w:tc>
          <w:tcPr>
            <w:tcW w:type="dxa" w:w="4320"/>
          </w:tcPr>
          <w:p>
            <w:pPr>
              <w:spacing w:after="60" w:before="60" w:line="259" w:lineRule="auto"/>
            </w:pPr>
            <w:r>
              <w:rPr>
                <w:b w:val="0"/>
                <w:color w:val="243247"/>
                <w:sz w:val="18"/>
              </w:rPr>
              <w:t>Authorized analyst selected; notification queued</w:t>
            </w:r>
          </w:p>
        </w:tc>
      </w:tr>
      <w:tr>
        <w:trPr>
          <w:cantSplit/>
        </w:trPr>
        <w:tc>
          <w:tcPr>
            <w:tcW w:type="dxa" w:w="2304"/>
            <w:shd w:fill="F3F6FA"/>
          </w:tcPr>
          <w:p>
            <w:pPr>
              <w:spacing w:after="60" w:before="60" w:line="259" w:lineRule="auto"/>
            </w:pPr>
            <w:r>
              <w:rPr>
                <w:b w:val="0"/>
                <w:color w:val="243247"/>
                <w:sz w:val="18"/>
              </w:rPr>
              <w:t>Investigating</w:t>
            </w:r>
          </w:p>
        </w:tc>
        <w:tc>
          <w:tcPr>
            <w:tcW w:type="dxa" w:w="3600"/>
            <w:shd w:fill="F3F6FA"/>
          </w:tcPr>
          <w:p>
            <w:pPr>
              <w:spacing w:after="60" w:before="60" w:line="259" w:lineRule="auto"/>
            </w:pPr>
            <w:r>
              <w:rPr>
                <w:b w:val="0"/>
                <w:color w:val="243247"/>
                <w:sz w:val="18"/>
              </w:rPr>
              <w:t>Violet #8055BD</w:t>
            </w:r>
          </w:p>
        </w:tc>
        <w:tc>
          <w:tcPr>
            <w:tcW w:type="dxa" w:w="4320"/>
            <w:shd w:fill="F3F6FA"/>
          </w:tcPr>
          <w:p>
            <w:pPr>
              <w:spacing w:after="60" w:before="60" w:line="259" w:lineRule="auto"/>
            </w:pPr>
            <w:r>
              <w:rPr>
                <w:b w:val="0"/>
                <w:color w:val="243247"/>
                <w:sz w:val="18"/>
              </w:rPr>
              <w:t>Analyst starts review and records next action</w:t>
            </w:r>
          </w:p>
        </w:tc>
      </w:tr>
      <w:tr>
        <w:trPr>
          <w:cantSplit/>
        </w:trPr>
        <w:tc>
          <w:tcPr>
            <w:tcW w:type="dxa" w:w="2304"/>
          </w:tcPr>
          <w:p>
            <w:pPr>
              <w:spacing w:after="60" w:before="60" w:line="259" w:lineRule="auto"/>
            </w:pPr>
            <w:r>
              <w:rPr>
                <w:b w:val="0"/>
                <w:color w:val="243247"/>
                <w:sz w:val="18"/>
              </w:rPr>
              <w:t>Confirmed</w:t>
            </w:r>
          </w:p>
        </w:tc>
        <w:tc>
          <w:tcPr>
            <w:tcW w:type="dxa" w:w="3600"/>
          </w:tcPr>
          <w:p>
            <w:pPr>
              <w:spacing w:after="60" w:before="60" w:line="259" w:lineRule="auto"/>
            </w:pPr>
            <w:r>
              <w:rPr>
                <w:b w:val="0"/>
                <w:color w:val="243247"/>
                <w:sz w:val="18"/>
              </w:rPr>
              <w:t>Amber #A8640B</w:t>
            </w:r>
          </w:p>
        </w:tc>
        <w:tc>
          <w:tcPr>
            <w:tcW w:type="dxa" w:w="4320"/>
          </w:tcPr>
          <w:p>
            <w:pPr>
              <w:spacing w:after="60" w:before="60" w:line="259" w:lineRule="auto"/>
            </w:pPr>
            <w:r>
              <w:rPr>
                <w:b w:val="0"/>
                <w:color w:val="243247"/>
                <w:sz w:val="18"/>
              </w:rPr>
              <w:t>Issue is real; location and urgency reviewed</w:t>
            </w:r>
          </w:p>
        </w:tc>
      </w:tr>
      <w:tr>
        <w:trPr>
          <w:cantSplit/>
        </w:trPr>
        <w:tc>
          <w:tcPr>
            <w:tcW w:type="dxa" w:w="2304"/>
            <w:shd w:fill="F3F6FA"/>
          </w:tcPr>
          <w:p>
            <w:pPr>
              <w:spacing w:after="60" w:before="60" w:line="259" w:lineRule="auto"/>
            </w:pPr>
            <w:r>
              <w:rPr>
                <w:b w:val="0"/>
                <w:color w:val="243247"/>
                <w:sz w:val="18"/>
              </w:rPr>
              <w:t>Notice pending</w:t>
            </w:r>
          </w:p>
        </w:tc>
        <w:tc>
          <w:tcPr>
            <w:tcW w:type="dxa" w:w="3600"/>
            <w:shd w:fill="F3F6FA"/>
          </w:tcPr>
          <w:p>
            <w:pPr>
              <w:spacing w:after="60" w:before="60" w:line="259" w:lineRule="auto"/>
            </w:pPr>
            <w:r>
              <w:rPr>
                <w:b w:val="0"/>
                <w:color w:val="243247"/>
                <w:sz w:val="18"/>
              </w:rPr>
              <w:t>Orange #A14805</w:t>
            </w:r>
          </w:p>
        </w:tc>
        <w:tc>
          <w:tcPr>
            <w:tcW w:type="dxa" w:w="4320"/>
            <w:shd w:fill="F3F6FA"/>
          </w:tcPr>
          <w:p>
            <w:pPr>
              <w:spacing w:after="60" w:before="60" w:line="259" w:lineRule="auto"/>
            </w:pPr>
            <w:r>
              <w:rPr>
                <w:b w:val="0"/>
                <w:color w:val="243247"/>
                <w:sz w:val="18"/>
              </w:rPr>
              <w:t>Approved draft exists; external dispatch still pending</w:t>
            </w:r>
          </w:p>
        </w:tc>
      </w:tr>
      <w:tr>
        <w:trPr>
          <w:cantSplit/>
        </w:trPr>
        <w:tc>
          <w:tcPr>
            <w:tcW w:type="dxa" w:w="2304"/>
          </w:tcPr>
          <w:p>
            <w:pPr>
              <w:spacing w:after="60" w:before="60" w:line="259" w:lineRule="auto"/>
            </w:pPr>
            <w:r>
              <w:rPr>
                <w:b w:val="0"/>
                <w:color w:val="243247"/>
                <w:sz w:val="18"/>
              </w:rPr>
              <w:t>Notice delivered</w:t>
            </w:r>
          </w:p>
        </w:tc>
        <w:tc>
          <w:tcPr>
            <w:tcW w:type="dxa" w:w="3600"/>
          </w:tcPr>
          <w:p>
            <w:pPr>
              <w:spacing w:after="60" w:before="60" w:line="259" w:lineRule="auto"/>
            </w:pPr>
            <w:r>
              <w:rPr>
                <w:b w:val="0"/>
                <w:color w:val="243247"/>
                <w:sz w:val="18"/>
              </w:rPr>
              <w:t>Orange #A14805</w:t>
            </w:r>
          </w:p>
        </w:tc>
        <w:tc>
          <w:tcPr>
            <w:tcW w:type="dxa" w:w="4320"/>
          </w:tcPr>
          <w:p>
            <w:pPr>
              <w:spacing w:after="60" w:before="60" w:line="259" w:lineRule="auto"/>
            </w:pPr>
            <w:r>
              <w:rPr>
                <w:b w:val="0"/>
                <w:color w:val="243247"/>
                <w:sz w:val="18"/>
              </w:rPr>
              <w:t>Provider confirms delivery state; acknowledgement still open</w:t>
            </w:r>
          </w:p>
        </w:tc>
      </w:tr>
      <w:tr>
        <w:trPr>
          <w:cantSplit/>
        </w:trPr>
        <w:tc>
          <w:tcPr>
            <w:tcW w:type="dxa" w:w="2304"/>
            <w:shd w:fill="F3F6FA"/>
          </w:tcPr>
          <w:p>
            <w:pPr>
              <w:spacing w:after="60" w:before="60" w:line="259" w:lineRule="auto"/>
            </w:pPr>
            <w:r>
              <w:rPr>
                <w:b w:val="0"/>
                <w:color w:val="243247"/>
                <w:sz w:val="18"/>
              </w:rPr>
              <w:t>Acknowledged</w:t>
            </w:r>
          </w:p>
        </w:tc>
        <w:tc>
          <w:tcPr>
            <w:tcW w:type="dxa" w:w="3600"/>
            <w:shd w:fill="F3F6FA"/>
          </w:tcPr>
          <w:p>
            <w:pPr>
              <w:spacing w:after="60" w:before="60" w:line="259" w:lineRule="auto"/>
            </w:pPr>
            <w:r>
              <w:rPr>
                <w:b w:val="0"/>
                <w:color w:val="243247"/>
                <w:sz w:val="18"/>
              </w:rPr>
              <w:t>Cyan #086E99</w:t>
            </w:r>
          </w:p>
        </w:tc>
        <w:tc>
          <w:tcPr>
            <w:tcW w:type="dxa" w:w="4320"/>
            <w:shd w:fill="F3F6FA"/>
          </w:tcPr>
          <w:p>
            <w:pPr>
              <w:spacing w:after="60" w:before="60" w:line="259" w:lineRule="auto"/>
            </w:pPr>
            <w:r>
              <w:rPr>
                <w:b w:val="0"/>
                <w:color w:val="243247"/>
                <w:sz w:val="18"/>
              </w:rPr>
              <w:t>Contractor or municipal responder accepts receipt</w:t>
            </w:r>
          </w:p>
        </w:tc>
      </w:tr>
      <w:tr>
        <w:trPr>
          <w:cantSplit/>
        </w:trPr>
        <w:tc>
          <w:tcPr>
            <w:tcW w:type="dxa" w:w="2304"/>
          </w:tcPr>
          <w:p>
            <w:pPr>
              <w:spacing w:after="60" w:before="60" w:line="259" w:lineRule="auto"/>
            </w:pPr>
            <w:r>
              <w:rPr>
                <w:b w:val="0"/>
                <w:color w:val="243247"/>
                <w:sz w:val="18"/>
              </w:rPr>
              <w:t>Repair in progress</w:t>
            </w:r>
          </w:p>
        </w:tc>
        <w:tc>
          <w:tcPr>
            <w:tcW w:type="dxa" w:w="3600"/>
          </w:tcPr>
          <w:p>
            <w:pPr>
              <w:spacing w:after="60" w:before="60" w:line="259" w:lineRule="auto"/>
            </w:pPr>
            <w:r>
              <w:rPr>
                <w:b w:val="0"/>
                <w:color w:val="243247"/>
                <w:sz w:val="18"/>
              </w:rPr>
              <w:t>Teal #006D83</w:t>
            </w:r>
          </w:p>
        </w:tc>
        <w:tc>
          <w:tcPr>
            <w:tcW w:type="dxa" w:w="4320"/>
          </w:tcPr>
          <w:p>
            <w:pPr>
              <w:spacing w:after="60" w:before="60" w:line="259" w:lineRule="auto"/>
            </w:pPr>
            <w:r>
              <w:rPr>
                <w:b w:val="0"/>
                <w:color w:val="243247"/>
                <w:sz w:val="18"/>
              </w:rPr>
              <w:t>Work scheduled or started; target and owner recorded</w:t>
            </w:r>
          </w:p>
        </w:tc>
      </w:tr>
      <w:tr>
        <w:trPr>
          <w:cantSplit/>
        </w:trPr>
        <w:tc>
          <w:tcPr>
            <w:tcW w:type="dxa" w:w="2304"/>
            <w:shd w:fill="F3F6FA"/>
          </w:tcPr>
          <w:p>
            <w:pPr>
              <w:spacing w:after="60" w:before="60" w:line="259" w:lineRule="auto"/>
            </w:pPr>
            <w:r>
              <w:rPr>
                <w:b w:val="0"/>
                <w:color w:val="243247"/>
                <w:sz w:val="18"/>
              </w:rPr>
              <w:t>Awaiting verification</w:t>
            </w:r>
          </w:p>
        </w:tc>
        <w:tc>
          <w:tcPr>
            <w:tcW w:type="dxa" w:w="3600"/>
            <w:shd w:fill="F3F6FA"/>
          </w:tcPr>
          <w:p>
            <w:pPr>
              <w:spacing w:after="60" w:before="60" w:line="259" w:lineRule="auto"/>
            </w:pPr>
            <w:r>
              <w:rPr>
                <w:b w:val="0"/>
                <w:color w:val="243247"/>
                <w:sz w:val="18"/>
              </w:rPr>
              <w:t>Sea green #267764</w:t>
            </w:r>
          </w:p>
        </w:tc>
        <w:tc>
          <w:tcPr>
            <w:tcW w:type="dxa" w:w="4320"/>
            <w:shd w:fill="F3F6FA"/>
          </w:tcPr>
          <w:p>
            <w:pPr>
              <w:spacing w:after="60" w:before="60" w:line="259" w:lineRule="auto"/>
            </w:pPr>
            <w:r>
              <w:rPr>
                <w:b w:val="0"/>
                <w:color w:val="243247"/>
                <w:sz w:val="18"/>
              </w:rPr>
              <w:t>Completion claimed with evidence; repeat observation requested</w:t>
            </w:r>
          </w:p>
        </w:tc>
      </w:tr>
      <w:tr>
        <w:trPr>
          <w:cantSplit/>
        </w:trPr>
        <w:tc>
          <w:tcPr>
            <w:tcW w:type="dxa" w:w="2304"/>
          </w:tcPr>
          <w:p>
            <w:pPr>
              <w:spacing w:after="60" w:before="60" w:line="259" w:lineRule="auto"/>
            </w:pPr>
            <w:r>
              <w:rPr>
                <w:b w:val="0"/>
                <w:color w:val="243247"/>
                <w:sz w:val="18"/>
              </w:rPr>
              <w:t>Verified closed</w:t>
            </w:r>
          </w:p>
        </w:tc>
        <w:tc>
          <w:tcPr>
            <w:tcW w:type="dxa" w:w="3600"/>
          </w:tcPr>
          <w:p>
            <w:pPr>
              <w:spacing w:after="60" w:before="60" w:line="259" w:lineRule="auto"/>
            </w:pPr>
            <w:r>
              <w:rPr>
                <w:b w:val="0"/>
                <w:color w:val="243247"/>
                <w:sz w:val="18"/>
              </w:rPr>
              <w:t>Green #167342</w:t>
            </w:r>
          </w:p>
        </w:tc>
        <w:tc>
          <w:tcPr>
            <w:tcW w:type="dxa" w:w="4320"/>
          </w:tcPr>
          <w:p>
            <w:pPr>
              <w:spacing w:after="60" w:before="60" w:line="259" w:lineRule="auto"/>
            </w:pPr>
            <w:r>
              <w:rPr>
                <w:b w:val="0"/>
                <w:color w:val="243247"/>
                <w:sz w:val="18"/>
              </w:rPr>
              <w:t>Eligible evidence and authorized reviewer accept repair</w:t>
            </w:r>
          </w:p>
        </w:tc>
      </w:tr>
      <w:tr>
        <w:trPr>
          <w:cantSplit/>
        </w:trPr>
        <w:tc>
          <w:tcPr>
            <w:tcW w:type="dxa" w:w="2304"/>
            <w:shd w:fill="F3F6FA"/>
          </w:tcPr>
          <w:p>
            <w:pPr>
              <w:spacing w:after="60" w:before="60" w:line="259" w:lineRule="auto"/>
            </w:pPr>
            <w:r>
              <w:rPr>
                <w:b w:val="0"/>
                <w:color w:val="243247"/>
                <w:sz w:val="18"/>
              </w:rPr>
              <w:t>Reopened</w:t>
            </w:r>
          </w:p>
        </w:tc>
        <w:tc>
          <w:tcPr>
            <w:tcW w:type="dxa" w:w="3600"/>
            <w:shd w:fill="F3F6FA"/>
          </w:tcPr>
          <w:p>
            <w:pPr>
              <w:spacing w:after="60" w:before="60" w:line="259" w:lineRule="auto"/>
            </w:pPr>
            <w:r>
              <w:rPr>
                <w:b w:val="0"/>
                <w:color w:val="243247"/>
                <w:sz w:val="18"/>
              </w:rPr>
              <w:t>Red #C32643</w:t>
            </w:r>
          </w:p>
        </w:tc>
        <w:tc>
          <w:tcPr>
            <w:tcW w:type="dxa" w:w="4320"/>
            <w:shd w:fill="F3F6FA"/>
          </w:tcPr>
          <w:p>
            <w:pPr>
              <w:spacing w:after="60" w:before="60" w:line="259" w:lineRule="auto"/>
            </w:pPr>
            <w:r>
              <w:rPr>
                <w:b w:val="0"/>
                <w:color w:val="243247"/>
                <w:sz w:val="18"/>
              </w:rPr>
              <w:t>Failure or recurrence confirmed; earlier history retained</w:t>
            </w:r>
          </w:p>
        </w:tc>
      </w:tr>
      <w:tr>
        <w:trPr>
          <w:cantSplit/>
        </w:trPr>
        <w:tc>
          <w:tcPr>
            <w:tcW w:type="dxa" w:w="2304"/>
          </w:tcPr>
          <w:p>
            <w:pPr>
              <w:spacing w:after="60" w:before="60" w:line="259" w:lineRule="auto"/>
            </w:pPr>
            <w:r>
              <w:rPr>
                <w:b w:val="0"/>
                <w:color w:val="243247"/>
                <w:sz w:val="18"/>
              </w:rPr>
              <w:t>On hold</w:t>
            </w:r>
          </w:p>
        </w:tc>
        <w:tc>
          <w:tcPr>
            <w:tcW w:type="dxa" w:w="3600"/>
          </w:tcPr>
          <w:p>
            <w:pPr>
              <w:spacing w:after="60" w:before="60" w:line="259" w:lineRule="auto"/>
            </w:pPr>
            <w:r>
              <w:rPr>
                <w:b w:val="0"/>
                <w:color w:val="243247"/>
                <w:sz w:val="18"/>
              </w:rPr>
              <w:t>Grey #68656F</w:t>
            </w:r>
          </w:p>
        </w:tc>
        <w:tc>
          <w:tcPr>
            <w:tcW w:type="dxa" w:w="4320"/>
          </w:tcPr>
          <w:p>
            <w:pPr>
              <w:spacing w:after="60" w:before="60" w:line="259" w:lineRule="auto"/>
            </w:pPr>
            <w:r>
              <w:rPr>
                <w:b w:val="0"/>
                <w:color w:val="243247"/>
                <w:sz w:val="18"/>
              </w:rPr>
              <w:t>Reason, owner and review date required</w:t>
            </w:r>
          </w:p>
        </w:tc>
      </w:tr>
      <w:tr>
        <w:trPr>
          <w:cantSplit/>
        </w:trPr>
        <w:tc>
          <w:tcPr>
            <w:tcW w:type="dxa" w:w="2304"/>
            <w:shd w:fill="F3F6FA"/>
          </w:tcPr>
          <w:p>
            <w:pPr>
              <w:spacing w:after="60" w:before="60" w:line="259" w:lineRule="auto"/>
            </w:pPr>
            <w:r>
              <w:rPr>
                <w:b w:val="0"/>
                <w:color w:val="243247"/>
                <w:sz w:val="18"/>
              </w:rPr>
              <w:t>Rejected</w:t>
            </w:r>
          </w:p>
        </w:tc>
        <w:tc>
          <w:tcPr>
            <w:tcW w:type="dxa" w:w="3600"/>
            <w:shd w:fill="F3F6FA"/>
          </w:tcPr>
          <w:p>
            <w:pPr>
              <w:spacing w:after="60" w:before="60" w:line="259" w:lineRule="auto"/>
            </w:pPr>
            <w:r>
              <w:rPr>
                <w:b w:val="0"/>
                <w:color w:val="243247"/>
                <w:sz w:val="18"/>
              </w:rPr>
              <w:t>Grey #57606B</w:t>
            </w:r>
          </w:p>
        </w:tc>
        <w:tc>
          <w:tcPr>
            <w:tcW w:type="dxa" w:w="4320"/>
            <w:shd w:fill="F3F6FA"/>
          </w:tcPr>
          <w:p>
            <w:pPr>
              <w:spacing w:after="60" w:before="60" w:line="259" w:lineRule="auto"/>
            </w:pPr>
            <w:r>
              <w:rPr>
                <w:b w:val="0"/>
                <w:color w:val="243247"/>
                <w:sz w:val="18"/>
              </w:rPr>
              <w:t>False report reason; evidence retained per policy</w:t>
            </w:r>
          </w:p>
        </w:tc>
      </w:tr>
      <w:tr>
        <w:trPr>
          <w:cantSplit/>
        </w:trPr>
        <w:tc>
          <w:tcPr>
            <w:tcW w:type="dxa" w:w="2304"/>
          </w:tcPr>
          <w:p>
            <w:pPr>
              <w:spacing w:after="60" w:before="60" w:line="259" w:lineRule="auto"/>
            </w:pPr>
            <w:r>
              <w:rPr>
                <w:b w:val="0"/>
                <w:color w:val="243247"/>
                <w:sz w:val="18"/>
              </w:rPr>
              <w:t>Duplicate</w:t>
            </w:r>
          </w:p>
        </w:tc>
        <w:tc>
          <w:tcPr>
            <w:tcW w:type="dxa" w:w="3600"/>
          </w:tcPr>
          <w:p>
            <w:pPr>
              <w:spacing w:after="60" w:before="60" w:line="259" w:lineRule="auto"/>
            </w:pPr>
            <w:r>
              <w:rPr>
                <w:b w:val="0"/>
                <w:color w:val="243247"/>
                <w:sz w:val="18"/>
              </w:rPr>
              <w:t>Grey #57606B</w:t>
            </w:r>
          </w:p>
        </w:tc>
        <w:tc>
          <w:tcPr>
            <w:tcW w:type="dxa" w:w="4320"/>
          </w:tcPr>
          <w:p>
            <w:pPr>
              <w:spacing w:after="60" w:before="60" w:line="259" w:lineRule="auto"/>
            </w:pPr>
            <w:r>
              <w:rPr>
                <w:b w:val="0"/>
                <w:color w:val="243247"/>
                <w:sz w:val="18"/>
              </w:rPr>
              <w:t>Canonical ticket link; observations preserved</w:t>
            </w:r>
          </w:p>
        </w:tc>
      </w:tr>
    </w:tbl>
    <w:p>
      <w:pPr>
        <w:spacing w:after="20" w:line="240" w:lineRule="auto" w:before="0"/>
      </w:pPr>
      <w:r>
        <w:rPr>
          <w:sz w:val="4"/>
        </w:rPr>
      </w:r>
    </w:p>
    <w:p>
      <w:r>
        <w:t>The prototype combines notice preparation into one Notice prepared stage because it does not send external messages. Production must separate pending, failed, delivered and acknowledged events. Colour is always accompanied by a text label and accessible icon or description.</w:t>
      </w:r>
    </w:p>
    <w:p>
      <w:r>
        <w:t>Transitions are server commands, not a free-form editable status field. Reject illegal jumps, absent evidence and unauthorized actors. Assignment may change without rewinding a confirmed investigation. Every transition stores actor, effective role, time, prior state, next state, reason and evidence references.</w:t>
      </w:r>
    </w:p>
    <w:p>
      <w:r>
        <w:t>A hold never silently stops the safety clock. Rejected and duplicate reports require a reason; a duplicate must point to an existing accessible canonical case. Correcting a record creates a new audit event rather than overwriting earlier evidence.</w:t>
      </w:r>
    </w:p>
    <w:p>
      <w:pPr>
        <w:pStyle w:val="Heading1"/>
        <w:pageBreakBefore/>
      </w:pPr>
      <w:r>
        <w:t>Repair verification and reopening</w:t>
      </w:r>
    </w:p>
    <w:p>
      <w:pPr>
        <w:pStyle w:val="Heading2"/>
      </w:pPr>
      <w:r>
        <w:t>Verification protocol</w:t>
      </w:r>
    </w:p>
    <w:p>
      <w:pPr>
        <w:pStyle w:val="ListBullet"/>
      </w:pPr>
      <w:r>
        <w:t>When a contractor marks work complete, save the claimed completion time, work performed, before/after photographs and responsible person. This is a completion claim, not municipal acceptance.</w:t>
      </w:r>
    </w:p>
    <w:p>
      <w:pPr>
        <w:pStyle w:val="ListBullet"/>
      </w:pPr>
      <w:r>
        <w:t>Schedule a repeat observation of the same road segment, lane and physical defect footprint after the reported repair time. Use a bus or other suitable vehicle when its route provides the required view.</w:t>
      </w:r>
    </w:p>
    <w:p>
      <w:pPr>
        <w:pStyle w:val="ListBullet"/>
      </w:pPr>
      <w:r>
        <w:t>Check camera health, position, field of view, road-surface visibility and weather. Snow, a vehicle blocking the view or a different lane produces inconclusive evidence.</w:t>
      </w:r>
    </w:p>
    <w:p>
      <w:pPr>
        <w:pStyle w:val="ListBullet"/>
      </w:pPr>
      <w:r>
        <w:t>Require positive visibility of the repaired area, a matched position and a reviewer decision. For critical or disputed defects, require field inspection or another independent observation according to policy.</w:t>
      </w:r>
    </w:p>
    <w:p>
      <w:pPr>
        <w:pStyle w:val="ListBullet"/>
      </w:pPr>
      <w:r>
        <w:t>If the repair fails or the defect remains, reopen the case. Link the new evidence to a new repair attempt while retaining the original ticket ID, history and warranty record.</w:t>
      </w:r>
    </w:p>
    <w:tbl>
      <w:tblPr>
        <w:tblW w:type="auto" w:w="0"/>
        <w:tblLayout w:type="fixed"/>
        <w:tblLook w:firstColumn="1" w:firstRow="1" w:lastColumn="0" w:lastRow="0" w:noHBand="0" w:noVBand="1" w:val="04A0"/>
      </w:tblPr>
      <w:tblGrid>
        <w:gridCol w:w="5112"/>
        <w:gridCol w:w="5112"/>
      </w:tblGrid>
      <w:tr>
        <w:trPr>
          <w:tblHeader/>
          <w:cantSplit/>
        </w:trPr>
        <w:tc>
          <w:tcPr>
            <w:tcW w:type="dxa" w:w="3096"/>
            <w:shd w:fill="172B42"/>
          </w:tcPr>
          <w:p>
            <w:pPr>
              <w:spacing w:after="60" w:before="60" w:line="259" w:lineRule="auto"/>
            </w:pPr>
            <w:r>
              <w:rPr>
                <w:b/>
                <w:color w:val="FFFFFF"/>
                <w:sz w:val="18"/>
              </w:rPr>
              <w:t>Observation outcome</w:t>
            </w:r>
          </w:p>
        </w:tc>
        <w:tc>
          <w:tcPr>
            <w:tcW w:type="dxa" w:w="7128"/>
            <w:shd w:fill="172B42"/>
          </w:tcPr>
          <w:p>
            <w:pPr>
              <w:spacing w:after="60" w:before="60" w:line="259" w:lineRule="auto"/>
            </w:pPr>
            <w:r>
              <w:rPr>
                <w:b/>
                <w:color w:val="FFFFFF"/>
                <w:sz w:val="18"/>
              </w:rPr>
              <w:t>System action</w:t>
            </w:r>
          </w:p>
        </w:tc>
      </w:tr>
      <w:tr>
        <w:trPr>
          <w:cantSplit/>
        </w:trPr>
        <w:tc>
          <w:tcPr>
            <w:tcW w:type="dxa" w:w="3096"/>
          </w:tcPr>
          <w:p>
            <w:pPr>
              <w:spacing w:after="60" w:before="60" w:line="259" w:lineRule="auto"/>
            </w:pPr>
            <w:r>
              <w:rPr>
                <w:b w:val="0"/>
                <w:color w:val="243247"/>
                <w:sz w:val="18"/>
              </w:rPr>
              <w:t>Clear view and acceptable repair</w:t>
            </w:r>
          </w:p>
        </w:tc>
        <w:tc>
          <w:tcPr>
            <w:tcW w:type="dxa" w:w="7128"/>
          </w:tcPr>
          <w:p>
            <w:pPr>
              <w:spacing w:after="60" w:before="60" w:line="259" w:lineRule="auto"/>
            </w:pPr>
            <w:r>
              <w:rPr>
                <w:b w:val="0"/>
                <w:color w:val="243247"/>
                <w:sz w:val="18"/>
              </w:rPr>
              <w:t>Present verification package for authorized closure</w:t>
            </w:r>
          </w:p>
        </w:tc>
      </w:tr>
      <w:tr>
        <w:trPr>
          <w:cantSplit/>
        </w:trPr>
        <w:tc>
          <w:tcPr>
            <w:tcW w:type="dxa" w:w="3096"/>
            <w:shd w:fill="F3F6FA"/>
          </w:tcPr>
          <w:p>
            <w:pPr>
              <w:spacing w:after="60" w:before="60" w:line="259" w:lineRule="auto"/>
            </w:pPr>
            <w:r>
              <w:rPr>
                <w:b w:val="0"/>
                <w:color w:val="243247"/>
                <w:sz w:val="18"/>
              </w:rPr>
              <w:t>Clear view and defect remains</w:t>
            </w:r>
          </w:p>
        </w:tc>
        <w:tc>
          <w:tcPr>
            <w:tcW w:type="dxa" w:w="7128"/>
            <w:shd w:fill="F3F6FA"/>
          </w:tcPr>
          <w:p>
            <w:pPr>
              <w:spacing w:after="60" w:before="60" w:line="259" w:lineRule="auto"/>
            </w:pPr>
            <w:r>
              <w:rPr>
                <w:b w:val="0"/>
                <w:color w:val="243247"/>
                <w:sz w:val="18"/>
              </w:rPr>
              <w:t>Reopen or retain repair state with failed-verification reason</w:t>
            </w:r>
          </w:p>
        </w:tc>
      </w:tr>
      <w:tr>
        <w:trPr>
          <w:cantSplit/>
        </w:trPr>
        <w:tc>
          <w:tcPr>
            <w:tcW w:type="dxa" w:w="3096"/>
          </w:tcPr>
          <w:p>
            <w:pPr>
              <w:spacing w:after="60" w:before="60" w:line="259" w:lineRule="auto"/>
            </w:pPr>
            <w:r>
              <w:rPr>
                <w:b w:val="0"/>
                <w:color w:val="243247"/>
                <w:sz w:val="18"/>
              </w:rPr>
              <w:t>No detection but road not visible</w:t>
            </w:r>
          </w:p>
        </w:tc>
        <w:tc>
          <w:tcPr>
            <w:tcW w:type="dxa" w:w="7128"/>
          </w:tcPr>
          <w:p>
            <w:pPr>
              <w:spacing w:after="60" w:before="60" w:line="259" w:lineRule="auto"/>
            </w:pPr>
            <w:r>
              <w:rPr>
                <w:b w:val="0"/>
                <w:color w:val="243247"/>
                <w:sz w:val="18"/>
              </w:rPr>
              <w:t>Keep awaiting verification; schedule another pass</w:t>
            </w:r>
          </w:p>
        </w:tc>
      </w:tr>
      <w:tr>
        <w:trPr>
          <w:cantSplit/>
        </w:trPr>
        <w:tc>
          <w:tcPr>
            <w:tcW w:type="dxa" w:w="3096"/>
            <w:shd w:fill="F3F6FA"/>
          </w:tcPr>
          <w:p>
            <w:pPr>
              <w:spacing w:after="60" w:before="60" w:line="259" w:lineRule="auto"/>
            </w:pPr>
            <w:r>
              <w:rPr>
                <w:b w:val="0"/>
                <w:color w:val="243247"/>
                <w:sz w:val="18"/>
              </w:rPr>
              <w:t>Route never revisits</w:t>
            </w:r>
          </w:p>
        </w:tc>
        <w:tc>
          <w:tcPr>
            <w:tcW w:type="dxa" w:w="7128"/>
            <w:shd w:fill="F3F6FA"/>
          </w:tcPr>
          <w:p>
            <w:pPr>
              <w:spacing w:after="60" w:before="60" w:line="259" w:lineRule="auto"/>
            </w:pPr>
            <w:r>
              <w:rPr>
                <w:b w:val="0"/>
                <w:color w:val="243247"/>
                <w:sz w:val="18"/>
              </w:rPr>
              <w:t>Escalate verification task to field inspector</w:t>
            </w:r>
          </w:p>
        </w:tc>
      </w:tr>
      <w:tr>
        <w:trPr>
          <w:cantSplit/>
        </w:trPr>
        <w:tc>
          <w:tcPr>
            <w:tcW w:type="dxa" w:w="3096"/>
          </w:tcPr>
          <w:p>
            <w:pPr>
              <w:spacing w:after="60" w:before="60" w:line="259" w:lineRule="auto"/>
            </w:pPr>
            <w:r>
              <w:rPr>
                <w:b w:val="0"/>
                <w:color w:val="243247"/>
                <w:sz w:val="18"/>
              </w:rPr>
              <w:t>New nearby defect</w:t>
            </w:r>
          </w:p>
        </w:tc>
        <w:tc>
          <w:tcPr>
            <w:tcW w:type="dxa" w:w="7128"/>
          </w:tcPr>
          <w:p>
            <w:pPr>
              <w:spacing w:after="60" w:before="60" w:line="259" w:lineRule="auto"/>
            </w:pPr>
            <w:r>
              <w:rPr>
                <w:b w:val="0"/>
                <w:color w:val="243247"/>
                <w:sz w:val="18"/>
              </w:rPr>
              <w:t>Create linked case after confirming it is distinct</w:t>
            </w:r>
          </w:p>
        </w:tc>
      </w:tr>
      <w:tr>
        <w:trPr>
          <w:cantSplit/>
        </w:trPr>
        <w:tc>
          <w:tcPr>
            <w:tcW w:type="dxa" w:w="3096"/>
            <w:shd w:fill="F3F6FA"/>
          </w:tcPr>
          <w:p>
            <w:pPr>
              <w:spacing w:after="60" w:before="60" w:line="259" w:lineRule="auto"/>
            </w:pPr>
            <w:r>
              <w:rPr>
                <w:b w:val="0"/>
                <w:color w:val="243247"/>
                <w:sz w:val="18"/>
              </w:rPr>
              <w:t>Contractor photo only</w:t>
            </w:r>
          </w:p>
        </w:tc>
        <w:tc>
          <w:tcPr>
            <w:tcW w:type="dxa" w:w="7128"/>
            <w:shd w:fill="F3F6FA"/>
          </w:tcPr>
          <w:p>
            <w:pPr>
              <w:spacing w:after="60" w:before="60" w:line="259" w:lineRule="auto"/>
            </w:pPr>
            <w:r>
              <w:rPr>
                <w:b w:val="0"/>
                <w:color w:val="243247"/>
                <w:sz w:val="18"/>
              </w:rPr>
              <w:t>Keep completion claimed until municipal verification rule is met</w:t>
            </w:r>
          </w:p>
        </w:tc>
      </w:tr>
    </w:tbl>
    <w:p>
      <w:pPr>
        <w:spacing w:after="20" w:line="240" w:lineRule="auto" w:before="0"/>
      </w:pPr>
      <w:r>
        <w:rPr>
          <w:sz w:val="4"/>
        </w:rPr>
      </w:r>
    </w:p>
    <w:p>
      <w:r>
        <w:t>The next bus passage is a useful verification opportunity, not an unconditional closure trigger. A low-confidence absence is not evidence of repair. Repeated AI non-detection may supplement, but must not replace, a clear view and the approved acceptance rule.</w:t>
      </w:r>
    </w:p>
    <w:p>
      <w:r>
        <w:t>Record reopen events separately from current status. Analytics should show currently reopened cases, cases ever reopened, number of repair attempts and reopened-after-closure rate using a clearly defined closure cohort. Avoid dividing lifetime reopens by this month's closures.</w:t>
      </w:r>
    </w:p>
    <w:p>
      <w:pPr>
        <w:pStyle w:val="Heading1"/>
        <w:pageBreakBefore/>
      </w:pPr>
      <w:r>
        <w:t>Role and resource authorization</w:t>
      </w:r>
    </w:p>
    <w:tbl>
      <w:tblPr>
        <w:tblW w:type="auto" w:w="0"/>
        <w:tblLayout w:type="fixed"/>
        <w:tblLook w:firstColumn="1" w:firstRow="1" w:lastColumn="0" w:lastRow="0" w:noHBand="0" w:noVBand="1" w:val="04A0"/>
      </w:tblPr>
      <w:tblGrid>
        <w:gridCol w:w="3408"/>
        <w:gridCol w:w="3408"/>
        <w:gridCol w:w="3408"/>
      </w:tblGrid>
      <w:tr>
        <w:trPr>
          <w:tblHeader/>
          <w:cantSplit/>
        </w:trPr>
        <w:tc>
          <w:tcPr>
            <w:tcW w:type="dxa" w:w="2304"/>
            <w:shd w:fill="172B42"/>
          </w:tcPr>
          <w:p>
            <w:pPr>
              <w:spacing w:after="60" w:before="60" w:line="259" w:lineRule="auto"/>
            </w:pPr>
            <w:r>
              <w:rPr>
                <w:b/>
                <w:color w:val="FFFFFF"/>
                <w:sz w:val="18"/>
              </w:rPr>
              <w:t>Role</w:t>
            </w:r>
          </w:p>
        </w:tc>
        <w:tc>
          <w:tcPr>
            <w:tcW w:type="dxa" w:w="3600"/>
            <w:shd w:fill="172B42"/>
          </w:tcPr>
          <w:p>
            <w:pPr>
              <w:spacing w:after="60" w:before="60" w:line="259" w:lineRule="auto"/>
            </w:pPr>
            <w:r>
              <w:rPr>
                <w:b/>
                <w:color w:val="FFFFFF"/>
                <w:sz w:val="18"/>
              </w:rPr>
              <w:t>Allowed scope</w:t>
            </w:r>
          </w:p>
        </w:tc>
        <w:tc>
          <w:tcPr>
            <w:tcW w:type="dxa" w:w="4320"/>
            <w:shd w:fill="172B42"/>
          </w:tcPr>
          <w:p>
            <w:pPr>
              <w:spacing w:after="60" w:before="60" w:line="259" w:lineRule="auto"/>
            </w:pPr>
            <w:r>
              <w:rPr>
                <w:b/>
                <w:color w:val="FFFFFF"/>
                <w:sz w:val="18"/>
              </w:rPr>
              <w:t>Core capabilities</w:t>
            </w:r>
          </w:p>
        </w:tc>
      </w:tr>
      <w:tr>
        <w:trPr>
          <w:cantSplit/>
        </w:trPr>
        <w:tc>
          <w:tcPr>
            <w:tcW w:type="dxa" w:w="2304"/>
          </w:tcPr>
          <w:p>
            <w:pPr>
              <w:spacing w:after="60" w:before="60" w:line="259" w:lineRule="auto"/>
            </w:pPr>
            <w:r>
              <w:rPr>
                <w:b w:val="0"/>
                <w:color w:val="243247"/>
                <w:sz w:val="18"/>
              </w:rPr>
              <w:t>Platform operator</w:t>
            </w:r>
          </w:p>
        </w:tc>
        <w:tc>
          <w:tcPr>
            <w:tcW w:type="dxa" w:w="3600"/>
          </w:tcPr>
          <w:p>
            <w:pPr>
              <w:spacing w:after="60" w:before="60" w:line="259" w:lineRule="auto"/>
            </w:pPr>
            <w:r>
              <w:rPr>
                <w:b w:val="0"/>
                <w:color w:val="243247"/>
                <w:sz w:val="18"/>
              </w:rPr>
              <w:t>Service metadata; no routine tenant evidence</w:t>
            </w:r>
          </w:p>
        </w:tc>
        <w:tc>
          <w:tcPr>
            <w:tcW w:type="dxa" w:w="4320"/>
          </w:tcPr>
          <w:p>
            <w:pPr>
              <w:spacing w:after="60" w:before="60" w:line="259" w:lineRule="auto"/>
            </w:pPr>
            <w:r>
              <w:rPr>
                <w:b w:val="0"/>
                <w:color w:val="243247"/>
                <w:sz w:val="18"/>
              </w:rPr>
              <w:t>Provision tenant; support via logged, approved temporary access</w:t>
            </w:r>
          </w:p>
        </w:tc>
      </w:tr>
      <w:tr>
        <w:trPr>
          <w:cantSplit/>
        </w:trPr>
        <w:tc>
          <w:tcPr>
            <w:tcW w:type="dxa" w:w="2304"/>
            <w:shd w:fill="F3F6FA"/>
          </w:tcPr>
          <w:p>
            <w:pPr>
              <w:spacing w:after="60" w:before="60" w:line="259" w:lineRule="auto"/>
            </w:pPr>
            <w:r>
              <w:rPr>
                <w:b w:val="0"/>
                <w:color w:val="243247"/>
                <w:sz w:val="18"/>
              </w:rPr>
              <w:t>Organization admin</w:t>
            </w:r>
          </w:p>
        </w:tc>
        <w:tc>
          <w:tcPr>
            <w:tcW w:type="dxa" w:w="3600"/>
            <w:shd w:fill="F3F6FA"/>
          </w:tcPr>
          <w:p>
            <w:pPr>
              <w:spacing w:after="60" w:before="60" w:line="259" w:lineRule="auto"/>
            </w:pPr>
            <w:r>
              <w:rPr>
                <w:b w:val="0"/>
                <w:color w:val="243247"/>
                <w:sz w:val="18"/>
              </w:rPr>
              <w:t>Own authority</w:t>
            </w:r>
          </w:p>
        </w:tc>
        <w:tc>
          <w:tcPr>
            <w:tcW w:type="dxa" w:w="4320"/>
            <w:shd w:fill="F3F6FA"/>
          </w:tcPr>
          <w:p>
            <w:pPr>
              <w:spacing w:after="60" w:before="60" w:line="259" w:lineRule="auto"/>
            </w:pPr>
            <w:r>
              <w:rPr>
                <w:b w:val="0"/>
                <w:color w:val="243247"/>
                <w:sz w:val="18"/>
              </w:rPr>
              <w:t>Manage memberships, teams, rules, integrations and all organization cases</w:t>
            </w:r>
          </w:p>
        </w:tc>
      </w:tr>
      <w:tr>
        <w:trPr>
          <w:cantSplit/>
        </w:trPr>
        <w:tc>
          <w:tcPr>
            <w:tcW w:type="dxa" w:w="2304"/>
          </w:tcPr>
          <w:p>
            <w:pPr>
              <w:spacing w:after="60" w:before="60" w:line="259" w:lineRule="auto"/>
            </w:pPr>
            <w:r>
              <w:rPr>
                <w:b w:val="0"/>
                <w:color w:val="243247"/>
                <w:sz w:val="18"/>
              </w:rPr>
              <w:t>Team lead</w:t>
            </w:r>
          </w:p>
        </w:tc>
        <w:tc>
          <w:tcPr>
            <w:tcW w:type="dxa" w:w="3600"/>
          </w:tcPr>
          <w:p>
            <w:pPr>
              <w:spacing w:after="60" w:before="60" w:line="259" w:lineRule="auto"/>
            </w:pPr>
            <w:r>
              <w:rPr>
                <w:b w:val="0"/>
                <w:color w:val="243247"/>
                <w:sz w:val="18"/>
              </w:rPr>
              <w:t>Assigned teams and geography</w:t>
            </w:r>
          </w:p>
        </w:tc>
        <w:tc>
          <w:tcPr>
            <w:tcW w:type="dxa" w:w="4320"/>
          </w:tcPr>
          <w:p>
            <w:pPr>
              <w:spacing w:after="60" w:before="60" w:line="259" w:lineRule="auto"/>
            </w:pPr>
            <w:r>
              <w:rPr>
                <w:b w:val="0"/>
                <w:color w:val="243247"/>
                <w:sz w:val="18"/>
              </w:rPr>
              <w:t>Triage, assign/reassign, supervise stages, team analytics</w:t>
            </w:r>
          </w:p>
        </w:tc>
      </w:tr>
      <w:tr>
        <w:trPr>
          <w:cantSplit/>
        </w:trPr>
        <w:tc>
          <w:tcPr>
            <w:tcW w:type="dxa" w:w="2304"/>
            <w:shd w:fill="F3F6FA"/>
          </w:tcPr>
          <w:p>
            <w:pPr>
              <w:spacing w:after="60" w:before="60" w:line="259" w:lineRule="auto"/>
            </w:pPr>
            <w:r>
              <w:rPr>
                <w:b w:val="0"/>
                <w:color w:val="243247"/>
                <w:sz w:val="18"/>
              </w:rPr>
              <w:t>Analyst</w:t>
            </w:r>
          </w:p>
        </w:tc>
        <w:tc>
          <w:tcPr>
            <w:tcW w:type="dxa" w:w="3600"/>
            <w:shd w:fill="F3F6FA"/>
          </w:tcPr>
          <w:p>
            <w:pPr>
              <w:spacing w:after="60" w:before="60" w:line="259" w:lineRule="auto"/>
            </w:pPr>
            <w:r>
              <w:rPr>
                <w:b w:val="0"/>
                <w:color w:val="243247"/>
                <w:sz w:val="18"/>
              </w:rPr>
              <w:t>Assigned cases or explicitly permitted shared queues</w:t>
            </w:r>
          </w:p>
        </w:tc>
        <w:tc>
          <w:tcPr>
            <w:tcW w:type="dxa" w:w="4320"/>
            <w:shd w:fill="F3F6FA"/>
          </w:tcPr>
          <w:p>
            <w:pPr>
              <w:spacing w:after="60" w:before="60" w:line="259" w:lineRule="auto"/>
            </w:pPr>
            <w:r>
              <w:rPr>
                <w:b w:val="0"/>
                <w:color w:val="243247"/>
                <w:sz w:val="18"/>
              </w:rPr>
              <w:t>Investigate, propose responsibility, prepare notices and review evidence</w:t>
            </w:r>
          </w:p>
        </w:tc>
      </w:tr>
      <w:tr>
        <w:trPr>
          <w:cantSplit/>
        </w:trPr>
        <w:tc>
          <w:tcPr>
            <w:tcW w:type="dxa" w:w="2304"/>
          </w:tcPr>
          <w:p>
            <w:pPr>
              <w:spacing w:after="60" w:before="60" w:line="259" w:lineRule="auto"/>
            </w:pPr>
            <w:r>
              <w:rPr>
                <w:b w:val="0"/>
                <w:color w:val="243247"/>
                <w:sz w:val="18"/>
              </w:rPr>
              <w:t>Contract manager</w:t>
            </w:r>
          </w:p>
        </w:tc>
        <w:tc>
          <w:tcPr>
            <w:tcW w:type="dxa" w:w="3600"/>
          </w:tcPr>
          <w:p>
            <w:pPr>
              <w:spacing w:after="60" w:before="60" w:line="259" w:lineRule="auto"/>
            </w:pPr>
            <w:r>
              <w:rPr>
                <w:b w:val="0"/>
                <w:color w:val="243247"/>
                <w:sz w:val="18"/>
              </w:rPr>
              <w:t>Approved contracts and related cases</w:t>
            </w:r>
          </w:p>
        </w:tc>
        <w:tc>
          <w:tcPr>
            <w:tcW w:type="dxa" w:w="4320"/>
          </w:tcPr>
          <w:p>
            <w:pPr>
              <w:spacing w:after="60" w:before="60" w:line="259" w:lineRule="auto"/>
            </w:pPr>
            <w:r>
              <w:rPr>
                <w:b w:val="0"/>
                <w:color w:val="243247"/>
                <w:sz w:val="18"/>
              </w:rPr>
              <w:t>Maintain terms, approve ambiguous coverage and contractor contacts</w:t>
            </w:r>
          </w:p>
        </w:tc>
      </w:tr>
      <w:tr>
        <w:trPr>
          <w:cantSplit/>
        </w:trPr>
        <w:tc>
          <w:tcPr>
            <w:tcW w:type="dxa" w:w="2304"/>
            <w:shd w:fill="F3F6FA"/>
          </w:tcPr>
          <w:p>
            <w:pPr>
              <w:spacing w:after="60" w:before="60" w:line="259" w:lineRule="auto"/>
            </w:pPr>
            <w:r>
              <w:rPr>
                <w:b w:val="0"/>
                <w:color w:val="243247"/>
                <w:sz w:val="18"/>
              </w:rPr>
              <w:t>Contractor POC</w:t>
            </w:r>
          </w:p>
        </w:tc>
        <w:tc>
          <w:tcPr>
            <w:tcW w:type="dxa" w:w="3600"/>
            <w:shd w:fill="F3F6FA"/>
          </w:tcPr>
          <w:p>
            <w:pPr>
              <w:spacing w:after="60" w:before="60" w:line="259" w:lineRule="auto"/>
            </w:pPr>
            <w:r>
              <w:rPr>
                <w:b w:val="0"/>
                <w:color w:val="243247"/>
                <w:sz w:val="18"/>
              </w:rPr>
              <w:t>Cases assigned to their firm</w:t>
            </w:r>
          </w:p>
        </w:tc>
        <w:tc>
          <w:tcPr>
            <w:tcW w:type="dxa" w:w="4320"/>
            <w:shd w:fill="F3F6FA"/>
          </w:tcPr>
          <w:p>
            <w:pPr>
              <w:spacing w:after="60" w:before="60" w:line="259" w:lineRule="auto"/>
            </w:pPr>
            <w:r>
              <w:rPr>
                <w:b w:val="0"/>
                <w:color w:val="243247"/>
                <w:sz w:val="18"/>
              </w:rPr>
              <w:t>Acknowledge, comment, provide repair updates and completion evidence</w:t>
            </w:r>
          </w:p>
        </w:tc>
      </w:tr>
      <w:tr>
        <w:trPr>
          <w:cantSplit/>
        </w:trPr>
        <w:tc>
          <w:tcPr>
            <w:tcW w:type="dxa" w:w="2304"/>
          </w:tcPr>
          <w:p>
            <w:pPr>
              <w:spacing w:after="60" w:before="60" w:line="259" w:lineRule="auto"/>
            </w:pPr>
            <w:r>
              <w:rPr>
                <w:b w:val="0"/>
                <w:color w:val="243247"/>
                <w:sz w:val="18"/>
              </w:rPr>
              <w:t>Auditor or executive</w:t>
            </w:r>
          </w:p>
        </w:tc>
        <w:tc>
          <w:tcPr>
            <w:tcW w:type="dxa" w:w="3600"/>
          </w:tcPr>
          <w:p>
            <w:pPr>
              <w:spacing w:after="60" w:before="60" w:line="259" w:lineRule="auto"/>
            </w:pPr>
            <w:r>
              <w:rPr>
                <w:b w:val="0"/>
                <w:color w:val="243247"/>
                <w:sz w:val="18"/>
              </w:rPr>
              <w:t>Approved organization scope</w:t>
            </w:r>
          </w:p>
        </w:tc>
        <w:tc>
          <w:tcPr>
            <w:tcW w:type="dxa" w:w="4320"/>
          </w:tcPr>
          <w:p>
            <w:pPr>
              <w:spacing w:after="60" w:before="60" w:line="259" w:lineRule="auto"/>
            </w:pPr>
            <w:r>
              <w:rPr>
                <w:b w:val="0"/>
                <w:color w:val="243247"/>
                <w:sz w:val="18"/>
              </w:rPr>
              <w:t>Read approved reports; export when authorized; no workflow mutation</w:t>
            </w:r>
          </w:p>
        </w:tc>
      </w:tr>
      <w:tr>
        <w:trPr>
          <w:cantSplit/>
        </w:trPr>
        <w:tc>
          <w:tcPr>
            <w:tcW w:type="dxa" w:w="2304"/>
            <w:shd w:fill="F3F6FA"/>
          </w:tcPr>
          <w:p>
            <w:pPr>
              <w:spacing w:after="60" w:before="60" w:line="259" w:lineRule="auto"/>
            </w:pPr>
            <w:r>
              <w:rPr>
                <w:b w:val="0"/>
                <w:color w:val="243247"/>
                <w:sz w:val="18"/>
              </w:rPr>
              <w:t>Fleet or volunteer</w:t>
            </w:r>
          </w:p>
        </w:tc>
        <w:tc>
          <w:tcPr>
            <w:tcW w:type="dxa" w:w="3600"/>
            <w:shd w:fill="F3F6FA"/>
          </w:tcPr>
          <w:p>
            <w:pPr>
              <w:spacing w:after="60" w:before="60" w:line="259" w:lineRule="auto"/>
            </w:pPr>
            <w:r>
              <w:rPr>
                <w:b w:val="0"/>
                <w:color w:val="243247"/>
                <w:sz w:val="18"/>
              </w:rPr>
              <w:t>Own device and approved capture context</w:t>
            </w:r>
          </w:p>
        </w:tc>
        <w:tc>
          <w:tcPr>
            <w:tcW w:type="dxa" w:w="4320"/>
            <w:shd w:fill="F3F6FA"/>
          </w:tcPr>
          <w:p>
            <w:pPr>
              <w:spacing w:after="60" w:before="60" w:line="259" w:lineRule="auto"/>
            </w:pPr>
            <w:r>
              <w:rPr>
                <w:b w:val="0"/>
                <w:color w:val="243247"/>
                <w:sz w:val="18"/>
              </w:rPr>
              <w:t>Operate capture, inspect health, pause participation; no case browsing</w:t>
            </w:r>
          </w:p>
        </w:tc>
      </w:tr>
    </w:tbl>
    <w:p>
      <w:pPr>
        <w:spacing w:after="20" w:line="240" w:lineRule="auto" w:before="0"/>
      </w:pPr>
      <w:r>
        <w:rPr>
          <w:sz w:val="4"/>
        </w:rPr>
      </w:r>
    </w:p>
    <w:p>
      <w:pPr>
        <w:pStyle w:val="Heading2"/>
      </w:pPr>
      <w:r>
        <w:t>Enforcement</w:t>
      </w:r>
    </w:p>
    <w:p>
      <w:r>
        <w:t>Authorize the action against tenant, membership, role, team, geographic scope, assignment, contractor organization and sensitivity. Deny by default. Apply the same predicate to list endpoints, item endpoints, analytics, searches, exports, evidence downloads and background notifications. A hidden button is not an access control.</w:t>
      </w:r>
    </w:p>
    <w:p>
      <w:r>
        <w:t>Production uses SSO identities and server-bound memberships, not a role supplied by the browser. Require MFA for privileged accounts, prompt offboarding and periodic access review. Analysts cannot grant themselves wider access. Contractors cannot close municipal cases, accept liability for another firm or browse unrelated contracts.</w:t>
      </w:r>
    </w:p>
    <w:p>
      <w:r>
        <w:t>Support access is time-limited and approved. Administrative actions and impersonation, if offered at all, must be separately logged with the real and effective actor. The delivered owner-only role preview is a demonstration convenience and should be removed from a production municipal tenant.</w:t>
      </w:r>
    </w:p>
    <w:p>
      <w:pPr>
        <w:pStyle w:val="Heading2"/>
      </w:pPr>
      <w:r>
        <w:t>Separation of duties</w:t>
      </w:r>
    </w:p>
    <w:p>
      <w:r>
        <w:t>The contractor claims completion; an authorized municipal reviewer verifies it. High-risk warranty decisions may require a second approver. A platform operator should not be able to delete evidence and its audit history through ordinary support tools. Emergency access is exceptional, logged and reviewed.</w:t>
      </w:r>
    </w:p>
    <w:p>
      <w:pPr>
        <w:pStyle w:val="Heading1"/>
        <w:pageBreakBefore/>
      </w:pPr>
      <w:r>
        <w:t>Production data model</w:t>
      </w:r>
    </w:p>
    <w:tbl>
      <w:tblPr>
        <w:tblW w:type="auto" w:w="0"/>
        <w:tblLayout w:type="fixed"/>
        <w:tblLook w:firstColumn="1" w:firstRow="1" w:lastColumn="0" w:lastRow="0" w:noHBand="0" w:noVBand="1" w:val="04A0"/>
      </w:tblPr>
      <w:tblGrid>
        <w:gridCol w:w="5112"/>
        <w:gridCol w:w="5112"/>
      </w:tblGrid>
      <w:tr>
        <w:trPr>
          <w:tblHeader/>
          <w:cantSplit/>
        </w:trPr>
        <w:tc>
          <w:tcPr>
            <w:tcW w:type="dxa" w:w="3096"/>
            <w:shd w:fill="172B42"/>
          </w:tcPr>
          <w:p>
            <w:pPr>
              <w:spacing w:after="60" w:before="60" w:line="259" w:lineRule="auto"/>
            </w:pPr>
            <w:r>
              <w:rPr>
                <w:b/>
                <w:color w:val="FFFFFF"/>
                <w:sz w:val="18"/>
              </w:rPr>
              <w:t>Entity</w:t>
            </w:r>
          </w:p>
        </w:tc>
        <w:tc>
          <w:tcPr>
            <w:tcW w:type="dxa" w:w="7128"/>
            <w:shd w:fill="172B42"/>
          </w:tcPr>
          <w:p>
            <w:pPr>
              <w:spacing w:after="60" w:before="60" w:line="259" w:lineRule="auto"/>
            </w:pPr>
            <w:r>
              <w:rPr>
                <w:b/>
                <w:color w:val="FFFFFF"/>
                <w:sz w:val="18"/>
              </w:rPr>
              <w:t>Important relationships and fields</w:t>
            </w:r>
          </w:p>
        </w:tc>
      </w:tr>
      <w:tr>
        <w:trPr>
          <w:cantSplit/>
        </w:trPr>
        <w:tc>
          <w:tcPr>
            <w:tcW w:type="dxa" w:w="3096"/>
          </w:tcPr>
          <w:p>
            <w:pPr>
              <w:spacing w:after="60" w:before="60" w:line="259" w:lineRule="auto"/>
            </w:pPr>
            <w:r>
              <w:rPr>
                <w:b w:val="0"/>
                <w:color w:val="243247"/>
                <w:sz w:val="18"/>
              </w:rPr>
              <w:t>Tenant</w:t>
            </w:r>
          </w:p>
        </w:tc>
        <w:tc>
          <w:tcPr>
            <w:tcW w:type="dxa" w:w="7128"/>
          </w:tcPr>
          <w:p>
            <w:pPr>
              <w:spacing w:after="60" w:before="60" w:line="259" w:lineRule="auto"/>
            </w:pPr>
            <w:r>
              <w:rPr>
                <w:b w:val="0"/>
                <w:color w:val="243247"/>
                <w:sz w:val="18"/>
              </w:rPr>
              <w:t>Authority, jurisdiction, region policy, retention profile</w:t>
            </w:r>
          </w:p>
        </w:tc>
      </w:tr>
      <w:tr>
        <w:trPr>
          <w:cantSplit/>
        </w:trPr>
        <w:tc>
          <w:tcPr>
            <w:tcW w:type="dxa" w:w="3096"/>
            <w:shd w:fill="F3F6FA"/>
          </w:tcPr>
          <w:p>
            <w:pPr>
              <w:spacing w:after="60" w:before="60" w:line="259" w:lineRule="auto"/>
            </w:pPr>
            <w:r>
              <w:rPr>
                <w:b w:val="0"/>
                <w:color w:val="243247"/>
                <w:sz w:val="18"/>
              </w:rPr>
              <w:t>Identity and membership</w:t>
            </w:r>
          </w:p>
        </w:tc>
        <w:tc>
          <w:tcPr>
            <w:tcW w:type="dxa" w:w="7128"/>
            <w:shd w:fill="F3F6FA"/>
          </w:tcPr>
          <w:p>
            <w:pPr>
              <w:spacing w:after="60" w:before="60" w:line="259" w:lineRule="auto"/>
            </w:pPr>
            <w:r>
              <w:rPr>
                <w:b w:val="0"/>
                <w:color w:val="243247"/>
                <w:sz w:val="18"/>
              </w:rPr>
              <w:t>SSO subject, tenant, role, effective dates, active flag</w:t>
            </w:r>
          </w:p>
        </w:tc>
      </w:tr>
      <w:tr>
        <w:trPr>
          <w:cantSplit/>
        </w:trPr>
        <w:tc>
          <w:tcPr>
            <w:tcW w:type="dxa" w:w="3096"/>
          </w:tcPr>
          <w:p>
            <w:pPr>
              <w:spacing w:after="60" w:before="60" w:line="259" w:lineRule="auto"/>
            </w:pPr>
            <w:r>
              <w:rPr>
                <w:b w:val="0"/>
                <w:color w:val="243247"/>
                <w:sz w:val="18"/>
              </w:rPr>
              <w:t>Team and team membership</w:t>
            </w:r>
          </w:p>
        </w:tc>
        <w:tc>
          <w:tcPr>
            <w:tcW w:type="dxa" w:w="7128"/>
          </w:tcPr>
          <w:p>
            <w:pPr>
              <w:spacing w:after="60" w:before="60" w:line="259" w:lineRule="auto"/>
            </w:pPr>
            <w:r>
              <w:rPr>
                <w:b w:val="0"/>
                <w:color w:val="243247"/>
                <w:sz w:val="18"/>
              </w:rPr>
              <w:t>Geography, lead, membership validity</w:t>
            </w:r>
          </w:p>
        </w:tc>
      </w:tr>
      <w:tr>
        <w:trPr>
          <w:cantSplit/>
        </w:trPr>
        <w:tc>
          <w:tcPr>
            <w:tcW w:type="dxa" w:w="3096"/>
            <w:shd w:fill="F3F6FA"/>
          </w:tcPr>
          <w:p>
            <w:pPr>
              <w:spacing w:after="60" w:before="60" w:line="259" w:lineRule="auto"/>
            </w:pPr>
            <w:r>
              <w:rPr>
                <w:b w:val="0"/>
                <w:color w:val="243247"/>
                <w:sz w:val="18"/>
              </w:rPr>
              <w:t>Vehicle and device</w:t>
            </w:r>
          </w:p>
        </w:tc>
        <w:tc>
          <w:tcPr>
            <w:tcW w:type="dxa" w:w="7128"/>
            <w:shd w:fill="F3F6FA"/>
          </w:tcPr>
          <w:p>
            <w:pPr>
              <w:spacing w:after="60" w:before="60" w:line="259" w:lineRule="auto"/>
            </w:pPr>
            <w:r>
              <w:rPr>
                <w:b w:val="0"/>
                <w:color w:val="243247"/>
                <w:sz w:val="18"/>
              </w:rPr>
              <w:t>Fleet owner, device key, calibration, firmware, health</w:t>
            </w:r>
          </w:p>
        </w:tc>
      </w:tr>
      <w:tr>
        <w:trPr>
          <w:cantSplit/>
        </w:trPr>
        <w:tc>
          <w:tcPr>
            <w:tcW w:type="dxa" w:w="3096"/>
          </w:tcPr>
          <w:p>
            <w:pPr>
              <w:spacing w:after="60" w:before="60" w:line="259" w:lineRule="auto"/>
            </w:pPr>
            <w:r>
              <w:rPr>
                <w:b w:val="0"/>
                <w:color w:val="243247"/>
                <w:sz w:val="18"/>
              </w:rPr>
              <w:t>Road network and segment</w:t>
            </w:r>
          </w:p>
        </w:tc>
        <w:tc>
          <w:tcPr>
            <w:tcW w:type="dxa" w:w="7128"/>
          </w:tcPr>
          <w:p>
            <w:pPr>
              <w:spacing w:after="60" w:before="60" w:line="259" w:lineRule="auto"/>
            </w:pPr>
            <w:r>
              <w:rPr>
                <w:b w:val="0"/>
                <w:color w:val="243247"/>
                <w:sz w:val="18"/>
              </w:rPr>
              <w:t>Versioned geometry, jurisdiction, road class, lane/direction</w:t>
            </w:r>
          </w:p>
        </w:tc>
      </w:tr>
      <w:tr>
        <w:trPr>
          <w:cantSplit/>
        </w:trPr>
        <w:tc>
          <w:tcPr>
            <w:tcW w:type="dxa" w:w="3096"/>
            <w:shd w:fill="F3F6FA"/>
          </w:tcPr>
          <w:p>
            <w:pPr>
              <w:spacing w:after="60" w:before="60" w:line="259" w:lineRule="auto"/>
            </w:pPr>
            <w:r>
              <w:rPr>
                <w:b w:val="0"/>
                <w:color w:val="243247"/>
                <w:sz w:val="18"/>
              </w:rPr>
              <w:t>Observation</w:t>
            </w:r>
          </w:p>
        </w:tc>
        <w:tc>
          <w:tcPr>
            <w:tcW w:type="dxa" w:w="7128"/>
            <w:shd w:fill="F3F6FA"/>
          </w:tcPr>
          <w:p>
            <w:pPr>
              <w:spacing w:after="60" w:before="60" w:line="259" w:lineRule="auto"/>
            </w:pPr>
            <w:r>
              <w:rPr>
                <w:b w:val="0"/>
                <w:color w:val="243247"/>
                <w:sz w:val="18"/>
              </w:rPr>
              <w:t>Device ID, event ID, capture/receive time, GPS, uncertainty, model version</w:t>
            </w:r>
          </w:p>
        </w:tc>
      </w:tr>
      <w:tr>
        <w:trPr>
          <w:cantSplit/>
        </w:trPr>
        <w:tc>
          <w:tcPr>
            <w:tcW w:type="dxa" w:w="3096"/>
          </w:tcPr>
          <w:p>
            <w:pPr>
              <w:spacing w:after="60" w:before="60" w:line="259" w:lineRule="auto"/>
            </w:pPr>
            <w:r>
              <w:rPr>
                <w:b w:val="0"/>
                <w:color w:val="243247"/>
                <w:sz w:val="18"/>
              </w:rPr>
              <w:t>Evidence object</w:t>
            </w:r>
          </w:p>
        </w:tc>
        <w:tc>
          <w:tcPr>
            <w:tcW w:type="dxa" w:w="7128"/>
          </w:tcPr>
          <w:p>
            <w:pPr>
              <w:spacing w:after="60" w:before="60" w:line="259" w:lineRule="auto"/>
            </w:pPr>
            <w:r>
              <w:rPr>
                <w:b w:val="0"/>
                <w:color w:val="243247"/>
                <w:sz w:val="18"/>
              </w:rPr>
              <w:t>Observation/ticket ID, hash, redaction version, storage key, legal hold</w:t>
            </w:r>
          </w:p>
        </w:tc>
      </w:tr>
      <w:tr>
        <w:trPr>
          <w:cantSplit/>
        </w:trPr>
        <w:tc>
          <w:tcPr>
            <w:tcW w:type="dxa" w:w="3096"/>
            <w:shd w:fill="F3F6FA"/>
          </w:tcPr>
          <w:p>
            <w:pPr>
              <w:spacing w:after="60" w:before="60" w:line="259" w:lineRule="auto"/>
            </w:pPr>
            <w:r>
              <w:rPr>
                <w:b w:val="0"/>
                <w:color w:val="243247"/>
                <w:sz w:val="18"/>
              </w:rPr>
              <w:t>Defect cluster</w:t>
            </w:r>
          </w:p>
        </w:tc>
        <w:tc>
          <w:tcPr>
            <w:tcW w:type="dxa" w:w="7128"/>
            <w:shd w:fill="F3F6FA"/>
          </w:tcPr>
          <w:p>
            <w:pPr>
              <w:spacing w:after="60" w:before="60" w:line="259" w:lineRule="auto"/>
            </w:pPr>
            <w:r>
              <w:rPr>
                <w:b w:val="0"/>
                <w:color w:val="243247"/>
                <w:sz w:val="18"/>
              </w:rPr>
              <w:t>Canonical point or geometry, class, uncertainty, related observations</w:t>
            </w:r>
          </w:p>
        </w:tc>
      </w:tr>
      <w:tr>
        <w:trPr>
          <w:cantSplit/>
        </w:trPr>
        <w:tc>
          <w:tcPr>
            <w:tcW w:type="dxa" w:w="3096"/>
          </w:tcPr>
          <w:p>
            <w:pPr>
              <w:spacing w:after="60" w:before="60" w:line="259" w:lineRule="auto"/>
            </w:pPr>
            <w:r>
              <w:rPr>
                <w:b w:val="0"/>
                <w:color w:val="243247"/>
                <w:sz w:val="18"/>
              </w:rPr>
              <w:t>Ticket</w:t>
            </w:r>
          </w:p>
        </w:tc>
        <w:tc>
          <w:tcPr>
            <w:tcW w:type="dxa" w:w="7128"/>
          </w:tcPr>
          <w:p>
            <w:pPr>
              <w:spacing w:after="60" w:before="60" w:line="259" w:lineRule="auto"/>
            </w:pPr>
            <w:r>
              <w:rPr>
                <w:b w:val="0"/>
                <w:color w:val="243247"/>
                <w:sz w:val="18"/>
              </w:rPr>
              <w:t>UUID, human-readable ID, cluster, state, severity, team, analyst, version</w:t>
            </w:r>
          </w:p>
        </w:tc>
      </w:tr>
      <w:tr>
        <w:trPr>
          <w:cantSplit/>
        </w:trPr>
        <w:tc>
          <w:tcPr>
            <w:tcW w:type="dxa" w:w="3096"/>
            <w:shd w:fill="F3F6FA"/>
          </w:tcPr>
          <w:p>
            <w:pPr>
              <w:spacing w:after="60" w:before="60" w:line="259" w:lineRule="auto"/>
            </w:pPr>
            <w:r>
              <w:rPr>
                <w:b w:val="0"/>
                <w:color w:val="243247"/>
                <w:sz w:val="18"/>
              </w:rPr>
              <w:t>Assignment and status event</w:t>
            </w:r>
          </w:p>
        </w:tc>
        <w:tc>
          <w:tcPr>
            <w:tcW w:type="dxa" w:w="7128"/>
            <w:shd w:fill="F3F6FA"/>
          </w:tcPr>
          <w:p>
            <w:pPr>
              <w:spacing w:after="60" w:before="60" w:line="259" w:lineRule="auto"/>
            </w:pPr>
            <w:r>
              <w:rPr>
                <w:b w:val="0"/>
                <w:color w:val="243247"/>
                <w:sz w:val="18"/>
              </w:rPr>
              <w:t>Append-only actor, timestamp, from/to, reason, correlation ID</w:t>
            </w:r>
          </w:p>
        </w:tc>
      </w:tr>
      <w:tr>
        <w:trPr>
          <w:cantSplit/>
        </w:trPr>
        <w:tc>
          <w:tcPr>
            <w:tcW w:type="dxa" w:w="3096"/>
          </w:tcPr>
          <w:p>
            <w:pPr>
              <w:spacing w:after="60" w:before="60" w:line="259" w:lineRule="auto"/>
            </w:pPr>
            <w:r>
              <w:rPr>
                <w:b w:val="0"/>
                <w:color w:val="243247"/>
                <w:sz w:val="18"/>
              </w:rPr>
              <w:t>Contract and scope</w:t>
            </w:r>
          </w:p>
        </w:tc>
        <w:tc>
          <w:tcPr>
            <w:tcW w:type="dxa" w:w="7128"/>
          </w:tcPr>
          <w:p>
            <w:pPr>
              <w:spacing w:after="60" w:before="60" w:line="259" w:lineRule="auto"/>
            </w:pPr>
            <w:r>
              <w:rPr>
                <w:b w:val="0"/>
                <w:color w:val="243247"/>
                <w:sz w:val="18"/>
              </w:rPr>
              <w:t>Version, contractor, covered geometry, work type, source document</w:t>
            </w:r>
          </w:p>
        </w:tc>
      </w:tr>
      <w:tr>
        <w:trPr>
          <w:cantSplit/>
        </w:trPr>
        <w:tc>
          <w:tcPr>
            <w:tcW w:type="dxa" w:w="3096"/>
            <w:shd w:fill="F3F6FA"/>
          </w:tcPr>
          <w:p>
            <w:pPr>
              <w:spacing w:after="60" w:before="60" w:line="259" w:lineRule="auto"/>
            </w:pPr>
            <w:r>
              <w:rPr>
                <w:b w:val="0"/>
                <w:color w:val="243247"/>
                <w:sz w:val="18"/>
              </w:rPr>
              <w:t>Warranty rule and evaluation</w:t>
            </w:r>
          </w:p>
        </w:tc>
        <w:tc>
          <w:tcPr>
            <w:tcW w:type="dxa" w:w="7128"/>
            <w:shd w:fill="F3F6FA"/>
          </w:tcPr>
          <w:p>
            <w:pPr>
              <w:spacing w:after="60" w:before="60" w:line="259" w:lineRule="auto"/>
            </w:pPr>
            <w:r>
              <w:rPr>
                <w:b w:val="0"/>
                <w:color w:val="243247"/>
                <w:sz w:val="18"/>
              </w:rPr>
              <w:t>Clause version, start/expiry/notice logic, candidate result and explanation</w:t>
            </w:r>
          </w:p>
        </w:tc>
      </w:tr>
      <w:tr>
        <w:trPr>
          <w:cantSplit/>
        </w:trPr>
        <w:tc>
          <w:tcPr>
            <w:tcW w:type="dxa" w:w="3096"/>
          </w:tcPr>
          <w:p>
            <w:pPr>
              <w:spacing w:after="60" w:before="60" w:line="259" w:lineRule="auto"/>
            </w:pPr>
            <w:r>
              <w:rPr>
                <w:b w:val="0"/>
                <w:color w:val="243247"/>
                <w:sz w:val="18"/>
              </w:rPr>
              <w:t>Contractor and contact</w:t>
            </w:r>
          </w:p>
        </w:tc>
        <w:tc>
          <w:tcPr>
            <w:tcW w:type="dxa" w:w="7128"/>
          </w:tcPr>
          <w:p>
            <w:pPr>
              <w:spacing w:after="60" w:before="60" w:line="259" w:lineRule="auto"/>
            </w:pPr>
            <w:r>
              <w:rPr>
                <w:b w:val="0"/>
                <w:color w:val="243247"/>
                <w:sz w:val="18"/>
              </w:rPr>
              <w:t>Legal entity, authorized POC, verified channel, effective dates</w:t>
            </w:r>
          </w:p>
        </w:tc>
      </w:tr>
      <w:tr>
        <w:trPr>
          <w:cantSplit/>
        </w:trPr>
        <w:tc>
          <w:tcPr>
            <w:tcW w:type="dxa" w:w="3096"/>
            <w:shd w:fill="F3F6FA"/>
          </w:tcPr>
          <w:p>
            <w:pPr>
              <w:spacing w:after="60" w:before="60" w:line="259" w:lineRule="auto"/>
            </w:pPr>
            <w:r>
              <w:rPr>
                <w:b w:val="0"/>
                <w:color w:val="243247"/>
                <w:sz w:val="18"/>
              </w:rPr>
              <w:t>Repair attempt</w:t>
            </w:r>
          </w:p>
        </w:tc>
        <w:tc>
          <w:tcPr>
            <w:tcW w:type="dxa" w:w="7128"/>
            <w:shd w:fill="F3F6FA"/>
          </w:tcPr>
          <w:p>
            <w:pPr>
              <w:spacing w:after="60" w:before="60" w:line="259" w:lineRule="auto"/>
            </w:pPr>
            <w:r>
              <w:rPr>
                <w:b w:val="0"/>
                <w:color w:val="243247"/>
                <w:sz w:val="18"/>
              </w:rPr>
              <w:t>Ticket, contractor, work start, completion claim and evidence</w:t>
            </w:r>
          </w:p>
        </w:tc>
      </w:tr>
      <w:tr>
        <w:trPr>
          <w:cantSplit/>
        </w:trPr>
        <w:tc>
          <w:tcPr>
            <w:tcW w:type="dxa" w:w="3096"/>
          </w:tcPr>
          <w:p>
            <w:pPr>
              <w:spacing w:after="60" w:before="60" w:line="259" w:lineRule="auto"/>
            </w:pPr>
            <w:r>
              <w:rPr>
                <w:b w:val="0"/>
                <w:color w:val="243247"/>
                <w:sz w:val="18"/>
              </w:rPr>
              <w:t>Verification</w:t>
            </w:r>
          </w:p>
        </w:tc>
        <w:tc>
          <w:tcPr>
            <w:tcW w:type="dxa" w:w="7128"/>
          </w:tcPr>
          <w:p>
            <w:pPr>
              <w:spacing w:after="60" w:before="60" w:line="259" w:lineRule="auto"/>
            </w:pPr>
            <w:r>
              <w:rPr>
                <w:b w:val="0"/>
                <w:color w:val="243247"/>
                <w:sz w:val="18"/>
              </w:rPr>
              <w:t>Matched observation, quality result, reviewer and decision</w:t>
            </w:r>
          </w:p>
        </w:tc>
      </w:tr>
      <w:tr>
        <w:trPr>
          <w:cantSplit/>
        </w:trPr>
        <w:tc>
          <w:tcPr>
            <w:tcW w:type="dxa" w:w="3096"/>
            <w:shd w:fill="F3F6FA"/>
          </w:tcPr>
          <w:p>
            <w:pPr>
              <w:spacing w:after="60" w:before="60" w:line="259" w:lineRule="auto"/>
            </w:pPr>
            <w:r>
              <w:rPr>
                <w:b w:val="0"/>
                <w:color w:val="243247"/>
                <w:sz w:val="18"/>
              </w:rPr>
              <w:t>Notification and outbox</w:t>
            </w:r>
          </w:p>
        </w:tc>
        <w:tc>
          <w:tcPr>
            <w:tcW w:type="dxa" w:w="7128"/>
            <w:shd w:fill="F3F6FA"/>
          </w:tcPr>
          <w:p>
            <w:pPr>
              <w:spacing w:after="60" w:before="60" w:line="259" w:lineRule="auto"/>
            </w:pPr>
            <w:r>
              <w:rPr>
                <w:b w:val="0"/>
                <w:color w:val="243247"/>
                <w:sz w:val="18"/>
              </w:rPr>
              <w:t>Recipient scope, idempotency key, retries, delivery and acknowledgement</w:t>
            </w:r>
          </w:p>
        </w:tc>
      </w:tr>
      <w:tr>
        <w:trPr>
          <w:cantSplit/>
        </w:trPr>
        <w:tc>
          <w:tcPr>
            <w:tcW w:type="dxa" w:w="3096"/>
          </w:tcPr>
          <w:p>
            <w:pPr>
              <w:spacing w:after="60" w:before="60" w:line="259" w:lineRule="auto"/>
            </w:pPr>
            <w:r>
              <w:rPr>
                <w:b w:val="0"/>
                <w:color w:val="243247"/>
                <w:sz w:val="18"/>
              </w:rPr>
              <w:t>SLA clock</w:t>
            </w:r>
          </w:p>
        </w:tc>
        <w:tc>
          <w:tcPr>
            <w:tcW w:type="dxa" w:w="7128"/>
          </w:tcPr>
          <w:p>
            <w:pPr>
              <w:spacing w:after="60" w:before="60" w:line="259" w:lineRule="auto"/>
            </w:pPr>
            <w:r>
              <w:rPr>
                <w:b w:val="0"/>
                <w:color w:val="243247"/>
                <w:sz w:val="18"/>
              </w:rPr>
              <w:t>Policy version, start event, due time, holds, escalation history</w:t>
            </w:r>
          </w:p>
        </w:tc>
      </w:tr>
      <w:tr>
        <w:trPr>
          <w:cantSplit/>
        </w:trPr>
        <w:tc>
          <w:tcPr>
            <w:tcW w:type="dxa" w:w="3096"/>
            <w:shd w:fill="F3F6FA"/>
          </w:tcPr>
          <w:p>
            <w:pPr>
              <w:spacing w:after="60" w:before="60" w:line="259" w:lineRule="auto"/>
            </w:pPr>
            <w:r>
              <w:rPr>
                <w:b w:val="0"/>
                <w:color w:val="243247"/>
                <w:sz w:val="18"/>
              </w:rPr>
              <w:t>Audit event</w:t>
            </w:r>
          </w:p>
        </w:tc>
        <w:tc>
          <w:tcPr>
            <w:tcW w:type="dxa" w:w="7128"/>
            <w:shd w:fill="F3F6FA"/>
          </w:tcPr>
          <w:p>
            <w:pPr>
              <w:spacing w:after="60" w:before="60" w:line="259" w:lineRule="auto"/>
            </w:pPr>
            <w:r>
              <w:rPr>
                <w:b w:val="0"/>
                <w:color w:val="243247"/>
                <w:sz w:val="18"/>
              </w:rPr>
              <w:t>Immutable event ID, real actor, action, resource, timestamp, request ID</w:t>
            </w:r>
          </w:p>
        </w:tc>
      </w:tr>
    </w:tbl>
    <w:p>
      <w:pPr>
        <w:spacing w:after="20" w:line="240" w:lineRule="auto" w:before="0"/>
      </w:pPr>
      <w:r>
        <w:rPr>
          <w:sz w:val="4"/>
        </w:rPr>
      </w:r>
    </w:p>
    <w:p>
      <w:r>
        <w:t>Every tenant-owned key and index includes tenant_id where needed. Cross-tenant foreign keys must be impossible by schema design or verified server constraints. Prefer database row-level policies in addition to application authorization. Use UUIDs internally and an immutable human-readable ticket reference such as PL-CAM-2027-000123.</w:t>
      </w:r>
    </w:p>
    <w:p>
      <w:r>
        <w:t>Store capture time and receive time separately, and retain original media metadata. Keep money in integer minor units with a currency code; location precision and severity confidence are different values. Index active team queues, assigned analyst queues, tenant/status/time, contract scope geometry and observation spatial/time searches.</w:t>
      </w:r>
    </w:p>
    <w:p>
      <w:r>
        <w:t>The compact prototype state document is suitable for a bounded demonstration. Production must migrate to normalized entities, granular transactions, retention enforcement and a separately protected audit store before substantial field volume.</w:t>
      </w:r>
    </w:p>
    <w:p>
      <w:pPr>
        <w:pStyle w:val="Heading1"/>
        <w:pageBreakBefore/>
      </w:pPr>
      <w:r>
        <w:t>API design and event processing</w:t>
      </w:r>
    </w:p>
    <w:tbl>
      <w:tblPr>
        <w:tblW w:type="auto" w:w="0"/>
        <w:tblLayout w:type="fixed"/>
        <w:tblLook w:firstColumn="1" w:firstRow="1" w:lastColumn="0" w:lastRow="0" w:noHBand="0" w:noVBand="1" w:val="04A0"/>
      </w:tblPr>
      <w:tblGrid>
        <w:gridCol w:w="5112"/>
        <w:gridCol w:w="5112"/>
      </w:tblGrid>
      <w:tr>
        <w:trPr>
          <w:tblHeader/>
          <w:cantSplit/>
        </w:trPr>
        <w:tc>
          <w:tcPr>
            <w:tcW w:type="dxa" w:w="3096"/>
            <w:shd w:fill="172B42"/>
          </w:tcPr>
          <w:p>
            <w:pPr>
              <w:spacing w:after="60" w:before="60" w:line="259" w:lineRule="auto"/>
            </w:pPr>
            <w:r>
              <w:rPr>
                <w:b/>
                <w:color w:val="FFFFFF"/>
                <w:sz w:val="18"/>
              </w:rPr>
              <w:t>Endpoint or event</w:t>
            </w:r>
          </w:p>
        </w:tc>
        <w:tc>
          <w:tcPr>
            <w:tcW w:type="dxa" w:w="7128"/>
            <w:shd w:fill="172B42"/>
          </w:tcPr>
          <w:p>
            <w:pPr>
              <w:spacing w:after="60" w:before="60" w:line="259" w:lineRule="auto"/>
            </w:pPr>
            <w:r>
              <w:rPr>
                <w:b/>
                <w:color w:val="FFFFFF"/>
                <w:sz w:val="18"/>
              </w:rPr>
              <w:t>Contract</w:t>
            </w:r>
          </w:p>
        </w:tc>
      </w:tr>
      <w:tr>
        <w:trPr>
          <w:cantSplit/>
        </w:trPr>
        <w:tc>
          <w:tcPr>
            <w:tcW w:type="dxa" w:w="3096"/>
          </w:tcPr>
          <w:p>
            <w:pPr>
              <w:spacing w:after="60" w:before="60" w:line="259" w:lineRule="auto"/>
            </w:pPr>
            <w:r>
              <w:rPr>
                <w:b w:val="0"/>
                <w:color w:val="243247"/>
                <w:sz w:val="18"/>
              </w:rPr>
              <w:t>POST /v1/observations</w:t>
            </w:r>
          </w:p>
        </w:tc>
        <w:tc>
          <w:tcPr>
            <w:tcW w:type="dxa" w:w="7128"/>
          </w:tcPr>
          <w:p>
            <w:pPr>
              <w:spacing w:after="60" w:before="60" w:line="259" w:lineRule="auto"/>
            </w:pPr>
            <w:r>
              <w:rPr>
                <w:b w:val="0"/>
                <w:color w:val="243247"/>
                <w:sz w:val="18"/>
              </w:rPr>
              <w:t>Device authentication; event UUID; metadata and object references; return durable receipt</w:t>
            </w:r>
          </w:p>
        </w:tc>
      </w:tr>
      <w:tr>
        <w:trPr>
          <w:cantSplit/>
        </w:trPr>
        <w:tc>
          <w:tcPr>
            <w:tcW w:type="dxa" w:w="3096"/>
            <w:shd w:fill="F3F6FA"/>
          </w:tcPr>
          <w:p>
            <w:pPr>
              <w:spacing w:after="60" w:before="60" w:line="259" w:lineRule="auto"/>
            </w:pPr>
            <w:r>
              <w:rPr>
                <w:b w:val="0"/>
                <w:color w:val="243247"/>
                <w:sz w:val="18"/>
              </w:rPr>
              <w:t>GET /v1/tickets</w:t>
            </w:r>
          </w:p>
        </w:tc>
        <w:tc>
          <w:tcPr>
            <w:tcW w:type="dxa" w:w="7128"/>
            <w:shd w:fill="F3F6FA"/>
          </w:tcPr>
          <w:p>
            <w:pPr>
              <w:spacing w:after="60" w:before="60" w:line="259" w:lineRule="auto"/>
            </w:pPr>
            <w:r>
              <w:rPr>
                <w:b w:val="0"/>
                <w:color w:val="243247"/>
                <w:sz w:val="18"/>
              </w:rPr>
              <w:t>Tenant-scoped filters and cursor pagination; no unrestricted aggregate count</w:t>
            </w:r>
          </w:p>
        </w:tc>
      </w:tr>
      <w:tr>
        <w:trPr>
          <w:cantSplit/>
        </w:trPr>
        <w:tc>
          <w:tcPr>
            <w:tcW w:type="dxa" w:w="3096"/>
          </w:tcPr>
          <w:p>
            <w:pPr>
              <w:spacing w:after="60" w:before="60" w:line="259" w:lineRule="auto"/>
            </w:pPr>
            <w:r>
              <w:rPr>
                <w:b w:val="0"/>
                <w:color w:val="243247"/>
                <w:sz w:val="18"/>
              </w:rPr>
              <w:t>POST /v1/tickets/{id}/assign</w:t>
            </w:r>
          </w:p>
        </w:tc>
        <w:tc>
          <w:tcPr>
            <w:tcW w:type="dxa" w:w="7128"/>
          </w:tcPr>
          <w:p>
            <w:pPr>
              <w:spacing w:after="60" w:before="60" w:line="259" w:lineRule="auto"/>
            </w:pPr>
            <w:r>
              <w:rPr>
                <w:b w:val="0"/>
                <w:color w:val="243247"/>
                <w:sz w:val="18"/>
              </w:rPr>
              <w:t>Team and analyst validated; expected_version; reason</w:t>
            </w:r>
          </w:p>
        </w:tc>
      </w:tr>
      <w:tr>
        <w:trPr>
          <w:cantSplit/>
        </w:trPr>
        <w:tc>
          <w:tcPr>
            <w:tcW w:type="dxa" w:w="3096"/>
            <w:shd w:fill="F3F6FA"/>
          </w:tcPr>
          <w:p>
            <w:pPr>
              <w:spacing w:after="60" w:before="60" w:line="259" w:lineRule="auto"/>
            </w:pPr>
            <w:r>
              <w:rPr>
                <w:b w:val="0"/>
                <w:color w:val="243247"/>
                <w:sz w:val="18"/>
              </w:rPr>
              <w:t>POST /v1/tickets/{id}/transitions</w:t>
            </w:r>
          </w:p>
        </w:tc>
        <w:tc>
          <w:tcPr>
            <w:tcW w:type="dxa" w:w="7128"/>
            <w:shd w:fill="F3F6FA"/>
          </w:tcPr>
          <w:p>
            <w:pPr>
              <w:spacing w:after="60" w:before="60" w:line="259" w:lineRule="auto"/>
            </w:pPr>
            <w:r>
              <w:rPr>
                <w:b w:val="0"/>
                <w:color w:val="243247"/>
                <w:sz w:val="18"/>
              </w:rPr>
              <w:t>Transition command with evidence IDs, expected_version and idempotency key</w:t>
            </w:r>
          </w:p>
        </w:tc>
      </w:tr>
      <w:tr>
        <w:trPr>
          <w:cantSplit/>
        </w:trPr>
        <w:tc>
          <w:tcPr>
            <w:tcW w:type="dxa" w:w="3096"/>
          </w:tcPr>
          <w:p>
            <w:pPr>
              <w:spacing w:after="60" w:before="60" w:line="259" w:lineRule="auto"/>
            </w:pPr>
            <w:r>
              <w:rPr>
                <w:b w:val="0"/>
                <w:color w:val="243247"/>
                <w:sz w:val="18"/>
              </w:rPr>
              <w:t>POST /v1/tickets/{id}/notices</w:t>
            </w:r>
          </w:p>
        </w:tc>
        <w:tc>
          <w:tcPr>
            <w:tcW w:type="dxa" w:w="7128"/>
          </w:tcPr>
          <w:p>
            <w:pPr>
              <w:spacing w:after="60" w:before="60" w:line="259" w:lineRule="auto"/>
            </w:pPr>
            <w:r>
              <w:rPr>
                <w:b w:val="0"/>
                <w:color w:val="243247"/>
                <w:sz w:val="18"/>
              </w:rPr>
              <w:t>Approved template, contract version and contact; enqueue once</w:t>
            </w:r>
          </w:p>
        </w:tc>
      </w:tr>
      <w:tr>
        <w:trPr>
          <w:cantSplit/>
        </w:trPr>
        <w:tc>
          <w:tcPr>
            <w:tcW w:type="dxa" w:w="3096"/>
            <w:shd w:fill="F3F6FA"/>
          </w:tcPr>
          <w:p>
            <w:pPr>
              <w:spacing w:after="60" w:before="60" w:line="259" w:lineRule="auto"/>
            </w:pPr>
            <w:r>
              <w:rPr>
                <w:b w:val="0"/>
                <w:color w:val="243247"/>
                <w:sz w:val="18"/>
              </w:rPr>
              <w:t>POST /v1/repairs/{id}/complete</w:t>
            </w:r>
          </w:p>
        </w:tc>
        <w:tc>
          <w:tcPr>
            <w:tcW w:type="dxa" w:w="7128"/>
            <w:shd w:fill="F3F6FA"/>
          </w:tcPr>
          <w:p>
            <w:pPr>
              <w:spacing w:after="60" w:before="60" w:line="259" w:lineRule="auto"/>
            </w:pPr>
            <w:r>
              <w:rPr>
                <w:b w:val="0"/>
                <w:color w:val="243247"/>
                <w:sz w:val="18"/>
              </w:rPr>
              <w:t>Authorized firm submits completion claim and evidence</w:t>
            </w:r>
          </w:p>
        </w:tc>
      </w:tr>
      <w:tr>
        <w:trPr>
          <w:cantSplit/>
        </w:trPr>
        <w:tc>
          <w:tcPr>
            <w:tcW w:type="dxa" w:w="3096"/>
          </w:tcPr>
          <w:p>
            <w:pPr>
              <w:spacing w:after="60" w:before="60" w:line="259" w:lineRule="auto"/>
            </w:pPr>
            <w:r>
              <w:rPr>
                <w:b w:val="0"/>
                <w:color w:val="243247"/>
                <w:sz w:val="18"/>
              </w:rPr>
              <w:t>POST /v1/tickets/{id}/verify</w:t>
            </w:r>
          </w:p>
        </w:tc>
        <w:tc>
          <w:tcPr>
            <w:tcW w:type="dxa" w:w="7128"/>
          </w:tcPr>
          <w:p>
            <w:pPr>
              <w:spacing w:after="60" w:before="60" w:line="259" w:lineRule="auto"/>
            </w:pPr>
            <w:r>
              <w:rPr>
                <w:b w:val="0"/>
                <w:color w:val="243247"/>
                <w:sz w:val="18"/>
              </w:rPr>
              <w:t>Matched repeat evidence, quality assessment and municipal reviewer decision</w:t>
            </w:r>
          </w:p>
        </w:tc>
      </w:tr>
      <w:tr>
        <w:trPr>
          <w:cantSplit/>
        </w:trPr>
        <w:tc>
          <w:tcPr>
            <w:tcW w:type="dxa" w:w="3096"/>
            <w:shd w:fill="F3F6FA"/>
          </w:tcPr>
          <w:p>
            <w:pPr>
              <w:spacing w:after="60" w:before="60" w:line="259" w:lineRule="auto"/>
            </w:pPr>
            <w:r>
              <w:rPr>
                <w:b w:val="0"/>
                <w:color w:val="243247"/>
                <w:sz w:val="18"/>
              </w:rPr>
              <w:t>GET /v1/analytics</w:t>
            </w:r>
          </w:p>
        </w:tc>
        <w:tc>
          <w:tcPr>
            <w:tcW w:type="dxa" w:w="7128"/>
            <w:shd w:fill="F3F6FA"/>
          </w:tcPr>
          <w:p>
            <w:pPr>
              <w:spacing w:after="60" w:before="60" w:line="259" w:lineRule="auto"/>
            </w:pPr>
            <w:r>
              <w:rPr>
                <w:b w:val="0"/>
                <w:color w:val="243247"/>
                <w:sz w:val="18"/>
              </w:rPr>
              <w:t>Same authorization scope as ticket lists; defined cohort and time grain</w:t>
            </w:r>
          </w:p>
        </w:tc>
      </w:tr>
    </w:tbl>
    <w:p>
      <w:pPr>
        <w:spacing w:after="20" w:line="240" w:lineRule="auto" w:before="0"/>
      </w:pPr>
      <w:r>
        <w:rPr>
          <w:sz w:val="4"/>
        </w:rPr>
      </w:r>
    </w:p>
    <w:p>
      <w:pPr>
        <w:pStyle w:val="Heading2"/>
      </w:pPr>
      <w:r>
        <w:t>Example observation envelope</w:t>
      </w:r>
    </w:p>
    <w:p>
      <w:r>
        <w:t>{ "schema_version": "1.0", "event_id": "device-generated-uuid", "device_id": "fleet-device-id", "captured_at": "2027-02-01T14:03:22Z", "latitude": 43.3605, "longitude": -80.3140, "horizontal_accuracy_m": 4.2, "model_version": "pothole-pilot-1", "evidence_sha256": "64-hex-character-digest" }</w:t>
      </w:r>
    </w:p>
    <w:p>
      <w:r>
        <w:t>The server derives tenant from the device credential. It must not trust a client-provided tenant or contractor ID. Validate timestamps, numeric ranges, bounding boxes, object ownership, maximum body size and allowed content types before accepting a record.</w:t>
      </w:r>
    </w:p>
    <w:p>
      <w:pPr>
        <w:pStyle w:val="Heading2"/>
      </w:pPr>
      <w:r>
        <w:t>Consistency and retries</w:t>
      </w:r>
    </w:p>
    <w:p>
      <w:r>
        <w:t>Use at-least-once transport with a unique tenant/device/event key and idempotent consumers. In one database transaction, update the ticket version and append its status event and outbox record. Workers retry transient failures with exponential backoff and send permanent failures to a visible exception queue.</w:t>
      </w:r>
    </w:p>
    <w:p>
      <w:r>
        <w:t>Use expected_version or ETag to prevent lost updates. Return 409 on conflicting edits and preserve the analyst's unsaved note. Return 401 for absent identity, 403 or non-enumerating 404 for forbidden resources, 422 for invalid evidence and 429 with retry guidance for quota pressure.</w:t>
      </w:r>
    </w:p>
    <w:p>
      <w:r>
        <w:t>Do not let a slow email provider block a ticket transaction. Preserve message IDs, template versions, redacted attachment hashes, send attempts, delivery outcomes and acknowledgements. Delivered email is not proof of contractor acceptance.</w:t>
      </w:r>
    </w:p>
    <w:p>
      <w:pPr>
        <w:pStyle w:val="Heading1"/>
        <w:pageBreakBefore/>
      </w:pPr>
      <w:r>
        <w:t>Contractor notices and escalation</w:t>
      </w:r>
    </w:p>
    <w:p>
      <w:pPr>
        <w:pStyle w:val="Heading2"/>
      </w:pPr>
      <w:r>
        <w:t>Notice contents</w:t>
      </w:r>
    </w:p>
    <w:p>
      <w:pPr>
        <w:pStyle w:val="ListBullet"/>
      </w:pPr>
      <w:r>
        <w:t>Unique ticket ID, road authority, defect class, risk priority and case owner.</w:t>
      </w:r>
    </w:p>
    <w:p>
      <w:pPr>
        <w:pStyle w:val="ListBullet"/>
      </w:pPr>
      <w:r>
        <w:t>Redacted issue image, capture date and time, coordinates, accuracy radius, road segment, lane/direction and practical access description.</w:t>
      </w:r>
    </w:p>
    <w:p>
      <w:pPr>
        <w:pStyle w:val="ListBullet"/>
      </w:pPr>
      <w:r>
        <w:t>Repair contract reference, work-scope match, applicable warranty clause and notice basis.</w:t>
      </w:r>
    </w:p>
    <w:p>
      <w:pPr>
        <w:pStyle w:val="ListBullet"/>
      </w:pPr>
      <w:r>
        <w:t>Requested acknowledgement and response dates derived from approved policy or contract terms.</w:t>
      </w:r>
    </w:p>
    <w:p>
      <w:pPr>
        <w:pStyle w:val="ListBullet"/>
      </w:pPr>
      <w:r>
        <w:t>Secure scoped portal link, contact for disputes and clear statement of whether urgent municipal action has already occurred.</w:t>
      </w:r>
    </w:p>
    <w:p>
      <w:pPr>
        <w:pStyle w:val="Heading2"/>
      </w:pPr>
      <w:r>
        <w:t>Dispatch process</w:t>
      </w:r>
    </w:p>
    <w:p>
      <w:r>
        <w:t>The service resolves the POC from an approved contact directory; it does not guess or scrape an email address. Preview the notice and record the approver unless an approved automatic rule applies. Send from the authority or an explicitly delegated service identity, with accessible text and a secure evidence link.</w:t>
      </w:r>
    </w:p>
    <w:p>
      <w:r>
        <w:t>Use a transactional outbox and idempotent message key so retries cannot send duplicate demands. Failed delivery goes to an operations queue. Acknowledgement, responsibility accepted, responsibility disputed and repair scheduled are separate events. Do not interpret an email open as acceptance.</w:t>
      </w:r>
    </w:p>
    <w:p>
      <w:pPr>
        <w:pStyle w:val="Heading2"/>
      </w:pPr>
      <w:r>
        <w:t>Escalations</w:t>
      </w:r>
    </w:p>
    <w:p>
      <w:r>
        <w:t>A safety escalation goes to the municipal duty process when the hazard is urgent or the local deadline requires action. A contractor escalation follows the contract notice path. A verification escalation occurs when no suitable vehicle revisits. These clocks run independently.</w:t>
      </w:r>
    </w:p>
    <w:p>
      <w:r>
        <w:t>Configure working calendars, time zones, after-hours coverage and service levels per authority. Store deadlines in UTC while showing the user's local time. Record policy versions and clock-start events. Holds need reasons and review dates; legal or safety clocks pause only if the governing rule permits it.</w:t>
      </w:r>
    </w:p>
    <w:p>
      <w:pPr>
        <w:pStyle w:val="Heading2"/>
      </w:pPr>
      <w:r>
        <w:t>Demonstration limitation</w:t>
      </w:r>
    </w:p>
    <w:p>
      <w:r>
        <w:t>The delivered website can prepare a downloadable draft notice and creates in-app assignment notifications. It does not send email, SMS, push notifications or requests to real contractors. The example firm names and .invalid addresses are fictional. No external recipient has been contacted.</w:t>
      </w:r>
    </w:p>
    <w:p>
      <w:pPr>
        <w:pStyle w:val="Heading1"/>
        <w:pageBreakBefore/>
      </w:pPr>
      <w:r>
        <w:t>Privacy security and evidence integrity</w:t>
      </w:r>
    </w:p>
    <w:p>
      <w:r>
        <w:t>Complete a privacy impact assessment and legal-authority review before real camera collection. For Ontario buyers, use current applicable public-sector privacy law and commissioner guidance. The guidance page itself flags recent and upcoming changes; do not rely on a static 2015 document alone. [S6]</w:t>
      </w:r>
    </w:p>
    <w:tbl>
      <w:tblPr>
        <w:tblW w:type="auto" w:w="0"/>
        <w:tblLayout w:type="fixed"/>
        <w:tblLook w:firstColumn="1" w:firstRow="1" w:lastColumn="0" w:lastRow="0" w:noHBand="0" w:noVBand="1" w:val="04A0"/>
      </w:tblPr>
      <w:tblGrid>
        <w:gridCol w:w="5112"/>
        <w:gridCol w:w="5112"/>
      </w:tblGrid>
      <w:tr>
        <w:trPr>
          <w:tblHeader/>
          <w:cantSplit/>
        </w:trPr>
        <w:tc>
          <w:tcPr>
            <w:tcW w:type="dxa" w:w="3096"/>
            <w:shd w:fill="172B42"/>
          </w:tcPr>
          <w:p>
            <w:pPr>
              <w:spacing w:after="60" w:before="60" w:line="259" w:lineRule="auto"/>
            </w:pPr>
            <w:r>
              <w:rPr>
                <w:b/>
                <w:color w:val="FFFFFF"/>
                <w:sz w:val="18"/>
              </w:rPr>
              <w:t>Control</w:t>
            </w:r>
          </w:p>
        </w:tc>
        <w:tc>
          <w:tcPr>
            <w:tcW w:type="dxa" w:w="7128"/>
            <w:shd w:fill="172B42"/>
          </w:tcPr>
          <w:p>
            <w:pPr>
              <w:spacing w:after="60" w:before="60" w:line="259" w:lineRule="auto"/>
            </w:pPr>
            <w:r>
              <w:rPr>
                <w:b/>
                <w:color w:val="FFFFFF"/>
                <w:sz w:val="18"/>
              </w:rPr>
              <w:t>Design requirement</w:t>
            </w:r>
          </w:p>
        </w:tc>
      </w:tr>
      <w:tr>
        <w:trPr>
          <w:cantSplit/>
        </w:trPr>
        <w:tc>
          <w:tcPr>
            <w:tcW w:type="dxa" w:w="3096"/>
          </w:tcPr>
          <w:p>
            <w:pPr>
              <w:spacing w:after="60" w:before="60" w:line="259" w:lineRule="auto"/>
            </w:pPr>
            <w:r>
              <w:rPr>
                <w:b w:val="0"/>
                <w:color w:val="243247"/>
                <w:sz w:val="18"/>
              </w:rPr>
              <w:t>Collection limits</w:t>
            </w:r>
          </w:p>
        </w:tc>
        <w:tc>
          <w:tcPr>
            <w:tcW w:type="dxa" w:w="7128"/>
          </w:tcPr>
          <w:p>
            <w:pPr>
              <w:spacing w:after="60" w:before="60" w:line="259" w:lineRule="auto"/>
            </w:pPr>
            <w:r>
              <w:rPr>
                <w:b w:val="0"/>
                <w:color w:val="243247"/>
                <w:sz w:val="18"/>
              </w:rPr>
              <w:t>Road-facing purpose; no audio, cabin recording, face recognition or unnecessary plate history</w:t>
            </w:r>
          </w:p>
        </w:tc>
      </w:tr>
      <w:tr>
        <w:trPr>
          <w:cantSplit/>
        </w:trPr>
        <w:tc>
          <w:tcPr>
            <w:tcW w:type="dxa" w:w="3096"/>
            <w:shd w:fill="F3F6FA"/>
          </w:tcPr>
          <w:p>
            <w:pPr>
              <w:spacing w:after="60" w:before="60" w:line="259" w:lineRule="auto"/>
            </w:pPr>
            <w:r>
              <w:rPr>
                <w:b w:val="0"/>
                <w:color w:val="243247"/>
                <w:sz w:val="18"/>
              </w:rPr>
              <w:t>Redaction</w:t>
            </w:r>
          </w:p>
        </w:tc>
        <w:tc>
          <w:tcPr>
            <w:tcW w:type="dxa" w:w="7128"/>
            <w:shd w:fill="F3F6FA"/>
          </w:tcPr>
          <w:p>
            <w:pPr>
              <w:spacing w:after="60" w:before="60" w:line="259" w:lineRule="auto"/>
            </w:pPr>
            <w:r>
              <w:rPr>
                <w:b w:val="0"/>
                <w:color w:val="243247"/>
                <w:sz w:val="18"/>
              </w:rPr>
              <w:t>Blur faces and plates before ordinary access; retain restricted originals only when lawful and necessary</w:t>
            </w:r>
          </w:p>
        </w:tc>
      </w:tr>
      <w:tr>
        <w:trPr>
          <w:cantSplit/>
        </w:trPr>
        <w:tc>
          <w:tcPr>
            <w:tcW w:type="dxa" w:w="3096"/>
          </w:tcPr>
          <w:p>
            <w:pPr>
              <w:spacing w:after="60" w:before="60" w:line="259" w:lineRule="auto"/>
            </w:pPr>
            <w:r>
              <w:rPr>
                <w:b w:val="0"/>
                <w:color w:val="243247"/>
                <w:sz w:val="18"/>
              </w:rPr>
              <w:t>Retention</w:t>
            </w:r>
          </w:p>
        </w:tc>
        <w:tc>
          <w:tcPr>
            <w:tcW w:type="dxa" w:w="7128"/>
          </w:tcPr>
          <w:p>
            <w:pPr>
              <w:spacing w:after="60" w:before="60" w:line="259" w:lineRule="auto"/>
            </w:pPr>
            <w:r>
              <w:rPr>
                <w:b w:val="0"/>
                <w:color w:val="243247"/>
                <w:sz w:val="18"/>
              </w:rPr>
              <w:t>Customer-approved schedules by data class; legal hold overrides deletion; deletion logs</w:t>
            </w:r>
          </w:p>
        </w:tc>
      </w:tr>
      <w:tr>
        <w:trPr>
          <w:cantSplit/>
        </w:trPr>
        <w:tc>
          <w:tcPr>
            <w:tcW w:type="dxa" w:w="3096"/>
            <w:shd w:fill="F3F6FA"/>
          </w:tcPr>
          <w:p>
            <w:pPr>
              <w:spacing w:after="60" w:before="60" w:line="259" w:lineRule="auto"/>
            </w:pPr>
            <w:r>
              <w:rPr>
                <w:b w:val="0"/>
                <w:color w:val="243247"/>
                <w:sz w:val="18"/>
              </w:rPr>
              <w:t>Encryption</w:t>
            </w:r>
          </w:p>
        </w:tc>
        <w:tc>
          <w:tcPr>
            <w:tcW w:type="dxa" w:w="7128"/>
            <w:shd w:fill="F3F6FA"/>
          </w:tcPr>
          <w:p>
            <w:pPr>
              <w:spacing w:after="60" w:before="60" w:line="259" w:lineRule="auto"/>
            </w:pPr>
            <w:r>
              <w:rPr>
                <w:b w:val="0"/>
                <w:color w:val="243247"/>
                <w:sz w:val="18"/>
              </w:rPr>
              <w:t>TLS in transit; managed keys at rest; least-privilege key access and rotation</w:t>
            </w:r>
          </w:p>
        </w:tc>
      </w:tr>
      <w:tr>
        <w:trPr>
          <w:cantSplit/>
        </w:trPr>
        <w:tc>
          <w:tcPr>
            <w:tcW w:type="dxa" w:w="3096"/>
          </w:tcPr>
          <w:p>
            <w:pPr>
              <w:spacing w:after="60" w:before="60" w:line="259" w:lineRule="auto"/>
            </w:pPr>
            <w:r>
              <w:rPr>
                <w:b w:val="0"/>
                <w:color w:val="243247"/>
                <w:sz w:val="18"/>
              </w:rPr>
              <w:t>Identity</w:t>
            </w:r>
          </w:p>
        </w:tc>
        <w:tc>
          <w:tcPr>
            <w:tcW w:type="dxa" w:w="7128"/>
          </w:tcPr>
          <w:p>
            <w:pPr>
              <w:spacing w:after="60" w:before="60" w:line="259" w:lineRule="auto"/>
            </w:pPr>
            <w:r>
              <w:rPr>
                <w:b w:val="0"/>
                <w:color w:val="243247"/>
                <w:sz w:val="18"/>
              </w:rPr>
              <w:t>SSO, MFA, short-lived tokens, session controls, offboarding and device revocation</w:t>
            </w:r>
          </w:p>
        </w:tc>
      </w:tr>
      <w:tr>
        <w:trPr>
          <w:cantSplit/>
        </w:trPr>
        <w:tc>
          <w:tcPr>
            <w:tcW w:type="dxa" w:w="3096"/>
            <w:shd w:fill="F3F6FA"/>
          </w:tcPr>
          <w:p>
            <w:pPr>
              <w:spacing w:after="60" w:before="60" w:line="259" w:lineRule="auto"/>
            </w:pPr>
            <w:r>
              <w:rPr>
                <w:b w:val="0"/>
                <w:color w:val="243247"/>
                <w:sz w:val="18"/>
              </w:rPr>
              <w:t>Isolation</w:t>
            </w:r>
          </w:p>
        </w:tc>
        <w:tc>
          <w:tcPr>
            <w:tcW w:type="dxa" w:w="7128"/>
            <w:shd w:fill="F3F6FA"/>
          </w:tcPr>
          <w:p>
            <w:pPr>
              <w:spacing w:after="60" w:before="60" w:line="259" w:lineRule="auto"/>
            </w:pPr>
            <w:r>
              <w:rPr>
                <w:b w:val="0"/>
                <w:color w:val="243247"/>
                <w:sz w:val="18"/>
              </w:rPr>
              <w:t>Tenant scope in database, queues, objects, caches, search and analytics</w:t>
            </w:r>
          </w:p>
        </w:tc>
      </w:tr>
      <w:tr>
        <w:trPr>
          <w:cantSplit/>
        </w:trPr>
        <w:tc>
          <w:tcPr>
            <w:tcW w:type="dxa" w:w="3096"/>
          </w:tcPr>
          <w:p>
            <w:pPr>
              <w:spacing w:after="60" w:before="60" w:line="259" w:lineRule="auto"/>
            </w:pPr>
            <w:r>
              <w:rPr>
                <w:b w:val="0"/>
                <w:color w:val="243247"/>
                <w:sz w:val="18"/>
              </w:rPr>
              <w:t>Evidence integrity</w:t>
            </w:r>
          </w:p>
        </w:tc>
        <w:tc>
          <w:tcPr>
            <w:tcW w:type="dxa" w:w="7128"/>
          </w:tcPr>
          <w:p>
            <w:pPr>
              <w:spacing w:after="60" w:before="60" w:line="259" w:lineRule="auto"/>
            </w:pPr>
            <w:r>
              <w:rPr>
                <w:b w:val="0"/>
                <w:color w:val="243247"/>
                <w:sz w:val="18"/>
              </w:rPr>
              <w:t>Cryptographic hash, original metadata, derivative lineage, append-only history and controlled corrections</w:t>
            </w:r>
          </w:p>
        </w:tc>
      </w:tr>
      <w:tr>
        <w:trPr>
          <w:cantSplit/>
        </w:trPr>
        <w:tc>
          <w:tcPr>
            <w:tcW w:type="dxa" w:w="3096"/>
            <w:shd w:fill="F3F6FA"/>
          </w:tcPr>
          <w:p>
            <w:pPr>
              <w:spacing w:after="60" w:before="60" w:line="259" w:lineRule="auto"/>
            </w:pPr>
            <w:r>
              <w:rPr>
                <w:b w:val="0"/>
                <w:color w:val="243247"/>
                <w:sz w:val="18"/>
              </w:rPr>
              <w:t>Downloads</w:t>
            </w:r>
          </w:p>
        </w:tc>
        <w:tc>
          <w:tcPr>
            <w:tcW w:type="dxa" w:w="7128"/>
            <w:shd w:fill="F3F6FA"/>
          </w:tcPr>
          <w:p>
            <w:pPr>
              <w:spacing w:after="60" w:before="60" w:line="259" w:lineRule="auto"/>
            </w:pPr>
            <w:r>
              <w:rPr>
                <w:b w:val="0"/>
                <w:color w:val="243247"/>
                <w:sz w:val="18"/>
              </w:rPr>
              <w:t>Authorization checked before signed URLs; short expiry; no public evidence bucket</w:t>
            </w:r>
          </w:p>
        </w:tc>
      </w:tr>
      <w:tr>
        <w:trPr>
          <w:cantSplit/>
        </w:trPr>
        <w:tc>
          <w:tcPr>
            <w:tcW w:type="dxa" w:w="3096"/>
          </w:tcPr>
          <w:p>
            <w:pPr>
              <w:spacing w:after="60" w:before="60" w:line="259" w:lineRule="auto"/>
            </w:pPr>
            <w:r>
              <w:rPr>
                <w:b w:val="0"/>
                <w:color w:val="243247"/>
                <w:sz w:val="18"/>
              </w:rPr>
              <w:t>Operations</w:t>
            </w:r>
          </w:p>
        </w:tc>
        <w:tc>
          <w:tcPr>
            <w:tcW w:type="dxa" w:w="7128"/>
          </w:tcPr>
          <w:p>
            <w:pPr>
              <w:spacing w:after="60" w:before="60" w:line="259" w:lineRule="auto"/>
            </w:pPr>
            <w:r>
              <w:rPr>
                <w:b w:val="0"/>
                <w:color w:val="243247"/>
                <w:sz w:val="18"/>
              </w:rPr>
              <w:t>Secrets manager, dependency scanning, tested backup, incident process and monitored admin access</w:t>
            </w:r>
          </w:p>
        </w:tc>
      </w:tr>
    </w:tbl>
    <w:p>
      <w:pPr>
        <w:spacing w:after="20" w:line="240" w:lineRule="auto" w:before="0"/>
      </w:pPr>
      <w:r>
        <w:rPr>
          <w:sz w:val="4"/>
        </w:rPr>
      </w:r>
    </w:p>
    <w:p>
      <w:r>
        <w:t>Proposed starting retention profile for review: device raw buffer up to 24 hours, unredacted quarantine up to 72 hours if justified, ordinary redacted observation media 90 days, and ticket evidence according to the authority's approved records schedule. These are design proposals, not legal retention rules. A legal hold may retain selected evidence longer.</w:t>
      </w:r>
    </w:p>
    <w:p>
      <w:r>
        <w:t>Evidence records should bind the image hash to the capture event, device identity and software version. A hash proves that bytes have not changed; it does not prove the original scene was genuine. Device attestation, independent repeat observations and analyst review address different provenance risks.</w:t>
      </w:r>
    </w:p>
    <w:p>
      <w:r>
        <w:t>Canadian-region hosting should include the database, media, backups and processing. Also review global telemetry, content delivery, support tooling and external AI services. The hosted demonstration does not claim a certified Canadian-only data boundary.</w:t>
      </w:r>
    </w:p>
    <w:p>
      <w:pPr>
        <w:pStyle w:val="Heading1"/>
        <w:pageBreakBefore/>
      </w:pPr>
      <w:r>
        <w:t>Reliability scale and cost controls</w:t>
      </w:r>
    </w:p>
    <w:tbl>
      <w:tblPr>
        <w:tblW w:type="auto" w:w="0"/>
        <w:tblLayout w:type="fixed"/>
        <w:tblLook w:firstColumn="1" w:firstRow="1" w:lastColumn="0" w:lastRow="0" w:noHBand="0" w:noVBand="1" w:val="04A0"/>
      </w:tblPr>
      <w:tblGrid>
        <w:gridCol w:w="5112"/>
        <w:gridCol w:w="5112"/>
      </w:tblGrid>
      <w:tr>
        <w:trPr>
          <w:tblHeader/>
          <w:cantSplit/>
        </w:trPr>
        <w:tc>
          <w:tcPr>
            <w:tcW w:type="dxa" w:w="3096"/>
            <w:shd w:fill="172B42"/>
          </w:tcPr>
          <w:p>
            <w:pPr>
              <w:spacing w:after="60" w:before="60" w:line="259" w:lineRule="auto"/>
            </w:pPr>
            <w:r>
              <w:rPr>
                <w:b/>
                <w:color w:val="FFFFFF"/>
                <w:sz w:val="18"/>
              </w:rPr>
              <w:t>Proposed target</w:t>
            </w:r>
          </w:p>
        </w:tc>
        <w:tc>
          <w:tcPr>
            <w:tcW w:type="dxa" w:w="7128"/>
            <w:shd w:fill="172B42"/>
          </w:tcPr>
          <w:p>
            <w:pPr>
              <w:spacing w:after="60" w:before="60" w:line="259" w:lineRule="auto"/>
            </w:pPr>
            <w:r>
              <w:rPr>
                <w:b/>
                <w:color w:val="FFFFFF"/>
                <w:sz w:val="18"/>
              </w:rPr>
              <w:t>Definition and qualification</w:t>
            </w:r>
          </w:p>
        </w:tc>
      </w:tr>
      <w:tr>
        <w:trPr>
          <w:cantSplit/>
        </w:trPr>
        <w:tc>
          <w:tcPr>
            <w:tcW w:type="dxa" w:w="3096"/>
          </w:tcPr>
          <w:p>
            <w:pPr>
              <w:spacing w:after="60" w:before="60" w:line="259" w:lineRule="auto"/>
            </w:pPr>
            <w:r>
              <w:rPr>
                <w:b w:val="0"/>
                <w:color w:val="243247"/>
                <w:sz w:val="18"/>
              </w:rPr>
              <w:t>Availability</w:t>
            </w:r>
          </w:p>
        </w:tc>
        <w:tc>
          <w:tcPr>
            <w:tcW w:type="dxa" w:w="7128"/>
          </w:tcPr>
          <w:p>
            <w:pPr>
              <w:spacing w:after="60" w:before="60" w:line="259" w:lineRule="auto"/>
            </w:pPr>
            <w:r>
              <w:rPr>
                <w:b w:val="0"/>
                <w:color w:val="243247"/>
                <w:sz w:val="18"/>
              </w:rPr>
              <w:t>99.9 percent monthly API target for production; excludes no implicit legal deadlines</w:t>
            </w:r>
          </w:p>
        </w:tc>
      </w:tr>
      <w:tr>
        <w:trPr>
          <w:cantSplit/>
        </w:trPr>
        <w:tc>
          <w:tcPr>
            <w:tcW w:type="dxa" w:w="3096"/>
            <w:shd w:fill="F3F6FA"/>
          </w:tcPr>
          <w:p>
            <w:pPr>
              <w:spacing w:after="60" w:before="60" w:line="259" w:lineRule="auto"/>
            </w:pPr>
            <w:r>
              <w:rPr>
                <w:b w:val="0"/>
                <w:color w:val="243247"/>
                <w:sz w:val="18"/>
              </w:rPr>
              <w:t>Online ingest</w:t>
            </w:r>
          </w:p>
        </w:tc>
        <w:tc>
          <w:tcPr>
            <w:tcW w:type="dxa" w:w="7128"/>
            <w:shd w:fill="F3F6FA"/>
          </w:tcPr>
          <w:p>
            <w:pPr>
              <w:spacing w:after="60" w:before="60" w:line="259" w:lineRule="auto"/>
            </w:pPr>
            <w:r>
              <w:rPr>
                <w:b w:val="0"/>
                <w:color w:val="243247"/>
                <w:sz w:val="18"/>
              </w:rPr>
              <w:t>95th percentile metadata acceptance under 2 seconds at agreed pilot load</w:t>
            </w:r>
          </w:p>
        </w:tc>
      </w:tr>
      <w:tr>
        <w:trPr>
          <w:cantSplit/>
        </w:trPr>
        <w:tc>
          <w:tcPr>
            <w:tcW w:type="dxa" w:w="3096"/>
          </w:tcPr>
          <w:p>
            <w:pPr>
              <w:spacing w:after="60" w:before="60" w:line="259" w:lineRule="auto"/>
            </w:pPr>
            <w:r>
              <w:rPr>
                <w:b w:val="0"/>
                <w:color w:val="243247"/>
                <w:sz w:val="18"/>
              </w:rPr>
              <w:t>Investigation availability</w:t>
            </w:r>
          </w:p>
        </w:tc>
        <w:tc>
          <w:tcPr>
            <w:tcW w:type="dxa" w:w="7128"/>
          </w:tcPr>
          <w:p>
            <w:pPr>
              <w:spacing w:after="60" w:before="60" w:line="259" w:lineRule="auto"/>
            </w:pPr>
            <w:r>
              <w:rPr>
                <w:b w:val="0"/>
                <w:color w:val="243247"/>
                <w:sz w:val="18"/>
              </w:rPr>
              <w:t>95th percentile under 60 seconds after a valid online bundle; offline delays tracked separately</w:t>
            </w:r>
          </w:p>
        </w:tc>
      </w:tr>
      <w:tr>
        <w:trPr>
          <w:cantSplit/>
        </w:trPr>
        <w:tc>
          <w:tcPr>
            <w:tcW w:type="dxa" w:w="3096"/>
            <w:shd w:fill="F3F6FA"/>
          </w:tcPr>
          <w:p>
            <w:pPr>
              <w:spacing w:after="60" w:before="60" w:line="259" w:lineRule="auto"/>
            </w:pPr>
            <w:r>
              <w:rPr>
                <w:b w:val="0"/>
                <w:color w:val="243247"/>
                <w:sz w:val="18"/>
              </w:rPr>
              <w:t>Queue recovery</w:t>
            </w:r>
          </w:p>
        </w:tc>
        <w:tc>
          <w:tcPr>
            <w:tcW w:type="dxa" w:w="7128"/>
            <w:shd w:fill="F3F6FA"/>
          </w:tcPr>
          <w:p>
            <w:pPr>
              <w:spacing w:after="60" w:before="60" w:line="259" w:lineRule="auto"/>
            </w:pPr>
            <w:r>
              <w:rPr>
                <w:b w:val="0"/>
                <w:color w:val="243247"/>
                <w:sz w:val="18"/>
              </w:rPr>
              <w:t>No silent event loss; retry and dead-letter processing visible to operators</w:t>
            </w:r>
          </w:p>
        </w:tc>
      </w:tr>
      <w:tr>
        <w:trPr>
          <w:cantSplit/>
        </w:trPr>
        <w:tc>
          <w:tcPr>
            <w:tcW w:type="dxa" w:w="3096"/>
          </w:tcPr>
          <w:p>
            <w:pPr>
              <w:spacing w:after="60" w:before="60" w:line="259" w:lineRule="auto"/>
            </w:pPr>
            <w:r>
              <w:rPr>
                <w:b w:val="0"/>
                <w:color w:val="243247"/>
                <w:sz w:val="18"/>
              </w:rPr>
              <w:t>Recovery point</w:t>
            </w:r>
          </w:p>
        </w:tc>
        <w:tc>
          <w:tcPr>
            <w:tcW w:type="dxa" w:w="7128"/>
          </w:tcPr>
          <w:p>
            <w:pPr>
              <w:spacing w:after="60" w:before="60" w:line="259" w:lineRule="auto"/>
            </w:pPr>
            <w:r>
              <w:rPr>
                <w:b w:val="0"/>
                <w:color w:val="243247"/>
                <w:sz w:val="18"/>
              </w:rPr>
              <w:t>Production target of 15 minutes or less, proven by recovery tests</w:t>
            </w:r>
          </w:p>
        </w:tc>
      </w:tr>
      <w:tr>
        <w:trPr>
          <w:cantSplit/>
        </w:trPr>
        <w:tc>
          <w:tcPr>
            <w:tcW w:type="dxa" w:w="3096"/>
            <w:shd w:fill="F3F6FA"/>
          </w:tcPr>
          <w:p>
            <w:pPr>
              <w:spacing w:after="60" w:before="60" w:line="259" w:lineRule="auto"/>
            </w:pPr>
            <w:r>
              <w:rPr>
                <w:b w:val="0"/>
                <w:color w:val="243247"/>
                <w:sz w:val="18"/>
              </w:rPr>
              <w:t>Recovery time</w:t>
            </w:r>
          </w:p>
        </w:tc>
        <w:tc>
          <w:tcPr>
            <w:tcW w:type="dxa" w:w="7128"/>
            <w:shd w:fill="F3F6FA"/>
          </w:tcPr>
          <w:p>
            <w:pPr>
              <w:spacing w:after="60" w:before="60" w:line="259" w:lineRule="auto"/>
            </w:pPr>
            <w:r>
              <w:rPr>
                <w:b w:val="0"/>
                <w:color w:val="243247"/>
                <w:sz w:val="18"/>
              </w:rPr>
              <w:t>Production target of 4 hours or less for core investigation access</w:t>
            </w:r>
          </w:p>
        </w:tc>
      </w:tr>
      <w:tr>
        <w:trPr>
          <w:cantSplit/>
        </w:trPr>
        <w:tc>
          <w:tcPr>
            <w:tcW w:type="dxa" w:w="3096"/>
          </w:tcPr>
          <w:p>
            <w:pPr>
              <w:spacing w:after="60" w:before="60" w:line="259" w:lineRule="auto"/>
            </w:pPr>
            <w:r>
              <w:rPr>
                <w:b w:val="0"/>
                <w:color w:val="243247"/>
                <w:sz w:val="18"/>
              </w:rPr>
              <w:t>Interactive list</w:t>
            </w:r>
          </w:p>
        </w:tc>
        <w:tc>
          <w:tcPr>
            <w:tcW w:type="dxa" w:w="7128"/>
          </w:tcPr>
          <w:p>
            <w:pPr>
              <w:spacing w:after="60" w:before="60" w:line="259" w:lineRule="auto"/>
            </w:pPr>
            <w:r>
              <w:rPr>
                <w:b w:val="0"/>
                <w:color w:val="243247"/>
                <w:sz w:val="18"/>
              </w:rPr>
              <w:t>95th percentile under 2 seconds for indexed authorized queues</w:t>
            </w:r>
          </w:p>
        </w:tc>
      </w:tr>
      <w:tr>
        <w:trPr>
          <w:cantSplit/>
        </w:trPr>
        <w:tc>
          <w:tcPr>
            <w:tcW w:type="dxa" w:w="3096"/>
            <w:shd w:fill="F3F6FA"/>
          </w:tcPr>
          <w:p>
            <w:pPr>
              <w:spacing w:after="60" w:before="60" w:line="259" w:lineRule="auto"/>
            </w:pPr>
            <w:r>
              <w:rPr>
                <w:b w:val="0"/>
                <w:color w:val="243247"/>
                <w:sz w:val="18"/>
              </w:rPr>
              <w:t>Accessibility</w:t>
            </w:r>
          </w:p>
        </w:tc>
        <w:tc>
          <w:tcPr>
            <w:tcW w:type="dxa" w:w="7128"/>
            <w:shd w:fill="F3F6FA"/>
          </w:tcPr>
          <w:p>
            <w:pPr>
              <w:spacing w:after="60" w:before="60" w:line="259" w:lineRule="auto"/>
            </w:pPr>
            <w:r>
              <w:rPr>
                <w:b w:val="0"/>
                <w:color w:val="243247"/>
                <w:sz w:val="18"/>
              </w:rPr>
              <w:t>Design and test toward WCAG 2.2 AA; buyer-specific legal requirements separately confirmed</w:t>
            </w:r>
          </w:p>
        </w:tc>
      </w:tr>
    </w:tbl>
    <w:p>
      <w:pPr>
        <w:spacing w:after="20" w:line="240" w:lineRule="auto" w:before="0"/>
      </w:pPr>
      <w:r>
        <w:rPr>
          <w:sz w:val="4"/>
        </w:rPr>
      </w:r>
    </w:p>
    <w:p>
      <w:pPr>
        <w:pStyle w:val="Heading2"/>
      </w:pPr>
      <w:r>
        <w:t>Illustrative storage sizing</w:t>
      </w:r>
    </w:p>
    <w:p>
      <w:r>
        <w:t>At 100 vehicles, 100 route-km per day and 20 uploaded bundles per route-km, the service receives 200,000 bundles daily. At 0.6 MB per bundle that is approximately 120 GB/day or 3.6 TB over 30 days, before versions and backups. These are workload assumptions; pilot observations must replace them. Raw video at 4 Mbit/s for eight hours is about 14.4 GB per vehicle/day, or 1.44 TB/day for 100 vehicles. Selective upload materially changes cost.</w:t>
      </w:r>
    </w:p>
    <w:p>
      <w:r>
        <w:t>Use an edge quality gate and upload accepted evidence plus a governed negative sample. Keep sampling sufficient to assess false negatives. Do not discard data merely to make precision appear higher. Throttle bulk transfers during cellular congestion while retaining urgent metadata and queue status.</w:t>
      </w:r>
    </w:p>
    <w:p>
      <w:pPr>
        <w:pStyle w:val="Heading2"/>
      </w:pPr>
      <w:r>
        <w:t>Capacity and resilience</w:t>
      </w:r>
    </w:p>
    <w:p>
      <w:r>
        <w:t>Use stateless APIs, a durable queue, separately scalable inference workers and partitioned observation data. Begin with a modular service rather than many small services. Separate GPU inference when workload justifies it. Partition by tenant and time, with appropriate spatial indexes.</w:t>
      </w:r>
    </w:p>
    <w:p>
      <w:r>
        <w:t>Track cost per route-km, bundle, reviewed case and paying authority. Load-test bursty bus depot uploads, storage limits and downstream outages. Targets are objectives for production validation; no service level is guaranteed by the prototype. AWS documents Canadian regions, but final service availability, residency and cost must be checked for the selected deployment. [S10]</w:t>
      </w:r>
    </w:p>
    <w:p>
      <w:pPr>
        <w:pStyle w:val="Heading1"/>
        <w:pageBreakBefore/>
      </w:pPr>
      <w:r>
        <w:t>Analytics and analyst experience</w:t>
      </w:r>
    </w:p>
    <w:p>
      <w:pPr>
        <w:pStyle w:val="Heading2"/>
      </w:pPr>
      <w:r>
        <w:t>Investigation desk</w:t>
      </w:r>
    </w:p>
    <w:p>
      <w:r>
        <w:t>The analyst opens an assigned bucket sorted by risk and due action. A case shows the original issue and redacted evidence, precise recorded coordinates with uncertainty, road/lane and jurisdiction, repeated sightings, AI version, contract candidates, notes, assignments, deadlines and the full timeline. Compare before and after evidence side by side. Preserve notes during errors or concurrent edits.</w:t>
      </w:r>
    </w:p>
    <w:p>
      <w:r>
        <w:t>The next-action panel should expose only permitted transitions and explain missing evidence. Urgent safety tasks remain visible during warranty disputes. The mobile contractor view focuses on acknowledgement, repair schedule, completion evidence and messages.</w:t>
      </w:r>
    </w:p>
    <w:tbl>
      <w:tblPr>
        <w:tblW w:type="auto" w:w="0"/>
        <w:tblLayout w:type="fixed"/>
        <w:tblLook w:firstColumn="1" w:firstRow="1" w:lastColumn="0" w:lastRow="0" w:noHBand="0" w:noVBand="1" w:val="04A0"/>
      </w:tblPr>
      <w:tblGrid>
        <w:gridCol w:w="5112"/>
        <w:gridCol w:w="5112"/>
      </w:tblGrid>
      <w:tr>
        <w:trPr>
          <w:tblHeader/>
          <w:cantSplit/>
        </w:trPr>
        <w:tc>
          <w:tcPr>
            <w:tcW w:type="dxa" w:w="3096"/>
            <w:shd w:fill="172B42"/>
          </w:tcPr>
          <w:p>
            <w:pPr>
              <w:spacing w:after="60" w:before="60" w:line="259" w:lineRule="auto"/>
            </w:pPr>
            <w:r>
              <w:rPr>
                <w:b/>
                <w:color w:val="FFFFFF"/>
                <w:sz w:val="18"/>
              </w:rPr>
              <w:t>Measure</w:t>
            </w:r>
          </w:p>
        </w:tc>
        <w:tc>
          <w:tcPr>
            <w:tcW w:type="dxa" w:w="7128"/>
            <w:shd w:fill="172B42"/>
          </w:tcPr>
          <w:p>
            <w:pPr>
              <w:spacing w:after="60" w:before="60" w:line="259" w:lineRule="auto"/>
            </w:pPr>
            <w:r>
              <w:rPr>
                <w:b/>
                <w:color w:val="FFFFFF"/>
                <w:sz w:val="18"/>
              </w:rPr>
              <w:t>Definition</w:t>
            </w:r>
          </w:p>
        </w:tc>
      </w:tr>
      <w:tr>
        <w:trPr>
          <w:cantSplit/>
        </w:trPr>
        <w:tc>
          <w:tcPr>
            <w:tcW w:type="dxa" w:w="3096"/>
          </w:tcPr>
          <w:p>
            <w:pPr>
              <w:spacing w:after="60" w:before="60" w:line="259" w:lineRule="auto"/>
            </w:pPr>
            <w:r>
              <w:rPr>
                <w:b w:val="0"/>
                <w:color w:val="243247"/>
                <w:sz w:val="18"/>
              </w:rPr>
              <w:t>Current backlog</w:t>
            </w:r>
          </w:p>
        </w:tc>
        <w:tc>
          <w:tcPr>
            <w:tcW w:type="dxa" w:w="7128"/>
          </w:tcPr>
          <w:p>
            <w:pPr>
              <w:spacing w:after="60" w:before="60" w:line="259" w:lineRule="auto"/>
            </w:pPr>
            <w:r>
              <w:rPr>
                <w:b w:val="0"/>
                <w:color w:val="243247"/>
                <w:sz w:val="18"/>
              </w:rPr>
              <w:t>Open canonical tickets by stage, age, severity and responsible team</w:t>
            </w:r>
          </w:p>
        </w:tc>
      </w:tr>
      <w:tr>
        <w:trPr>
          <w:cantSplit/>
        </w:trPr>
        <w:tc>
          <w:tcPr>
            <w:tcW w:type="dxa" w:w="3096"/>
            <w:shd w:fill="F3F6FA"/>
          </w:tcPr>
          <w:p>
            <w:pPr>
              <w:spacing w:after="60" w:before="60" w:line="259" w:lineRule="auto"/>
            </w:pPr>
            <w:r>
              <w:rPr>
                <w:b w:val="0"/>
                <w:color w:val="243247"/>
                <w:sz w:val="18"/>
              </w:rPr>
              <w:t>Triage time</w:t>
            </w:r>
          </w:p>
        </w:tc>
        <w:tc>
          <w:tcPr>
            <w:tcW w:type="dxa" w:w="7128"/>
            <w:shd w:fill="F3F6FA"/>
          </w:tcPr>
          <w:p>
            <w:pPr>
              <w:spacing w:after="60" w:before="60" w:line="259" w:lineRule="auto"/>
            </w:pPr>
            <w:r>
              <w:rPr>
                <w:b w:val="0"/>
                <w:color w:val="243247"/>
                <w:sz w:val="18"/>
              </w:rPr>
              <w:t>First human triage timestamp minus receipt; report median and 95th percentile</w:t>
            </w:r>
          </w:p>
        </w:tc>
      </w:tr>
      <w:tr>
        <w:trPr>
          <w:cantSplit/>
        </w:trPr>
        <w:tc>
          <w:tcPr>
            <w:tcW w:type="dxa" w:w="3096"/>
          </w:tcPr>
          <w:p>
            <w:pPr>
              <w:spacing w:after="60" w:before="60" w:line="259" w:lineRule="auto"/>
            </w:pPr>
            <w:r>
              <w:rPr>
                <w:b w:val="0"/>
                <w:color w:val="243247"/>
                <w:sz w:val="18"/>
              </w:rPr>
              <w:t>Time to repair claim</w:t>
            </w:r>
          </w:p>
        </w:tc>
        <w:tc>
          <w:tcPr>
            <w:tcW w:type="dxa" w:w="7128"/>
          </w:tcPr>
          <w:p>
            <w:pPr>
              <w:spacing w:after="60" w:before="60" w:line="259" w:lineRule="auto"/>
            </w:pPr>
            <w:r>
              <w:rPr>
                <w:b w:val="0"/>
                <w:color w:val="243247"/>
                <w:sz w:val="18"/>
              </w:rPr>
              <w:t>Completion claim minus confirmed issue time; distinguish dispatch and mobilization</w:t>
            </w:r>
          </w:p>
        </w:tc>
      </w:tr>
      <w:tr>
        <w:trPr>
          <w:cantSplit/>
        </w:trPr>
        <w:tc>
          <w:tcPr>
            <w:tcW w:type="dxa" w:w="3096"/>
            <w:shd w:fill="F3F6FA"/>
          </w:tcPr>
          <w:p>
            <w:pPr>
              <w:spacing w:after="60" w:before="60" w:line="259" w:lineRule="auto"/>
            </w:pPr>
            <w:r>
              <w:rPr>
                <w:b w:val="0"/>
                <w:color w:val="243247"/>
                <w:sz w:val="18"/>
              </w:rPr>
              <w:t>Verification delay</w:t>
            </w:r>
          </w:p>
        </w:tc>
        <w:tc>
          <w:tcPr>
            <w:tcW w:type="dxa" w:w="7128"/>
            <w:shd w:fill="F3F6FA"/>
          </w:tcPr>
          <w:p>
            <w:pPr>
              <w:spacing w:after="60" w:before="60" w:line="259" w:lineRule="auto"/>
            </w:pPr>
            <w:r>
              <w:rPr>
                <w:b w:val="0"/>
                <w:color w:val="243247"/>
                <w:sz w:val="18"/>
              </w:rPr>
              <w:t>Accepted verification time minus completion claim</w:t>
            </w:r>
          </w:p>
        </w:tc>
      </w:tr>
      <w:tr>
        <w:trPr>
          <w:cantSplit/>
        </w:trPr>
        <w:tc>
          <w:tcPr>
            <w:tcW w:type="dxa" w:w="3096"/>
          </w:tcPr>
          <w:p>
            <w:pPr>
              <w:spacing w:after="60" w:before="60" w:line="259" w:lineRule="auto"/>
            </w:pPr>
            <w:r>
              <w:rPr>
                <w:b w:val="0"/>
                <w:color w:val="243247"/>
                <w:sz w:val="18"/>
              </w:rPr>
              <w:t>Closure cohort reopen rate</w:t>
            </w:r>
          </w:p>
        </w:tc>
        <w:tc>
          <w:tcPr>
            <w:tcW w:type="dxa" w:w="7128"/>
          </w:tcPr>
          <w:p>
            <w:pPr>
              <w:spacing w:after="60" w:before="60" w:line="259" w:lineRule="auto"/>
            </w:pPr>
            <w:r>
              <w:rPr>
                <w:b w:val="0"/>
                <w:color w:val="243247"/>
                <w:sz w:val="18"/>
              </w:rPr>
              <w:t>Closed tickets later reopened within a defined window / eligible closure cohort</w:t>
            </w:r>
          </w:p>
        </w:tc>
      </w:tr>
      <w:tr>
        <w:trPr>
          <w:cantSplit/>
        </w:trPr>
        <w:tc>
          <w:tcPr>
            <w:tcW w:type="dxa" w:w="3096"/>
            <w:shd w:fill="F3F6FA"/>
          </w:tcPr>
          <w:p>
            <w:pPr>
              <w:spacing w:after="60" w:before="60" w:line="259" w:lineRule="auto"/>
            </w:pPr>
            <w:r>
              <w:rPr>
                <w:b w:val="0"/>
                <w:color w:val="243247"/>
                <w:sz w:val="18"/>
              </w:rPr>
              <w:t>Warranty recovery</w:t>
            </w:r>
          </w:p>
        </w:tc>
        <w:tc>
          <w:tcPr>
            <w:tcW w:type="dxa" w:w="7128"/>
            <w:shd w:fill="F3F6FA"/>
          </w:tcPr>
          <w:p>
            <w:pPr>
              <w:spacing w:after="60" w:before="60" w:line="259" w:lineRule="auto"/>
            </w:pPr>
            <w:r>
              <w:rPr>
                <w:b w:val="0"/>
                <w:color w:val="243247"/>
                <w:sz w:val="18"/>
              </w:rPr>
              <w:t>Accepted and evidenced avoided costs, separate from candidate claim value</w:t>
            </w:r>
          </w:p>
        </w:tc>
      </w:tr>
      <w:tr>
        <w:trPr>
          <w:cantSplit/>
        </w:trPr>
        <w:tc>
          <w:tcPr>
            <w:tcW w:type="dxa" w:w="3096"/>
          </w:tcPr>
          <w:p>
            <w:pPr>
              <w:spacing w:after="60" w:before="60" w:line="259" w:lineRule="auto"/>
            </w:pPr>
            <w:r>
              <w:rPr>
                <w:b w:val="0"/>
                <w:color w:val="243247"/>
                <w:sz w:val="18"/>
              </w:rPr>
              <w:t>Coverage freshness</w:t>
            </w:r>
          </w:p>
        </w:tc>
        <w:tc>
          <w:tcPr>
            <w:tcW w:type="dxa" w:w="7128"/>
          </w:tcPr>
          <w:p>
            <w:pPr>
              <w:spacing w:after="60" w:before="60" w:line="259" w:lineRule="auto"/>
            </w:pPr>
            <w:r>
              <w:rPr>
                <w:b w:val="0"/>
                <w:color w:val="243247"/>
                <w:sz w:val="18"/>
              </w:rPr>
              <w:t>Time since eligible visible observation for each managed lane segment</w:t>
            </w:r>
          </w:p>
        </w:tc>
      </w:tr>
      <w:tr>
        <w:trPr>
          <w:cantSplit/>
        </w:trPr>
        <w:tc>
          <w:tcPr>
            <w:tcW w:type="dxa" w:w="3096"/>
            <w:shd w:fill="F3F6FA"/>
          </w:tcPr>
          <w:p>
            <w:pPr>
              <w:spacing w:after="60" w:before="60" w:line="259" w:lineRule="auto"/>
            </w:pPr>
            <w:r>
              <w:rPr>
                <w:b w:val="0"/>
                <w:color w:val="243247"/>
                <w:sz w:val="18"/>
              </w:rPr>
              <w:t>Detection quality</w:t>
            </w:r>
          </w:p>
        </w:tc>
        <w:tc>
          <w:tcPr>
            <w:tcW w:type="dxa" w:w="7128"/>
            <w:shd w:fill="F3F6FA"/>
          </w:tcPr>
          <w:p>
            <w:pPr>
              <w:spacing w:after="60" w:before="60" w:line="259" w:lineRule="auto"/>
            </w:pPr>
            <w:r>
              <w:rPr>
                <w:b w:val="0"/>
                <w:color w:val="243247"/>
                <w:sz w:val="18"/>
              </w:rPr>
              <w:t>Event precision, sampled recall, false alerts per route-km and location error</w:t>
            </w:r>
          </w:p>
        </w:tc>
      </w:tr>
      <w:tr>
        <w:trPr>
          <w:cantSplit/>
        </w:trPr>
        <w:tc>
          <w:tcPr>
            <w:tcW w:type="dxa" w:w="3096"/>
          </w:tcPr>
          <w:p>
            <w:pPr>
              <w:spacing w:after="60" w:before="60" w:line="259" w:lineRule="auto"/>
            </w:pPr>
            <w:r>
              <w:rPr>
                <w:b w:val="0"/>
                <w:color w:val="243247"/>
                <w:sz w:val="18"/>
              </w:rPr>
              <w:t>Operational health</w:t>
            </w:r>
          </w:p>
        </w:tc>
        <w:tc>
          <w:tcPr>
            <w:tcW w:type="dxa" w:w="7128"/>
          </w:tcPr>
          <w:p>
            <w:pPr>
              <w:spacing w:after="60" w:before="60" w:line="259" w:lineRule="auto"/>
            </w:pPr>
            <w:r>
              <w:rPr>
                <w:b w:val="0"/>
                <w:color w:val="243247"/>
                <w:sz w:val="18"/>
              </w:rPr>
              <w:t>Device uptime, stale feeds, failed uploads, queue lag and redaction failures</w:t>
            </w:r>
          </w:p>
        </w:tc>
      </w:tr>
    </w:tbl>
    <w:p>
      <w:pPr>
        <w:spacing w:after="20" w:line="240" w:lineRule="auto" w:before="0"/>
      </w:pPr>
      <w:r>
        <w:rPr>
          <w:sz w:val="4"/>
        </w:rPr>
      </w:r>
    </w:p>
    <w:p>
      <w:r>
        <w:t>All aggregates use the same tenant, team, assignment and contractor scopes as case access. An auditor may see organization-wide statistics only if explicitly authorized. Contractors see their own repair performance and assigned cases, not competitor data.</w:t>
      </w:r>
    </w:p>
    <w:p>
      <w:r>
        <w:t>Show labels and icons with colour. Provide keyboard navigation, clear focus, readable contrast, screen-reader labels, accessible tables and an alternative to map-only controls. Do not make severity rely on red/green distinction.</w:t>
      </w:r>
    </w:p>
    <w:p>
      <w:r>
        <w:t>Production mapping requires an authoritative basemap/license choice and a geospatial service. The delivered prototype shows coordinates in case detail and does not pretend that its sample locations are surveyed defect positions.</w:t>
      </w:r>
    </w:p>
    <w:p>
      <w:pPr>
        <w:pStyle w:val="Heading1"/>
        <w:pageBreakBefore/>
      </w:pPr>
      <w:r>
        <w:t>Implementation plan and acceptance tests</w:t>
      </w:r>
    </w:p>
    <w:tbl>
      <w:tblPr>
        <w:tblW w:type="auto" w:w="0"/>
        <w:tblLayout w:type="fixed"/>
        <w:tblLook w:firstColumn="1" w:firstRow="1" w:lastColumn="0" w:lastRow="0" w:noHBand="0" w:noVBand="1" w:val="04A0"/>
      </w:tblPr>
      <w:tblGrid>
        <w:gridCol w:w="3408"/>
        <w:gridCol w:w="3408"/>
        <w:gridCol w:w="3408"/>
      </w:tblGrid>
      <w:tr>
        <w:trPr>
          <w:tblHeader/>
          <w:cantSplit/>
        </w:trPr>
        <w:tc>
          <w:tcPr>
            <w:tcW w:type="dxa" w:w="2304"/>
            <w:shd w:fill="172B42"/>
          </w:tcPr>
          <w:p>
            <w:pPr>
              <w:spacing w:after="60" w:before="60" w:line="259" w:lineRule="auto"/>
            </w:pPr>
            <w:r>
              <w:rPr>
                <w:b/>
                <w:color w:val="FFFFFF"/>
                <w:sz w:val="18"/>
              </w:rPr>
              <w:t>Work package</w:t>
            </w:r>
          </w:p>
        </w:tc>
        <w:tc>
          <w:tcPr>
            <w:tcW w:type="dxa" w:w="3600"/>
            <w:shd w:fill="172B42"/>
          </w:tcPr>
          <w:p>
            <w:pPr>
              <w:spacing w:after="60" w:before="60" w:line="259" w:lineRule="auto"/>
            </w:pPr>
            <w:r>
              <w:rPr>
                <w:b/>
                <w:color w:val="FFFFFF"/>
                <w:sz w:val="18"/>
              </w:rPr>
              <w:t>Planning effort</w:t>
            </w:r>
          </w:p>
        </w:tc>
        <w:tc>
          <w:tcPr>
            <w:tcW w:type="dxa" w:w="4320"/>
            <w:shd w:fill="172B42"/>
          </w:tcPr>
          <w:p>
            <w:pPr>
              <w:spacing w:after="60" w:before="60" w:line="259" w:lineRule="auto"/>
            </w:pPr>
            <w:r>
              <w:rPr>
                <w:b/>
                <w:color w:val="FFFFFF"/>
                <w:sz w:val="18"/>
              </w:rPr>
              <w:t>Acceptance evidence</w:t>
            </w:r>
          </w:p>
        </w:tc>
      </w:tr>
      <w:tr>
        <w:trPr>
          <w:cantSplit/>
        </w:trPr>
        <w:tc>
          <w:tcPr>
            <w:tcW w:type="dxa" w:w="2304"/>
          </w:tcPr>
          <w:p>
            <w:pPr>
              <w:spacing w:after="60" w:before="60" w:line="259" w:lineRule="auto"/>
            </w:pPr>
            <w:r>
              <w:rPr>
                <w:b w:val="0"/>
                <w:color w:val="243247"/>
                <w:sz w:val="18"/>
              </w:rPr>
              <w:t>Discovery and contract model</w:t>
            </w:r>
          </w:p>
        </w:tc>
        <w:tc>
          <w:tcPr>
            <w:tcW w:type="dxa" w:w="3600"/>
          </w:tcPr>
          <w:p>
            <w:pPr>
              <w:spacing w:after="60" w:before="60" w:line="259" w:lineRule="auto"/>
            </w:pPr>
            <w:r>
              <w:rPr>
                <w:b w:val="0"/>
                <w:color w:val="243247"/>
                <w:sz w:val="18"/>
              </w:rPr>
              <w:t>3 to 5 person-weeks</w:t>
            </w:r>
          </w:p>
        </w:tc>
        <w:tc>
          <w:tcPr>
            <w:tcW w:type="dxa" w:w="4320"/>
          </w:tcPr>
          <w:p>
            <w:pPr>
              <w:spacing w:after="60" w:before="60" w:line="259" w:lineRule="auto"/>
            </w:pPr>
            <w:r>
              <w:rPr>
                <w:b w:val="0"/>
                <w:color w:val="243247"/>
                <w:sz w:val="18"/>
              </w:rPr>
              <w:t>Requirements, sample data, authority mapping and privacy plan</w:t>
            </w:r>
          </w:p>
        </w:tc>
      </w:tr>
      <w:tr>
        <w:trPr>
          <w:cantSplit/>
        </w:trPr>
        <w:tc>
          <w:tcPr>
            <w:tcW w:type="dxa" w:w="2304"/>
            <w:shd w:fill="F3F6FA"/>
          </w:tcPr>
          <w:p>
            <w:pPr>
              <w:spacing w:after="60" w:before="60" w:line="259" w:lineRule="auto"/>
            </w:pPr>
            <w:r>
              <w:rPr>
                <w:b w:val="0"/>
                <w:color w:val="243247"/>
                <w:sz w:val="18"/>
              </w:rPr>
              <w:t>Platform and permissions</w:t>
            </w:r>
          </w:p>
        </w:tc>
        <w:tc>
          <w:tcPr>
            <w:tcW w:type="dxa" w:w="3600"/>
            <w:shd w:fill="F3F6FA"/>
          </w:tcPr>
          <w:p>
            <w:pPr>
              <w:spacing w:after="60" w:before="60" w:line="259" w:lineRule="auto"/>
            </w:pPr>
            <w:r>
              <w:rPr>
                <w:b w:val="0"/>
                <w:color w:val="243247"/>
                <w:sz w:val="18"/>
              </w:rPr>
              <w:t>8 to 12 person-weeks</w:t>
            </w:r>
          </w:p>
        </w:tc>
        <w:tc>
          <w:tcPr>
            <w:tcW w:type="dxa" w:w="4320"/>
            <w:shd w:fill="F3F6FA"/>
          </w:tcPr>
          <w:p>
            <w:pPr>
              <w:spacing w:after="60" w:before="60" w:line="259" w:lineRule="auto"/>
            </w:pPr>
            <w:r>
              <w:rPr>
                <w:b w:val="0"/>
                <w:color w:val="243247"/>
                <w:sz w:val="18"/>
              </w:rPr>
              <w:t>Isolation tests, workflow engine, audit and assignment</w:t>
            </w:r>
          </w:p>
        </w:tc>
      </w:tr>
      <w:tr>
        <w:trPr>
          <w:cantSplit/>
        </w:trPr>
        <w:tc>
          <w:tcPr>
            <w:tcW w:type="dxa" w:w="2304"/>
          </w:tcPr>
          <w:p>
            <w:pPr>
              <w:spacing w:after="60" w:before="60" w:line="259" w:lineRule="auto"/>
            </w:pPr>
            <w:r>
              <w:rPr>
                <w:b w:val="0"/>
                <w:color w:val="243247"/>
                <w:sz w:val="18"/>
              </w:rPr>
              <w:t>Capture and ingestion</w:t>
            </w:r>
          </w:p>
        </w:tc>
        <w:tc>
          <w:tcPr>
            <w:tcW w:type="dxa" w:w="3600"/>
          </w:tcPr>
          <w:p>
            <w:pPr>
              <w:spacing w:after="60" w:before="60" w:line="259" w:lineRule="auto"/>
            </w:pPr>
            <w:r>
              <w:rPr>
                <w:b w:val="0"/>
                <w:color w:val="243247"/>
                <w:sz w:val="18"/>
              </w:rPr>
              <w:t>8 to 12 person-weeks</w:t>
            </w:r>
          </w:p>
        </w:tc>
        <w:tc>
          <w:tcPr>
            <w:tcW w:type="dxa" w:w="4320"/>
          </w:tcPr>
          <w:p>
            <w:pPr>
              <w:spacing w:after="60" w:before="60" w:line="259" w:lineRule="auto"/>
            </w:pPr>
            <w:r>
              <w:rPr>
                <w:b w:val="0"/>
                <w:color w:val="243247"/>
                <w:sz w:val="18"/>
              </w:rPr>
              <w:t>Offline recovery, signed events, field mount and clock tests</w:t>
            </w:r>
          </w:p>
        </w:tc>
      </w:tr>
      <w:tr>
        <w:trPr>
          <w:cantSplit/>
        </w:trPr>
        <w:tc>
          <w:tcPr>
            <w:tcW w:type="dxa" w:w="2304"/>
            <w:shd w:fill="F3F6FA"/>
          </w:tcPr>
          <w:p>
            <w:pPr>
              <w:spacing w:after="60" w:before="60" w:line="259" w:lineRule="auto"/>
            </w:pPr>
            <w:r>
              <w:rPr>
                <w:b w:val="0"/>
                <w:color w:val="243247"/>
                <w:sz w:val="18"/>
              </w:rPr>
              <w:t>Vision and location</w:t>
            </w:r>
          </w:p>
        </w:tc>
        <w:tc>
          <w:tcPr>
            <w:tcW w:type="dxa" w:w="3600"/>
            <w:shd w:fill="F3F6FA"/>
          </w:tcPr>
          <w:p>
            <w:pPr>
              <w:spacing w:after="60" w:before="60" w:line="259" w:lineRule="auto"/>
            </w:pPr>
            <w:r>
              <w:rPr>
                <w:b w:val="0"/>
                <w:color w:val="243247"/>
                <w:sz w:val="18"/>
              </w:rPr>
              <w:t>10 to 16 person-weeks</w:t>
            </w:r>
          </w:p>
        </w:tc>
        <w:tc>
          <w:tcPr>
            <w:tcW w:type="dxa" w:w="4320"/>
            <w:shd w:fill="F3F6FA"/>
          </w:tcPr>
          <w:p>
            <w:pPr>
              <w:spacing w:after="60" w:before="60" w:line="259" w:lineRule="auto"/>
            </w:pPr>
            <w:r>
              <w:rPr>
                <w:b w:val="0"/>
                <w:color w:val="243247"/>
                <w:sz w:val="18"/>
              </w:rPr>
              <w:t>Local benchmark, negative sampling and surveyed location error</w:t>
            </w:r>
          </w:p>
        </w:tc>
      </w:tr>
      <w:tr>
        <w:trPr>
          <w:cantSplit/>
        </w:trPr>
        <w:tc>
          <w:tcPr>
            <w:tcW w:type="dxa" w:w="2304"/>
          </w:tcPr>
          <w:p>
            <w:pPr>
              <w:spacing w:after="60" w:before="60" w:line="259" w:lineRule="auto"/>
            </w:pPr>
            <w:r>
              <w:rPr>
                <w:b w:val="0"/>
                <w:color w:val="243247"/>
                <w:sz w:val="18"/>
              </w:rPr>
              <w:t>Warranty and notices</w:t>
            </w:r>
          </w:p>
        </w:tc>
        <w:tc>
          <w:tcPr>
            <w:tcW w:type="dxa" w:w="3600"/>
          </w:tcPr>
          <w:p>
            <w:pPr>
              <w:spacing w:after="60" w:before="60" w:line="259" w:lineRule="auto"/>
            </w:pPr>
            <w:r>
              <w:rPr>
                <w:b w:val="0"/>
                <w:color w:val="243247"/>
                <w:sz w:val="18"/>
              </w:rPr>
              <w:t>6 to 10 person-weeks</w:t>
            </w:r>
          </w:p>
        </w:tc>
        <w:tc>
          <w:tcPr>
            <w:tcW w:type="dxa" w:w="4320"/>
          </w:tcPr>
          <w:p>
            <w:pPr>
              <w:spacing w:after="60" w:before="60" w:line="259" w:lineRule="auto"/>
            </w:pPr>
            <w:r>
              <w:rPr>
                <w:b w:val="0"/>
                <w:color w:val="243247"/>
                <w:sz w:val="18"/>
              </w:rPr>
              <w:t>Clause review, ambiguous cases, idempotent dispatch</w:t>
            </w:r>
          </w:p>
        </w:tc>
      </w:tr>
      <w:tr>
        <w:trPr>
          <w:cantSplit/>
        </w:trPr>
        <w:tc>
          <w:tcPr>
            <w:tcW w:type="dxa" w:w="2304"/>
            <w:shd w:fill="F3F6FA"/>
          </w:tcPr>
          <w:p>
            <w:pPr>
              <w:spacing w:after="60" w:before="60" w:line="259" w:lineRule="auto"/>
            </w:pPr>
            <w:r>
              <w:rPr>
                <w:b w:val="0"/>
                <w:color w:val="243247"/>
                <w:sz w:val="18"/>
              </w:rPr>
              <w:t>Verification and analytics</w:t>
            </w:r>
          </w:p>
        </w:tc>
        <w:tc>
          <w:tcPr>
            <w:tcW w:type="dxa" w:w="3600"/>
            <w:shd w:fill="F3F6FA"/>
          </w:tcPr>
          <w:p>
            <w:pPr>
              <w:spacing w:after="60" w:before="60" w:line="259" w:lineRule="auto"/>
            </w:pPr>
            <w:r>
              <w:rPr>
                <w:b w:val="0"/>
                <w:color w:val="243247"/>
                <w:sz w:val="18"/>
              </w:rPr>
              <w:t>5 to 8 person-weeks</w:t>
            </w:r>
          </w:p>
        </w:tc>
        <w:tc>
          <w:tcPr>
            <w:tcW w:type="dxa" w:w="4320"/>
            <w:shd w:fill="F3F6FA"/>
          </w:tcPr>
          <w:p>
            <w:pPr>
              <w:spacing w:after="60" w:before="60" w:line="259" w:lineRule="auto"/>
            </w:pPr>
            <w:r>
              <w:rPr>
                <w:b w:val="0"/>
                <w:color w:val="243247"/>
                <w:sz w:val="18"/>
              </w:rPr>
              <w:t>Clear-pass gate, reopen history and scoped cohort reports</w:t>
            </w:r>
          </w:p>
        </w:tc>
      </w:tr>
      <w:tr>
        <w:trPr>
          <w:cantSplit/>
        </w:trPr>
        <w:tc>
          <w:tcPr>
            <w:tcW w:type="dxa" w:w="2304"/>
          </w:tcPr>
          <w:p>
            <w:pPr>
              <w:spacing w:after="60" w:before="60" w:line="259" w:lineRule="auto"/>
            </w:pPr>
            <w:r>
              <w:rPr>
                <w:b w:val="0"/>
                <w:color w:val="243247"/>
                <w:sz w:val="18"/>
              </w:rPr>
              <w:t>Hardening and operations</w:t>
            </w:r>
          </w:p>
        </w:tc>
        <w:tc>
          <w:tcPr>
            <w:tcW w:type="dxa" w:w="3600"/>
          </w:tcPr>
          <w:p>
            <w:pPr>
              <w:spacing w:after="60" w:before="60" w:line="259" w:lineRule="auto"/>
            </w:pPr>
            <w:r>
              <w:rPr>
                <w:b w:val="0"/>
                <w:color w:val="243247"/>
                <w:sz w:val="18"/>
              </w:rPr>
              <w:t>8 to 12 person-weeks</w:t>
            </w:r>
          </w:p>
        </w:tc>
        <w:tc>
          <w:tcPr>
            <w:tcW w:type="dxa" w:w="4320"/>
          </w:tcPr>
          <w:p>
            <w:pPr>
              <w:spacing w:after="60" w:before="60" w:line="259" w:lineRule="auto"/>
            </w:pPr>
            <w:r>
              <w:rPr>
                <w:b w:val="0"/>
                <w:color w:val="243247"/>
                <w:sz w:val="18"/>
              </w:rPr>
              <w:t>Pen test, accessible flows, restoration and load test</w:t>
            </w:r>
          </w:p>
        </w:tc>
      </w:tr>
    </w:tbl>
    <w:p>
      <w:pPr>
        <w:spacing w:after="20" w:line="240" w:lineRule="auto" w:before="0"/>
      </w:pPr>
      <w:r>
        <w:rPr>
          <w:sz w:val="4"/>
        </w:rPr>
      </w:r>
    </w:p>
    <w:p>
      <w:r>
        <w:t>Total planning effort is 48 to 75 person-weeks before material procurement delays or additional integrations. With parallel work by a small competent team, plan a first field pilot over four to six months and production hardening thereafter. These are engineering estimates, not fixed bids.</w:t>
      </w:r>
    </w:p>
    <w:p>
      <w:pPr>
        <w:pStyle w:val="Heading2"/>
      </w:pPr>
      <w:r>
        <w:t>Tests that must pass</w:t>
      </w:r>
    </w:p>
    <w:p>
      <w:pPr>
        <w:pStyle w:val="ListBullet"/>
      </w:pPr>
      <w:r>
        <w:t>Tenant A cannot list, fetch, search, export or download Tenant B records, including guessed IDs and signed-object paths.</w:t>
      </w:r>
    </w:p>
    <w:p>
      <w:pPr>
        <w:pStyle w:val="ListBullet"/>
      </w:pPr>
      <w:r>
        <w:t>A contractor cannot close a case, read another firm's job or change responsibility. An analyst cannot create an admin membership.</w:t>
      </w:r>
    </w:p>
    <w:p>
      <w:pPr>
        <w:pStyle w:val="ListBullet"/>
      </w:pPr>
      <w:r>
        <w:t>Two simultaneous assignments produce one accepted update and one visible conflict without losing notes. Replayed upload and notice events are idempotent.</w:t>
      </w:r>
    </w:p>
    <w:p>
      <w:pPr>
        <w:pStyle w:val="ListBullet"/>
      </w:pPr>
      <w:r>
        <w:t>A nearby pothole in another lane remains distinct. Bad GPS produces uncertainty rather than false precision.</w:t>
      </w:r>
    </w:p>
    <w:p>
      <w:pPr>
        <w:pStyle w:val="ListBullet"/>
      </w:pPr>
      <w:r>
        <w:t>An expired warranty, overlapping scopes, missing acceptance date and disputed responsibility never silently trigger a demand.</w:t>
      </w:r>
    </w:p>
    <w:p>
      <w:pPr>
        <w:pStyle w:val="ListBullet"/>
      </w:pPr>
      <w:r>
        <w:t>No repair closes when the next pass is snowy, occluded, in the wrong lane or before the claimed repair time.</w:t>
      </w:r>
    </w:p>
    <w:p>
      <w:pPr>
        <w:pStyle w:val="ListBullet"/>
      </w:pPr>
      <w:r>
        <w:t>Reopening preserves original ID, repair attempts and earlier evidence. Analytics distinguish current reopens from historical ones.</w:t>
      </w:r>
    </w:p>
    <w:p>
      <w:pPr>
        <w:pStyle w:val="ListBullet"/>
      </w:pPr>
      <w:r>
        <w:t>Backup restoration recovers cases, media references, memberships and audit events to the agreed recovery point.</w:t>
      </w:r>
    </w:p>
    <w:p>
      <w:pPr>
        <w:pStyle w:val="Heading1"/>
        <w:pageBreakBefore/>
      </w:pPr>
      <w:r>
        <w:t>Prototype guide and production gap</w:t>
      </w:r>
    </w:p>
    <w:p>
      <w:pPr>
        <w:pStyle w:val="Heading2"/>
      </w:pPr>
      <w:r>
        <w:t>Review the demonstration</w:t>
      </w:r>
    </w:p>
    <w:p>
      <w:pPr>
        <w:pStyle w:val="ListBullet"/>
      </w:pPr>
      <w:r>
        <w:t>Open the workspace and review the attention queue and stage counts. Open King Street East to inspect the image, coordinates, evidence caveats and history.</w:t>
      </w:r>
    </w:p>
    <w:p>
      <w:pPr>
        <w:pStyle w:val="ListBullet"/>
      </w:pPr>
      <w:r>
        <w:t>Use Assignment to choose a team and analyst. Save to create an in-app alert. Preview Avery Chen to see the analyst's assigned scope.</w:t>
      </w:r>
    </w:p>
    <w:p>
      <w:pPr>
        <w:pStyle w:val="ListBullet"/>
      </w:pPr>
      <w:r>
        <w:t>Move an assigned case through Investigating and Confirmed, adding a reason at every change.</w:t>
      </w:r>
    </w:p>
    <w:p>
      <w:pPr>
        <w:pStyle w:val="ListBullet"/>
      </w:pPr>
      <w:r>
        <w:t>For a King Street East case, select its active demonstration contract and confirm scope before preparing a notice. Download the draft to inspect its contents. No message is sent.</w:t>
      </w:r>
    </w:p>
    <w:p>
      <w:pPr>
        <w:pStyle w:val="ListBullet"/>
      </w:pPr>
      <w:r>
        <w:t>Move a repair to Awaiting verification. The demonstration requires explicit reviewer confirmation before Verified closed. Reopen it to see the retained history and analytics change.</w:t>
      </w:r>
    </w:p>
    <w:p>
      <w:pPr>
        <w:pStyle w:val="ListBullet"/>
      </w:pPr>
      <w:r>
        <w:t>Preview a contractor or auditor to inspect restricted actions. As admin, create a team or add a membership record. No invitation is sent.</w:t>
      </w:r>
    </w:p>
    <w:p>
      <w:pPr>
        <w:pStyle w:val="ListBullet"/>
      </w:pPr>
      <w:r>
        <w:t>Reload the page to confirm saved records persist. Use search, stage filters and CSV export to review the permitted cases.</w:t>
      </w:r>
    </w:p>
    <w:tbl>
      <w:tblPr>
        <w:tblW w:type="auto" w:w="0"/>
        <w:tblLayout w:type="fixed"/>
        <w:tblLook w:firstColumn="1" w:firstRow="1" w:lastColumn="0" w:lastRow="0" w:noHBand="0" w:noVBand="1" w:val="04A0"/>
      </w:tblPr>
      <w:tblGrid>
        <w:gridCol w:w="5112"/>
        <w:gridCol w:w="5112"/>
      </w:tblGrid>
      <w:tr>
        <w:trPr>
          <w:tblHeader/>
          <w:cantSplit/>
        </w:trPr>
        <w:tc>
          <w:tcPr>
            <w:tcW w:type="dxa" w:w="3096"/>
            <w:shd w:fill="172B42"/>
          </w:tcPr>
          <w:p>
            <w:pPr>
              <w:spacing w:after="60" w:before="60" w:line="259" w:lineRule="auto"/>
            </w:pPr>
            <w:r>
              <w:rPr>
                <w:b/>
                <w:color w:val="FFFFFF"/>
                <w:sz w:val="18"/>
              </w:rPr>
              <w:t>Implemented in this package</w:t>
            </w:r>
          </w:p>
        </w:tc>
        <w:tc>
          <w:tcPr>
            <w:tcW w:type="dxa" w:w="7128"/>
            <w:shd w:fill="172B42"/>
          </w:tcPr>
          <w:p>
            <w:pPr>
              <w:spacing w:after="60" w:before="60" w:line="259" w:lineRule="auto"/>
            </w:pPr>
            <w:r>
              <w:rPr>
                <w:b/>
                <w:color w:val="FFFFFF"/>
                <w:sz w:val="18"/>
              </w:rPr>
              <w:t>Requires production development</w:t>
            </w:r>
          </w:p>
        </w:tc>
      </w:tr>
      <w:tr>
        <w:trPr>
          <w:cantSplit/>
        </w:trPr>
        <w:tc>
          <w:tcPr>
            <w:tcW w:type="dxa" w:w="3096"/>
          </w:tcPr>
          <w:p>
            <w:pPr>
              <w:spacing w:after="60" w:before="60" w:line="259" w:lineRule="auto"/>
            </w:pPr>
            <w:r>
              <w:rPr>
                <w:b w:val="0"/>
                <w:color w:val="243247"/>
                <w:sz w:val="18"/>
              </w:rPr>
              <w:t>Private access and persistent single workspace</w:t>
            </w:r>
          </w:p>
        </w:tc>
        <w:tc>
          <w:tcPr>
            <w:tcW w:type="dxa" w:w="7128"/>
          </w:tcPr>
          <w:p>
            <w:pPr>
              <w:spacing w:after="60" w:before="60" w:line="259" w:lineRule="auto"/>
            </w:pPr>
            <w:r>
              <w:rPr>
                <w:b w:val="0"/>
                <w:color w:val="243247"/>
                <w:sz w:val="18"/>
              </w:rPr>
              <w:t>Customer SSO, multi-tenant onboarding and enterprise access lifecycle</w:t>
            </w:r>
          </w:p>
        </w:tc>
      </w:tr>
      <w:tr>
        <w:trPr>
          <w:cantSplit/>
        </w:trPr>
        <w:tc>
          <w:tcPr>
            <w:tcW w:type="dxa" w:w="3096"/>
            <w:shd w:fill="F3F6FA"/>
          </w:tcPr>
          <w:p>
            <w:pPr>
              <w:spacing w:after="60" w:before="60" w:line="259" w:lineRule="auto"/>
            </w:pPr>
            <w:r>
              <w:rPr>
                <w:b w:val="0"/>
                <w:color w:val="243247"/>
                <w:sz w:val="18"/>
              </w:rPr>
              <w:t>Server-enforced role checks and scope filters</w:t>
            </w:r>
          </w:p>
        </w:tc>
        <w:tc>
          <w:tcPr>
            <w:tcW w:type="dxa" w:w="7128"/>
            <w:shd w:fill="F3F6FA"/>
          </w:tcPr>
          <w:p>
            <w:pPr>
              <w:spacing w:after="60" w:before="60" w:line="259" w:lineRule="auto"/>
            </w:pPr>
            <w:r>
              <w:rPr>
                <w:b w:val="0"/>
                <w:color w:val="243247"/>
                <w:sz w:val="18"/>
              </w:rPr>
              <w:t>Fine-grained geographic policies and independent security validation</w:t>
            </w:r>
          </w:p>
        </w:tc>
      </w:tr>
      <w:tr>
        <w:trPr>
          <w:cantSplit/>
        </w:trPr>
        <w:tc>
          <w:tcPr>
            <w:tcW w:type="dxa" w:w="3096"/>
          </w:tcPr>
          <w:p>
            <w:pPr>
              <w:spacing w:after="60" w:before="60" w:line="259" w:lineRule="auto"/>
            </w:pPr>
            <w:r>
              <w:rPr>
                <w:b w:val="0"/>
                <w:color w:val="243247"/>
                <w:sz w:val="18"/>
              </w:rPr>
              <w:t>Unique IDs, assignments, stage history and in-app alerts</w:t>
            </w:r>
          </w:p>
        </w:tc>
        <w:tc>
          <w:tcPr>
            <w:tcW w:type="dxa" w:w="7128"/>
          </w:tcPr>
          <w:p>
            <w:pPr>
              <w:spacing w:after="60" w:before="60" w:line="259" w:lineRule="auto"/>
            </w:pPr>
            <w:r>
              <w:rPr>
                <w:b w:val="0"/>
                <w:color w:val="243247"/>
                <w:sz w:val="18"/>
              </w:rPr>
              <w:t>Durable normalized audit store, clocks, escalation and notification integrations</w:t>
            </w:r>
          </w:p>
        </w:tc>
      </w:tr>
      <w:tr>
        <w:trPr>
          <w:cantSplit/>
        </w:trPr>
        <w:tc>
          <w:tcPr>
            <w:tcW w:type="dxa" w:w="3096"/>
            <w:shd w:fill="F3F6FA"/>
          </w:tcPr>
          <w:p>
            <w:pPr>
              <w:spacing w:after="60" w:before="60" w:line="259" w:lineRule="auto"/>
            </w:pPr>
            <w:r>
              <w:rPr>
                <w:b w:val="0"/>
                <w:color w:val="243247"/>
                <w:sz w:val="18"/>
              </w:rPr>
              <w:t>Contract examples and reviewed draft notice</w:t>
            </w:r>
          </w:p>
        </w:tc>
        <w:tc>
          <w:tcPr>
            <w:tcW w:type="dxa" w:w="7128"/>
            <w:shd w:fill="F3F6FA"/>
          </w:tcPr>
          <w:p>
            <w:pPr>
              <w:spacing w:after="60" w:before="60" w:line="259" w:lineRule="auto"/>
            </w:pPr>
            <w:r>
              <w:rPr>
                <w:b w:val="0"/>
                <w:color w:val="243247"/>
                <w:sz w:val="18"/>
              </w:rPr>
              <w:t>Real contract ingestion, spatial matching, approval policies and external delivery</w:t>
            </w:r>
          </w:p>
        </w:tc>
      </w:tr>
      <w:tr>
        <w:trPr>
          <w:cantSplit/>
        </w:trPr>
        <w:tc>
          <w:tcPr>
            <w:tcW w:type="dxa" w:w="3096"/>
          </w:tcPr>
          <w:p>
            <w:pPr>
              <w:spacing w:after="60" w:before="60" w:line="259" w:lineRule="auto"/>
            </w:pPr>
            <w:r>
              <w:rPr>
                <w:b w:val="0"/>
                <w:color w:val="243247"/>
                <w:sz w:val="18"/>
              </w:rPr>
              <w:t>Illustrative evidence and verification action</w:t>
            </w:r>
          </w:p>
        </w:tc>
        <w:tc>
          <w:tcPr>
            <w:tcW w:type="dxa" w:w="7128"/>
          </w:tcPr>
          <w:p>
            <w:pPr>
              <w:spacing w:after="60" w:before="60" w:line="259" w:lineRule="auto"/>
            </w:pPr>
            <w:r>
              <w:rPr>
                <w:b w:val="0"/>
                <w:color w:val="243247"/>
                <w:sz w:val="18"/>
              </w:rPr>
              <w:t>Live inference, signed fleet capture, real media upload and matched repeat passes</w:t>
            </w:r>
          </w:p>
        </w:tc>
      </w:tr>
      <w:tr>
        <w:trPr>
          <w:cantSplit/>
        </w:trPr>
        <w:tc>
          <w:tcPr>
            <w:tcW w:type="dxa" w:w="3096"/>
            <w:shd w:fill="F3F6FA"/>
          </w:tcPr>
          <w:p>
            <w:pPr>
              <w:spacing w:after="60" w:before="60" w:line="259" w:lineRule="auto"/>
            </w:pPr>
            <w:r>
              <w:rPr>
                <w:b w:val="0"/>
                <w:color w:val="243247"/>
                <w:sz w:val="18"/>
              </w:rPr>
              <w:t>Responsive web and scoped basic analytics</w:t>
            </w:r>
          </w:p>
        </w:tc>
        <w:tc>
          <w:tcPr>
            <w:tcW w:type="dxa" w:w="7128"/>
            <w:shd w:fill="F3F6FA"/>
          </w:tcPr>
          <w:p>
            <w:pPr>
              <w:spacing w:after="60" w:before="60" w:line="259" w:lineRule="auto"/>
            </w:pPr>
            <w:r>
              <w:rPr>
                <w:b w:val="0"/>
                <w:color w:val="243247"/>
                <w:sz w:val="18"/>
              </w:rPr>
              <w:t>Managed mobile capture app, mapping, production metrics and billing</w:t>
            </w:r>
          </w:p>
        </w:tc>
      </w:tr>
    </w:tbl>
    <w:p>
      <w:pPr>
        <w:spacing w:after="20" w:line="240" w:lineRule="auto" w:before="0"/>
      </w:pPr>
      <w:r>
        <w:rPr>
          <w:sz w:val="4"/>
        </w:rPr>
      </w:r>
    </w:p>
    <w:p>
      <w:r>
        <w:t>The prototype is intended for concept review with fictional data. It should not receive live municipal evidence or be presented as an operational road-inspection service. The production rollout gate is completion of the architecture, field validation and customer-specific controls described in this specification.</w:t>
      </w:r>
    </w:p>
    <w:p>
      <w:r>
        <w:t>Technical and policy references are listed in the business plan as S5, S6 and S9-S11.</w:t>
      </w:r>
    </w:p>
    <w:sectPr w:rsidR="00FC693F" w:rsidRPr="0006063C" w:rsidSect="00034616">
      <w:footerReference w:type="default" r:id="rId9"/>
      <w:pgSz w:w="12240" w:h="15840"/>
      <w:pgMar w:top="893"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A8596"/>
        <w:sz w:val="16"/>
      </w:rPr>
      <w:t xml:space="preserve">PaveLedger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Arial" w:hAnsi="Arial"/>
      <w:b/>
      <w:bCs/>
      <w:color w:val="172B42"/>
      <w:sz w:val="38"/>
      <w:szCs w:val="28"/>
    </w:rPr>
  </w:style>
  <w:style w:type="paragraph" w:styleId="Heading2">
    <w:name w:val="heading 2"/>
    <w:basedOn w:val="Normal"/>
    <w:next w:val="Normal"/>
    <w:link w:val="Heading2Char"/>
    <w:uiPriority w:val="9"/>
    <w:unhideWhenUsed/>
    <w:qFormat/>
    <w:rsid w:val="00FC693F"/>
    <w:pPr>
      <w:keepNext/>
      <w:keepLines/>
      <w:spacing w:before="200" w:after="240"/>
      <w:outlineLvl w:val="1"/>
    </w:pPr>
    <w:rPr>
      <w:rFonts w:asciiTheme="majorHAnsi" w:eastAsiaTheme="majorEastAsia" w:hAnsiTheme="majorHAnsi" w:cstheme="majorBidi" w:ascii="Arial" w:hAnsi="Arial"/>
      <w:b/>
      <w:bCs/>
      <w:color w:val="172B4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PaveLedger platform engineering design</dc:title>
  <dc:subject>PaveLedger platform concept</dc:subject>
  <dc:creator>PaveLedger project</dc:creator>
  <cp:keywords>road safety, investigations, warranty, Canada</cp:keywords>
  <dc:description>generated by python-docx</dc:description>
  <cp:lastModifiedBy/>
  <cp:revision>1</cp:revision>
  <dcterms:created xsi:type="dcterms:W3CDTF">2013-12-23T23:15:00Z</dcterms:created>
  <dcterms:modified xsi:type="dcterms:W3CDTF">2013-12-23T23:15:00Z</dcterms:modified>
  <cp:category/>
</cp:coreProperties>
</file>