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2F1" w:rsidRDefault="001122F1" w:rsidP="001122F1">
      <w:pPr>
        <w:ind w:firstLineChars="0" w:firstLine="0"/>
        <w:rPr>
          <w:rFonts w:ascii="黑体" w:eastAsia="黑体" w:hAnsi="黑体"/>
          <w:sz w:val="28"/>
        </w:rPr>
      </w:pPr>
      <w:r>
        <w:rPr>
          <w:rFonts w:ascii="黑体" w:eastAsia="黑体" w:hAnsi="黑体" w:hint="eastAsia"/>
          <w:sz w:val="28"/>
        </w:rPr>
        <w:t>六、上年度高新技术产品（服务）情况表（按单一产品（服务）填报）</w:t>
      </w:r>
    </w:p>
    <w:p w:rsidR="001122F1" w:rsidRDefault="001122F1" w:rsidP="001122F1">
      <w:pPr>
        <w:ind w:firstLineChars="0" w:firstLine="0"/>
        <w:rPr>
          <w:rFonts w:ascii="仿宋_GB2312" w:hAnsi="仿宋_GB2312"/>
          <w:sz w:val="24"/>
          <w:szCs w:val="24"/>
        </w:rPr>
      </w:pPr>
      <w:r>
        <w:rPr>
          <w:rFonts w:ascii="仿宋_GB2312" w:hAnsi="仿宋_GB2312" w:hint="eastAsia"/>
          <w:sz w:val="24"/>
          <w:szCs w:val="24"/>
        </w:rPr>
        <w:t>编号：PS…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0"/>
        <w:gridCol w:w="2642"/>
        <w:gridCol w:w="2468"/>
        <w:gridCol w:w="1774"/>
      </w:tblGrid>
      <w:tr w:rsidR="001122F1" w:rsidTr="00FD7D0F">
        <w:trPr>
          <w:cantSplit/>
          <w:trHeight w:val="850"/>
          <w:jc w:val="center"/>
        </w:trPr>
        <w:tc>
          <w:tcPr>
            <w:tcW w:w="1960" w:type="dxa"/>
            <w:tcBorders>
              <w:bottom w:val="single" w:sz="4" w:space="0" w:color="auto"/>
            </w:tcBorders>
            <w:vAlign w:val="center"/>
          </w:tcPr>
          <w:p w:rsidR="001122F1" w:rsidRDefault="001122F1" w:rsidP="00FD7D0F">
            <w:pPr>
              <w:widowControl/>
              <w:spacing w:line="240" w:lineRule="auto"/>
              <w:ind w:firstLineChars="0" w:firstLine="0"/>
              <w:rPr>
                <w:rFonts w:hAnsi="仿宋_GB2312"/>
                <w:spacing w:val="-8"/>
                <w:sz w:val="24"/>
                <w:szCs w:val="24"/>
              </w:rPr>
            </w:pPr>
            <w:r>
              <w:rPr>
                <w:rFonts w:hAnsi="仿宋_GB2312" w:hint="eastAsia"/>
                <w:spacing w:val="-8"/>
                <w:sz w:val="24"/>
                <w:szCs w:val="24"/>
              </w:rPr>
              <w:t>产品（服务）名称</w:t>
            </w:r>
          </w:p>
        </w:tc>
        <w:tc>
          <w:tcPr>
            <w:tcW w:w="6884" w:type="dxa"/>
            <w:gridSpan w:val="3"/>
            <w:tcBorders>
              <w:bottom w:val="single" w:sz="4" w:space="0" w:color="auto"/>
            </w:tcBorders>
            <w:vAlign w:val="center"/>
          </w:tcPr>
          <w:p w:rsidR="001122F1" w:rsidRDefault="00056E39" w:rsidP="00FD7D0F">
            <w:pPr>
              <w:widowControl/>
              <w:spacing w:line="240" w:lineRule="auto"/>
              <w:ind w:firstLineChars="0" w:firstLine="0"/>
              <w:rPr>
                <w:rFonts w:hAnsi="仿宋_GB2312"/>
                <w:sz w:val="24"/>
                <w:szCs w:val="24"/>
              </w:rPr>
            </w:pPr>
            <w:r w:rsidRPr="008F3515">
              <w:rPr>
                <w:rFonts w:hAnsi="仿宋_GB2312" w:hint="eastAsia"/>
                <w:sz w:val="24"/>
                <w:szCs w:val="24"/>
              </w:rPr>
              <w:t>电力用户用电信息采集系统</w:t>
            </w:r>
            <w:r>
              <w:rPr>
                <w:rFonts w:hAnsi="仿宋_GB2312" w:hint="eastAsia"/>
                <w:sz w:val="24"/>
                <w:szCs w:val="24"/>
              </w:rPr>
              <w:t>软件</w:t>
            </w:r>
          </w:p>
        </w:tc>
      </w:tr>
      <w:tr w:rsidR="001122F1" w:rsidTr="00FD7D0F">
        <w:trPr>
          <w:cantSplit/>
          <w:trHeight w:val="850"/>
          <w:jc w:val="center"/>
        </w:trPr>
        <w:tc>
          <w:tcPr>
            <w:tcW w:w="1960" w:type="dxa"/>
            <w:tcBorders>
              <w:bottom w:val="single" w:sz="4" w:space="0" w:color="auto"/>
            </w:tcBorders>
            <w:vAlign w:val="center"/>
          </w:tcPr>
          <w:p w:rsidR="001122F1" w:rsidRDefault="001122F1" w:rsidP="00FD7D0F">
            <w:pPr>
              <w:widowControl/>
              <w:spacing w:line="240" w:lineRule="auto"/>
              <w:ind w:firstLineChars="0" w:firstLine="0"/>
              <w:jc w:val="center"/>
              <w:rPr>
                <w:rFonts w:hAnsi="仿宋_GB2312"/>
                <w:sz w:val="24"/>
                <w:szCs w:val="24"/>
              </w:rPr>
            </w:pPr>
            <w:r>
              <w:rPr>
                <w:rFonts w:hAnsi="仿宋_GB2312" w:hint="eastAsia"/>
                <w:sz w:val="24"/>
                <w:szCs w:val="24"/>
              </w:rPr>
              <w:t>技术领域</w:t>
            </w:r>
          </w:p>
        </w:tc>
        <w:tc>
          <w:tcPr>
            <w:tcW w:w="6884" w:type="dxa"/>
            <w:gridSpan w:val="3"/>
            <w:tcBorders>
              <w:bottom w:val="single" w:sz="4" w:space="0" w:color="auto"/>
            </w:tcBorders>
            <w:vAlign w:val="center"/>
          </w:tcPr>
          <w:p w:rsidR="001122F1" w:rsidRDefault="00056E39" w:rsidP="00FD7D0F">
            <w:pPr>
              <w:widowControl/>
              <w:spacing w:line="240" w:lineRule="auto"/>
              <w:ind w:firstLineChars="0" w:firstLine="0"/>
              <w:jc w:val="center"/>
              <w:rPr>
                <w:rFonts w:hAnsi="仿宋_GB2312"/>
                <w:sz w:val="24"/>
                <w:szCs w:val="24"/>
              </w:rPr>
            </w:pPr>
            <w:r>
              <w:rPr>
                <w:rFonts w:hAnsi="仿宋_GB2312" w:hint="eastAsia"/>
                <w:sz w:val="24"/>
                <w:szCs w:val="24"/>
              </w:rPr>
              <w:t>电子信息技术</w:t>
            </w:r>
          </w:p>
        </w:tc>
      </w:tr>
      <w:tr w:rsidR="001122F1" w:rsidTr="00FD7D0F">
        <w:trPr>
          <w:cantSplit/>
          <w:trHeight w:val="850"/>
          <w:jc w:val="center"/>
        </w:trPr>
        <w:tc>
          <w:tcPr>
            <w:tcW w:w="1960" w:type="dxa"/>
            <w:tcBorders>
              <w:bottom w:val="single" w:sz="4" w:space="0" w:color="auto"/>
            </w:tcBorders>
            <w:vAlign w:val="center"/>
          </w:tcPr>
          <w:p w:rsidR="001122F1" w:rsidRDefault="001122F1" w:rsidP="00FD7D0F">
            <w:pPr>
              <w:widowControl/>
              <w:spacing w:line="240" w:lineRule="auto"/>
              <w:ind w:firstLineChars="0" w:firstLine="0"/>
              <w:jc w:val="center"/>
              <w:rPr>
                <w:rFonts w:hAnsi="仿宋_GB2312"/>
                <w:sz w:val="24"/>
                <w:szCs w:val="24"/>
              </w:rPr>
            </w:pPr>
            <w:r>
              <w:rPr>
                <w:rFonts w:hAnsi="仿宋_GB2312" w:hint="eastAsia"/>
                <w:sz w:val="24"/>
                <w:szCs w:val="24"/>
              </w:rPr>
              <w:t>技术来源</w:t>
            </w:r>
          </w:p>
        </w:tc>
        <w:tc>
          <w:tcPr>
            <w:tcW w:w="2642" w:type="dxa"/>
            <w:tcBorders>
              <w:bottom w:val="single" w:sz="4" w:space="0" w:color="auto"/>
            </w:tcBorders>
            <w:vAlign w:val="center"/>
          </w:tcPr>
          <w:p w:rsidR="001122F1" w:rsidRDefault="00056E39" w:rsidP="00FD7D0F">
            <w:pPr>
              <w:widowControl/>
              <w:spacing w:line="240" w:lineRule="auto"/>
              <w:ind w:firstLineChars="0" w:firstLine="0"/>
              <w:jc w:val="center"/>
              <w:rPr>
                <w:rFonts w:hAnsi="仿宋_GB2312"/>
                <w:sz w:val="24"/>
                <w:szCs w:val="24"/>
              </w:rPr>
            </w:pPr>
            <w:r>
              <w:rPr>
                <w:rFonts w:hAnsi="仿宋_GB2312" w:hint="eastAsia"/>
                <w:sz w:val="24"/>
                <w:szCs w:val="24"/>
              </w:rPr>
              <w:t>自主开发</w:t>
            </w:r>
          </w:p>
        </w:tc>
        <w:tc>
          <w:tcPr>
            <w:tcW w:w="2468" w:type="dxa"/>
            <w:tcBorders>
              <w:bottom w:val="single" w:sz="4" w:space="0" w:color="auto"/>
            </w:tcBorders>
            <w:vAlign w:val="center"/>
          </w:tcPr>
          <w:p w:rsidR="001122F1" w:rsidRDefault="001122F1" w:rsidP="00FD7D0F">
            <w:pPr>
              <w:widowControl/>
              <w:spacing w:line="240" w:lineRule="auto"/>
              <w:ind w:firstLineChars="0" w:firstLine="0"/>
              <w:jc w:val="center"/>
              <w:rPr>
                <w:rFonts w:hAnsi="仿宋_GB2312"/>
                <w:spacing w:val="-14"/>
                <w:sz w:val="24"/>
                <w:szCs w:val="24"/>
              </w:rPr>
            </w:pPr>
            <w:r>
              <w:rPr>
                <w:rFonts w:hAnsi="仿宋_GB2312" w:hint="eastAsia"/>
                <w:spacing w:val="-14"/>
                <w:sz w:val="24"/>
                <w:szCs w:val="24"/>
              </w:rPr>
              <w:t>上年度销售收入</w:t>
            </w:r>
          </w:p>
          <w:p w:rsidR="001122F1" w:rsidRDefault="001122F1" w:rsidP="00FD7D0F">
            <w:pPr>
              <w:widowControl/>
              <w:spacing w:line="240" w:lineRule="auto"/>
              <w:ind w:firstLineChars="0" w:firstLine="0"/>
              <w:jc w:val="center"/>
              <w:rPr>
                <w:rFonts w:hAnsi="仿宋_GB2312"/>
                <w:spacing w:val="-14"/>
                <w:sz w:val="24"/>
                <w:szCs w:val="24"/>
              </w:rPr>
            </w:pPr>
            <w:r>
              <w:rPr>
                <w:rFonts w:hAnsi="仿宋_GB2312" w:hint="eastAsia"/>
                <w:sz w:val="24"/>
                <w:szCs w:val="24"/>
              </w:rPr>
              <w:t>（万元）</w:t>
            </w:r>
          </w:p>
        </w:tc>
        <w:tc>
          <w:tcPr>
            <w:tcW w:w="1774" w:type="dxa"/>
            <w:tcBorders>
              <w:bottom w:val="single" w:sz="4" w:space="0" w:color="auto"/>
            </w:tcBorders>
            <w:vAlign w:val="center"/>
          </w:tcPr>
          <w:p w:rsidR="001122F1" w:rsidRDefault="001122F1" w:rsidP="00FD7D0F">
            <w:pPr>
              <w:widowControl/>
              <w:spacing w:line="240" w:lineRule="auto"/>
              <w:ind w:firstLineChars="0" w:firstLine="0"/>
              <w:rPr>
                <w:rFonts w:hAnsi="仿宋_GB2312"/>
                <w:sz w:val="24"/>
                <w:szCs w:val="24"/>
              </w:rPr>
            </w:pPr>
          </w:p>
        </w:tc>
      </w:tr>
      <w:tr w:rsidR="001122F1" w:rsidTr="00FD7D0F">
        <w:trPr>
          <w:cantSplit/>
          <w:trHeight w:val="850"/>
          <w:jc w:val="center"/>
        </w:trPr>
        <w:tc>
          <w:tcPr>
            <w:tcW w:w="1960" w:type="dxa"/>
            <w:tcBorders>
              <w:bottom w:val="single" w:sz="4" w:space="0" w:color="auto"/>
            </w:tcBorders>
            <w:vAlign w:val="center"/>
          </w:tcPr>
          <w:p w:rsidR="001122F1" w:rsidRDefault="001122F1" w:rsidP="00FD7D0F">
            <w:pPr>
              <w:widowControl/>
              <w:spacing w:line="240" w:lineRule="auto"/>
              <w:ind w:firstLineChars="0" w:firstLine="0"/>
              <w:jc w:val="center"/>
              <w:rPr>
                <w:rFonts w:hAnsi="仿宋_GB2312"/>
                <w:sz w:val="24"/>
                <w:szCs w:val="24"/>
              </w:rPr>
            </w:pPr>
            <w:r>
              <w:rPr>
                <w:rFonts w:hAnsi="仿宋_GB2312" w:hint="eastAsia"/>
                <w:sz w:val="24"/>
                <w:szCs w:val="24"/>
              </w:rPr>
              <w:t>是否主要产品</w:t>
            </w:r>
          </w:p>
          <w:p w:rsidR="001122F1" w:rsidRDefault="001122F1" w:rsidP="00FD7D0F">
            <w:pPr>
              <w:widowControl/>
              <w:spacing w:line="240" w:lineRule="auto"/>
              <w:ind w:firstLineChars="0" w:firstLine="0"/>
              <w:jc w:val="center"/>
              <w:rPr>
                <w:rFonts w:hAnsi="仿宋_GB2312"/>
                <w:spacing w:val="-14"/>
                <w:sz w:val="24"/>
                <w:szCs w:val="24"/>
              </w:rPr>
            </w:pPr>
            <w:r>
              <w:rPr>
                <w:rFonts w:hAnsi="仿宋_GB2312" w:hint="eastAsia"/>
                <w:sz w:val="24"/>
                <w:szCs w:val="24"/>
              </w:rPr>
              <w:t>（服务）</w:t>
            </w:r>
          </w:p>
        </w:tc>
        <w:tc>
          <w:tcPr>
            <w:tcW w:w="2642" w:type="dxa"/>
            <w:tcBorders>
              <w:bottom w:val="single" w:sz="4" w:space="0" w:color="auto"/>
            </w:tcBorders>
            <w:vAlign w:val="center"/>
          </w:tcPr>
          <w:p w:rsidR="001122F1" w:rsidRDefault="001122F1" w:rsidP="00FD7D0F">
            <w:pPr>
              <w:widowControl/>
              <w:spacing w:line="240" w:lineRule="auto"/>
              <w:ind w:firstLineChars="0" w:firstLine="0"/>
              <w:jc w:val="center"/>
              <w:rPr>
                <w:rFonts w:hAnsi="仿宋_GB2312"/>
                <w:sz w:val="24"/>
                <w:szCs w:val="24"/>
              </w:rPr>
            </w:pPr>
            <w:r>
              <w:rPr>
                <w:rFonts w:hAnsi="仿宋_GB2312" w:hint="eastAsia"/>
                <w:bCs/>
                <w:sz w:val="24"/>
                <w:szCs w:val="24"/>
              </w:rPr>
              <w:t>□</w:t>
            </w:r>
            <w:r>
              <w:rPr>
                <w:rFonts w:hAnsi="仿宋_GB2312" w:hint="eastAsia"/>
                <w:spacing w:val="-10"/>
                <w:sz w:val="24"/>
                <w:szCs w:val="24"/>
              </w:rPr>
              <w:t>是</w:t>
            </w:r>
            <w:r>
              <w:rPr>
                <w:rFonts w:hAnsi="仿宋_GB2312" w:hint="eastAsia"/>
                <w:spacing w:val="-10"/>
                <w:sz w:val="24"/>
                <w:szCs w:val="24"/>
              </w:rPr>
              <w:t xml:space="preserve">     </w:t>
            </w:r>
            <w:r>
              <w:rPr>
                <w:rFonts w:hAnsi="仿宋_GB2312" w:hint="eastAsia"/>
                <w:bCs/>
                <w:sz w:val="24"/>
                <w:szCs w:val="24"/>
              </w:rPr>
              <w:t>□</w:t>
            </w:r>
            <w:r>
              <w:rPr>
                <w:rFonts w:hAnsi="仿宋_GB2312" w:hint="eastAsia"/>
                <w:spacing w:val="-10"/>
                <w:sz w:val="24"/>
                <w:szCs w:val="24"/>
              </w:rPr>
              <w:t>否</w:t>
            </w:r>
          </w:p>
        </w:tc>
        <w:tc>
          <w:tcPr>
            <w:tcW w:w="2468" w:type="dxa"/>
            <w:tcBorders>
              <w:bottom w:val="single" w:sz="4" w:space="0" w:color="auto"/>
            </w:tcBorders>
            <w:vAlign w:val="center"/>
          </w:tcPr>
          <w:p w:rsidR="001122F1" w:rsidRDefault="001122F1" w:rsidP="00FD7D0F">
            <w:pPr>
              <w:widowControl/>
              <w:spacing w:line="240" w:lineRule="auto"/>
              <w:ind w:firstLineChars="0" w:firstLine="0"/>
              <w:jc w:val="center"/>
              <w:rPr>
                <w:rFonts w:hAnsi="仿宋_GB2312"/>
                <w:spacing w:val="-14"/>
                <w:sz w:val="24"/>
                <w:szCs w:val="24"/>
              </w:rPr>
            </w:pPr>
            <w:r>
              <w:rPr>
                <w:rFonts w:hAnsi="仿宋_GB2312" w:hint="eastAsia"/>
                <w:sz w:val="24"/>
                <w:szCs w:val="24"/>
              </w:rPr>
              <w:t>知识产权编号</w:t>
            </w:r>
          </w:p>
        </w:tc>
        <w:tc>
          <w:tcPr>
            <w:tcW w:w="1774" w:type="dxa"/>
            <w:tcBorders>
              <w:bottom w:val="single" w:sz="4" w:space="0" w:color="auto"/>
            </w:tcBorders>
            <w:vAlign w:val="center"/>
          </w:tcPr>
          <w:p w:rsidR="001122F1" w:rsidRDefault="001122F1" w:rsidP="00FD7D0F">
            <w:pPr>
              <w:widowControl/>
              <w:spacing w:line="240" w:lineRule="auto"/>
              <w:ind w:firstLineChars="0" w:firstLine="0"/>
              <w:jc w:val="center"/>
              <w:rPr>
                <w:rFonts w:hAnsi="仿宋_GB2312"/>
                <w:sz w:val="24"/>
                <w:szCs w:val="24"/>
              </w:rPr>
            </w:pPr>
          </w:p>
        </w:tc>
      </w:tr>
      <w:tr w:rsidR="001122F1" w:rsidTr="00FD7D0F">
        <w:trPr>
          <w:cantSplit/>
          <w:trHeight w:val="1939"/>
          <w:jc w:val="center"/>
        </w:trPr>
        <w:tc>
          <w:tcPr>
            <w:tcW w:w="1960" w:type="dxa"/>
            <w:tcBorders>
              <w:bottom w:val="single" w:sz="4" w:space="0" w:color="auto"/>
            </w:tcBorders>
            <w:vAlign w:val="center"/>
          </w:tcPr>
          <w:p w:rsidR="001122F1" w:rsidRDefault="001122F1" w:rsidP="00FD7D0F">
            <w:pPr>
              <w:widowControl/>
              <w:spacing w:line="240" w:lineRule="auto"/>
              <w:ind w:firstLineChars="0" w:firstLine="0"/>
              <w:jc w:val="center"/>
              <w:rPr>
                <w:rFonts w:hAnsi="仿宋_GB2312"/>
                <w:sz w:val="24"/>
                <w:szCs w:val="24"/>
              </w:rPr>
            </w:pPr>
            <w:r>
              <w:rPr>
                <w:rFonts w:hAnsi="仿宋_GB2312" w:hint="eastAsia"/>
                <w:sz w:val="24"/>
                <w:szCs w:val="24"/>
              </w:rPr>
              <w:lastRenderedPageBreak/>
              <w:t>关键技术</w:t>
            </w:r>
          </w:p>
          <w:p w:rsidR="001122F1" w:rsidRDefault="001122F1" w:rsidP="00FD7D0F">
            <w:pPr>
              <w:widowControl/>
              <w:spacing w:line="240" w:lineRule="auto"/>
              <w:ind w:firstLineChars="0" w:firstLine="0"/>
              <w:jc w:val="center"/>
              <w:rPr>
                <w:rFonts w:hAnsi="仿宋_GB2312"/>
                <w:sz w:val="24"/>
                <w:szCs w:val="24"/>
              </w:rPr>
            </w:pPr>
            <w:r>
              <w:rPr>
                <w:rFonts w:hAnsi="仿宋_GB2312" w:hint="eastAsia"/>
                <w:sz w:val="24"/>
                <w:szCs w:val="24"/>
              </w:rPr>
              <w:t>及主要</w:t>
            </w:r>
          </w:p>
          <w:p w:rsidR="001122F1" w:rsidRDefault="001122F1" w:rsidP="00FD7D0F">
            <w:pPr>
              <w:widowControl/>
              <w:spacing w:line="240" w:lineRule="auto"/>
              <w:ind w:firstLineChars="0" w:firstLine="0"/>
              <w:jc w:val="center"/>
              <w:rPr>
                <w:rFonts w:hAnsi="仿宋_GB2312"/>
                <w:sz w:val="24"/>
                <w:szCs w:val="24"/>
              </w:rPr>
            </w:pPr>
            <w:r>
              <w:rPr>
                <w:rFonts w:hAnsi="仿宋_GB2312" w:hint="eastAsia"/>
                <w:sz w:val="24"/>
                <w:szCs w:val="24"/>
              </w:rPr>
              <w:t>技术指标</w:t>
            </w:r>
          </w:p>
          <w:p w:rsidR="001122F1" w:rsidRDefault="001122F1" w:rsidP="00FD7D0F">
            <w:pPr>
              <w:widowControl/>
              <w:spacing w:line="240" w:lineRule="auto"/>
              <w:ind w:firstLineChars="0" w:firstLine="0"/>
              <w:jc w:val="center"/>
              <w:rPr>
                <w:rFonts w:hAnsi="仿宋_GB2312"/>
                <w:sz w:val="24"/>
                <w:szCs w:val="24"/>
              </w:rPr>
            </w:pPr>
            <w:r>
              <w:rPr>
                <w:rFonts w:hAnsi="仿宋_GB2312" w:hint="eastAsia"/>
                <w:sz w:val="24"/>
                <w:szCs w:val="24"/>
              </w:rPr>
              <w:t>（限</w:t>
            </w:r>
            <w:r>
              <w:rPr>
                <w:rFonts w:hAnsi="仿宋_GB2312" w:hint="eastAsia"/>
                <w:sz w:val="24"/>
                <w:szCs w:val="24"/>
              </w:rPr>
              <w:t>400</w:t>
            </w:r>
            <w:r>
              <w:rPr>
                <w:rFonts w:hAnsi="仿宋_GB2312" w:hint="eastAsia"/>
                <w:sz w:val="24"/>
                <w:szCs w:val="24"/>
              </w:rPr>
              <w:t>字）</w:t>
            </w:r>
          </w:p>
        </w:tc>
        <w:tc>
          <w:tcPr>
            <w:tcW w:w="6884" w:type="dxa"/>
            <w:gridSpan w:val="3"/>
            <w:tcBorders>
              <w:bottom w:val="single" w:sz="4" w:space="0" w:color="auto"/>
            </w:tcBorders>
            <w:vAlign w:val="center"/>
          </w:tcPr>
          <w:p w:rsidR="001122F1" w:rsidRPr="00056E39" w:rsidRDefault="00056E39" w:rsidP="00056E39">
            <w:pPr>
              <w:ind w:firstLine="480"/>
              <w:rPr>
                <w:rFonts w:ascii="宋体" w:hAnsi="宋体"/>
                <w:sz w:val="24"/>
                <w:szCs w:val="24"/>
              </w:rPr>
            </w:pPr>
            <w:r w:rsidRPr="00056E39">
              <w:rPr>
                <w:rFonts w:ascii="宋体" w:hAnsi="宋体" w:hint="eastAsia"/>
                <w:sz w:val="24"/>
                <w:szCs w:val="24"/>
              </w:rPr>
              <w:t>采集系统作为业务应用系统的数据来源。位于信息系统体系中的基础位置，系统通过接口为各类业务应用提供数据支撑服务。采集系统主站自身包括三个子系统，根据数据流向由下至上分别是前置采集子系统、应用服务子系统、功能应用子系统。</w:t>
            </w:r>
          </w:p>
          <w:p w:rsidR="001122F1" w:rsidRDefault="00056E39" w:rsidP="00056E39">
            <w:pPr>
              <w:widowControl/>
              <w:spacing w:line="240" w:lineRule="auto"/>
              <w:ind w:firstLineChars="0" w:firstLine="0"/>
              <w:rPr>
                <w:rFonts w:hAnsi="仿宋_GB2312"/>
                <w:spacing w:val="-14"/>
                <w:sz w:val="24"/>
                <w:szCs w:val="24"/>
              </w:rPr>
            </w:pPr>
            <w:r w:rsidRPr="00CE6C8B">
              <w:rPr>
                <w:noProof/>
                <w:sz w:val="24"/>
                <w:szCs w:val="24"/>
              </w:rPr>
              <w:drawing>
                <wp:inline distT="0" distB="0" distL="0" distR="0" wp14:anchorId="1CF23CAC" wp14:editId="140E442A">
                  <wp:extent cx="4264255" cy="4591050"/>
                  <wp:effectExtent l="0" t="0" r="3175" b="0"/>
                  <wp:docPr id="174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8598" cy="4595726"/>
                          </a:xfrm>
                          <a:prstGeom prst="rect">
                            <a:avLst/>
                          </a:prstGeom>
                          <a:noFill/>
                          <a:ln>
                            <a:noFill/>
                          </a:ln>
                          <a:extLst/>
                        </pic:spPr>
                      </pic:pic>
                    </a:graphicData>
                  </a:graphic>
                </wp:inline>
              </w:drawing>
            </w:r>
          </w:p>
          <w:p w:rsidR="00056E39" w:rsidRPr="00CE6C8B" w:rsidRDefault="00056E39" w:rsidP="00056E39">
            <w:pPr>
              <w:spacing w:line="324" w:lineRule="auto"/>
              <w:ind w:firstLineChars="0" w:firstLine="0"/>
              <w:rPr>
                <w:b/>
                <w:sz w:val="24"/>
                <w:szCs w:val="24"/>
              </w:rPr>
            </w:pPr>
            <w:r w:rsidRPr="00CE6C8B">
              <w:rPr>
                <w:rFonts w:hint="eastAsia"/>
                <w:b/>
                <w:sz w:val="24"/>
                <w:szCs w:val="24"/>
              </w:rPr>
              <w:t>系统主站前置采集子系统</w:t>
            </w:r>
          </w:p>
          <w:p w:rsidR="00056E39" w:rsidRPr="00CE6C8B" w:rsidRDefault="00056E39" w:rsidP="00056E39">
            <w:pPr>
              <w:spacing w:line="324" w:lineRule="auto"/>
              <w:ind w:firstLineChars="0" w:firstLine="0"/>
              <w:rPr>
                <w:sz w:val="24"/>
                <w:szCs w:val="24"/>
              </w:rPr>
            </w:pPr>
            <w:r w:rsidRPr="00CE6C8B">
              <w:rPr>
                <w:rFonts w:hint="eastAsia"/>
                <w:sz w:val="24"/>
                <w:szCs w:val="24"/>
              </w:rPr>
              <w:t xml:space="preserve">1. </w:t>
            </w:r>
            <w:r w:rsidRPr="00CE6C8B">
              <w:rPr>
                <w:rFonts w:hint="eastAsia"/>
                <w:sz w:val="24"/>
                <w:szCs w:val="24"/>
              </w:rPr>
              <w:t>请求命令处理；</w:t>
            </w:r>
            <w:r w:rsidRPr="00CE6C8B">
              <w:rPr>
                <w:rFonts w:hint="eastAsia"/>
                <w:sz w:val="24"/>
                <w:szCs w:val="24"/>
              </w:rPr>
              <w:t xml:space="preserve">                  2. </w:t>
            </w:r>
            <w:r w:rsidRPr="00CE6C8B">
              <w:rPr>
                <w:rFonts w:hint="eastAsia"/>
                <w:sz w:val="24"/>
                <w:szCs w:val="24"/>
              </w:rPr>
              <w:t>数据主动上报；</w:t>
            </w:r>
          </w:p>
          <w:p w:rsidR="00056E39" w:rsidRPr="00CE6C8B" w:rsidRDefault="00056E39" w:rsidP="00056E39">
            <w:pPr>
              <w:spacing w:line="324" w:lineRule="auto"/>
              <w:ind w:firstLineChars="0" w:firstLine="0"/>
              <w:rPr>
                <w:sz w:val="24"/>
                <w:szCs w:val="24"/>
              </w:rPr>
            </w:pPr>
            <w:r w:rsidRPr="00CE6C8B">
              <w:rPr>
                <w:rFonts w:hint="eastAsia"/>
                <w:sz w:val="24"/>
                <w:szCs w:val="24"/>
              </w:rPr>
              <w:t xml:space="preserve">3. </w:t>
            </w:r>
            <w:r w:rsidRPr="00CE6C8B">
              <w:rPr>
                <w:rFonts w:hint="eastAsia"/>
                <w:sz w:val="24"/>
                <w:szCs w:val="24"/>
              </w:rPr>
              <w:t>命令主动上报；</w:t>
            </w:r>
            <w:r w:rsidRPr="00CE6C8B">
              <w:rPr>
                <w:rFonts w:hint="eastAsia"/>
                <w:sz w:val="24"/>
                <w:szCs w:val="24"/>
              </w:rPr>
              <w:t xml:space="preserve">                  4. </w:t>
            </w:r>
            <w:r w:rsidRPr="00CE6C8B">
              <w:rPr>
                <w:rFonts w:hint="eastAsia"/>
                <w:sz w:val="24"/>
                <w:szCs w:val="24"/>
              </w:rPr>
              <w:t>终端通信服务；</w:t>
            </w:r>
          </w:p>
          <w:p w:rsidR="00056E39" w:rsidRPr="00CE6C8B" w:rsidRDefault="00056E39" w:rsidP="00056E39">
            <w:pPr>
              <w:spacing w:line="324" w:lineRule="auto"/>
              <w:ind w:firstLineChars="0" w:firstLine="0"/>
              <w:rPr>
                <w:b/>
                <w:sz w:val="24"/>
                <w:szCs w:val="24"/>
              </w:rPr>
            </w:pPr>
            <w:r w:rsidRPr="00CE6C8B">
              <w:rPr>
                <w:rFonts w:hint="eastAsia"/>
                <w:b/>
                <w:sz w:val="24"/>
                <w:szCs w:val="24"/>
              </w:rPr>
              <w:t>系统主站应用服务子系</w:t>
            </w:r>
            <w:bookmarkStart w:id="0" w:name="_GoBack"/>
            <w:bookmarkEnd w:id="0"/>
            <w:r w:rsidRPr="00CE6C8B">
              <w:rPr>
                <w:rFonts w:hint="eastAsia"/>
                <w:b/>
                <w:sz w:val="24"/>
                <w:szCs w:val="24"/>
              </w:rPr>
              <w:t>统</w:t>
            </w:r>
          </w:p>
          <w:p w:rsidR="00056E39" w:rsidRPr="00CE6C8B" w:rsidRDefault="00056E39" w:rsidP="00056E39">
            <w:pPr>
              <w:spacing w:line="324" w:lineRule="auto"/>
              <w:ind w:firstLineChars="0" w:firstLine="0"/>
              <w:rPr>
                <w:sz w:val="24"/>
                <w:szCs w:val="24"/>
              </w:rPr>
            </w:pPr>
            <w:r w:rsidRPr="00CE6C8B">
              <w:rPr>
                <w:rFonts w:hint="eastAsia"/>
                <w:sz w:val="24"/>
                <w:szCs w:val="24"/>
              </w:rPr>
              <w:t>命令调度服务：负责将用户操作终端的命令下发给前置服务</w:t>
            </w:r>
          </w:p>
          <w:p w:rsidR="00056E39" w:rsidRPr="00CE6C8B" w:rsidRDefault="00056E39" w:rsidP="00056E39">
            <w:pPr>
              <w:spacing w:line="324" w:lineRule="auto"/>
              <w:ind w:firstLineChars="0" w:firstLine="0"/>
              <w:rPr>
                <w:sz w:val="24"/>
                <w:szCs w:val="24"/>
              </w:rPr>
            </w:pPr>
            <w:r w:rsidRPr="00CE6C8B">
              <w:rPr>
                <w:rFonts w:hint="eastAsia"/>
                <w:sz w:val="24"/>
                <w:szCs w:val="24"/>
              </w:rPr>
              <w:t>事件上报服务：负责将前置上报的事件发送</w:t>
            </w:r>
            <w:proofErr w:type="gramStart"/>
            <w:r w:rsidRPr="00CE6C8B">
              <w:rPr>
                <w:rFonts w:hint="eastAsia"/>
                <w:sz w:val="24"/>
                <w:szCs w:val="24"/>
              </w:rPr>
              <w:t>给事件</w:t>
            </w:r>
            <w:proofErr w:type="gramEnd"/>
            <w:r w:rsidRPr="00CE6C8B">
              <w:rPr>
                <w:rFonts w:hint="eastAsia"/>
                <w:sz w:val="24"/>
                <w:szCs w:val="24"/>
              </w:rPr>
              <w:t>处理服务</w:t>
            </w:r>
          </w:p>
          <w:p w:rsidR="00056E39" w:rsidRPr="00CE6C8B" w:rsidRDefault="00056E39" w:rsidP="00056E39">
            <w:pPr>
              <w:spacing w:line="324" w:lineRule="auto"/>
              <w:ind w:firstLineChars="0" w:firstLine="0"/>
              <w:rPr>
                <w:sz w:val="24"/>
                <w:szCs w:val="24"/>
              </w:rPr>
            </w:pPr>
            <w:r w:rsidRPr="00CE6C8B">
              <w:rPr>
                <w:rFonts w:hint="eastAsia"/>
                <w:sz w:val="24"/>
                <w:szCs w:val="24"/>
              </w:rPr>
              <w:t>数据处理服务：负责将前置上传的数据进行计算处理并存盘</w:t>
            </w:r>
          </w:p>
          <w:p w:rsidR="00056E39" w:rsidRPr="00CE6C8B" w:rsidRDefault="00056E39" w:rsidP="00056E39">
            <w:pPr>
              <w:spacing w:line="324" w:lineRule="auto"/>
              <w:ind w:firstLineChars="0" w:firstLine="0"/>
              <w:rPr>
                <w:sz w:val="24"/>
                <w:szCs w:val="24"/>
              </w:rPr>
            </w:pPr>
            <w:r w:rsidRPr="00CE6C8B">
              <w:rPr>
                <w:rFonts w:hint="eastAsia"/>
                <w:sz w:val="24"/>
                <w:szCs w:val="24"/>
              </w:rPr>
              <w:t>信息入库服务：将数据处理服务存盘的数据信息存入数据库</w:t>
            </w:r>
          </w:p>
          <w:p w:rsidR="00056E39" w:rsidRPr="00CE6C8B" w:rsidRDefault="00056E39" w:rsidP="00056E39">
            <w:pPr>
              <w:spacing w:line="324" w:lineRule="auto"/>
              <w:ind w:firstLineChars="0" w:firstLine="0"/>
              <w:rPr>
                <w:sz w:val="24"/>
                <w:szCs w:val="24"/>
              </w:rPr>
            </w:pPr>
            <w:r w:rsidRPr="00CE6C8B">
              <w:rPr>
                <w:rFonts w:hint="eastAsia"/>
                <w:sz w:val="24"/>
                <w:szCs w:val="24"/>
              </w:rPr>
              <w:t>数据通道服务：提供信息网络和</w:t>
            </w:r>
            <w:r w:rsidRPr="00CE6C8B">
              <w:rPr>
                <w:rFonts w:hint="eastAsia"/>
                <w:sz w:val="24"/>
                <w:szCs w:val="24"/>
              </w:rPr>
              <w:t>DMZ</w:t>
            </w:r>
            <w:r w:rsidRPr="00CE6C8B">
              <w:rPr>
                <w:rFonts w:hint="eastAsia"/>
                <w:sz w:val="24"/>
                <w:szCs w:val="24"/>
              </w:rPr>
              <w:t>安全网络间通信的通道</w:t>
            </w:r>
          </w:p>
          <w:p w:rsidR="00056E39" w:rsidRDefault="00056E39" w:rsidP="00056E39">
            <w:pPr>
              <w:widowControl/>
              <w:spacing w:line="240" w:lineRule="auto"/>
              <w:ind w:firstLineChars="0" w:firstLine="0"/>
              <w:rPr>
                <w:rFonts w:hint="eastAsia"/>
                <w:b/>
                <w:sz w:val="24"/>
                <w:szCs w:val="24"/>
              </w:rPr>
            </w:pPr>
            <w:r>
              <w:rPr>
                <w:rFonts w:hint="eastAsia"/>
                <w:b/>
                <w:sz w:val="24"/>
                <w:szCs w:val="24"/>
              </w:rPr>
              <w:t>系统主站功能应用子系统</w:t>
            </w:r>
          </w:p>
          <w:p w:rsidR="00056E39" w:rsidRPr="00056E39" w:rsidRDefault="00056E39" w:rsidP="00056E39">
            <w:pPr>
              <w:spacing w:line="324" w:lineRule="auto"/>
              <w:ind w:firstLineChars="0" w:firstLine="0"/>
              <w:rPr>
                <w:sz w:val="24"/>
                <w:szCs w:val="24"/>
              </w:rPr>
            </w:pPr>
            <w:r w:rsidRPr="00056E39">
              <w:rPr>
                <w:sz w:val="24"/>
                <w:szCs w:val="24"/>
              </w:rPr>
              <w:t>系统前台应用功能</w:t>
            </w:r>
          </w:p>
          <w:p w:rsidR="001122F1" w:rsidRDefault="001122F1" w:rsidP="00FD7D0F">
            <w:pPr>
              <w:widowControl/>
              <w:spacing w:line="240" w:lineRule="auto"/>
              <w:ind w:firstLineChars="0" w:firstLine="0"/>
              <w:rPr>
                <w:rFonts w:hAnsi="仿宋_GB2312"/>
                <w:spacing w:val="-14"/>
                <w:sz w:val="24"/>
                <w:szCs w:val="24"/>
              </w:rPr>
            </w:pPr>
          </w:p>
        </w:tc>
      </w:tr>
      <w:tr w:rsidR="001122F1" w:rsidTr="00FD7D0F">
        <w:trPr>
          <w:cantSplit/>
          <w:trHeight w:val="2859"/>
          <w:jc w:val="center"/>
        </w:trPr>
        <w:tc>
          <w:tcPr>
            <w:tcW w:w="1960" w:type="dxa"/>
            <w:tcBorders>
              <w:bottom w:val="single" w:sz="4" w:space="0" w:color="auto"/>
            </w:tcBorders>
            <w:vAlign w:val="center"/>
          </w:tcPr>
          <w:p w:rsidR="001122F1" w:rsidRDefault="001122F1" w:rsidP="00FD7D0F">
            <w:pPr>
              <w:pStyle w:val="a3"/>
              <w:widowControl/>
              <w:spacing w:after="0" w:line="240" w:lineRule="auto"/>
              <w:ind w:firstLineChars="0" w:firstLine="0"/>
              <w:jc w:val="center"/>
              <w:textAlignment w:val="baseline"/>
              <w:rPr>
                <w:rFonts w:hAnsi="仿宋_GB2312"/>
                <w:sz w:val="24"/>
                <w:szCs w:val="24"/>
              </w:rPr>
            </w:pPr>
            <w:r>
              <w:rPr>
                <w:rFonts w:hAnsi="仿宋_GB2312" w:hint="eastAsia"/>
                <w:sz w:val="24"/>
                <w:szCs w:val="24"/>
              </w:rPr>
              <w:lastRenderedPageBreak/>
              <w:t>与同类产品</w:t>
            </w:r>
          </w:p>
          <w:p w:rsidR="001122F1" w:rsidRDefault="001122F1" w:rsidP="00FD7D0F">
            <w:pPr>
              <w:pStyle w:val="a3"/>
              <w:widowControl/>
              <w:spacing w:after="0" w:line="240" w:lineRule="auto"/>
              <w:ind w:firstLineChars="0" w:firstLine="0"/>
              <w:jc w:val="center"/>
              <w:textAlignment w:val="baseline"/>
              <w:rPr>
                <w:rFonts w:hAnsi="仿宋_GB2312"/>
                <w:sz w:val="24"/>
                <w:szCs w:val="24"/>
              </w:rPr>
            </w:pPr>
            <w:r>
              <w:rPr>
                <w:rFonts w:hAnsi="仿宋_GB2312" w:hint="eastAsia"/>
                <w:sz w:val="24"/>
                <w:szCs w:val="24"/>
              </w:rPr>
              <w:t>（服务）的</w:t>
            </w:r>
          </w:p>
          <w:p w:rsidR="001122F1" w:rsidRDefault="001122F1" w:rsidP="00FD7D0F">
            <w:pPr>
              <w:widowControl/>
              <w:spacing w:line="240" w:lineRule="auto"/>
              <w:ind w:firstLineChars="0" w:firstLine="0"/>
              <w:jc w:val="center"/>
              <w:rPr>
                <w:rFonts w:hAnsi="仿宋_GB2312"/>
                <w:sz w:val="24"/>
                <w:szCs w:val="24"/>
              </w:rPr>
            </w:pPr>
            <w:r>
              <w:rPr>
                <w:rFonts w:hAnsi="仿宋_GB2312" w:hint="eastAsia"/>
                <w:sz w:val="24"/>
                <w:szCs w:val="24"/>
              </w:rPr>
              <w:t>竞争优势</w:t>
            </w:r>
          </w:p>
          <w:p w:rsidR="001122F1" w:rsidRDefault="001122F1" w:rsidP="00FD7D0F">
            <w:pPr>
              <w:widowControl/>
              <w:spacing w:line="240" w:lineRule="auto"/>
              <w:ind w:firstLineChars="0" w:firstLine="0"/>
              <w:jc w:val="center"/>
              <w:rPr>
                <w:rFonts w:hAnsi="仿宋_GB2312"/>
                <w:sz w:val="24"/>
                <w:szCs w:val="24"/>
              </w:rPr>
            </w:pPr>
            <w:r>
              <w:rPr>
                <w:rFonts w:hAnsi="仿宋_GB2312" w:hint="eastAsia"/>
                <w:sz w:val="24"/>
                <w:szCs w:val="24"/>
              </w:rPr>
              <w:t>（限</w:t>
            </w:r>
            <w:r>
              <w:rPr>
                <w:rFonts w:hAnsi="仿宋_GB2312" w:hint="eastAsia"/>
                <w:sz w:val="24"/>
                <w:szCs w:val="24"/>
              </w:rPr>
              <w:t>400</w:t>
            </w:r>
            <w:r>
              <w:rPr>
                <w:rFonts w:hAnsi="仿宋_GB2312" w:hint="eastAsia"/>
                <w:sz w:val="24"/>
                <w:szCs w:val="24"/>
              </w:rPr>
              <w:t>字）</w:t>
            </w:r>
          </w:p>
        </w:tc>
        <w:tc>
          <w:tcPr>
            <w:tcW w:w="6884" w:type="dxa"/>
            <w:gridSpan w:val="3"/>
            <w:tcBorders>
              <w:bottom w:val="single" w:sz="4" w:space="0" w:color="auto"/>
            </w:tcBorders>
            <w:vAlign w:val="center"/>
          </w:tcPr>
          <w:p w:rsidR="00056E39" w:rsidRPr="00406C88" w:rsidRDefault="00056E39" w:rsidP="00056E39">
            <w:pPr>
              <w:ind w:firstLine="480"/>
              <w:rPr>
                <w:rFonts w:ascii="宋体" w:hAnsi="宋体"/>
                <w:sz w:val="24"/>
                <w:szCs w:val="24"/>
              </w:rPr>
            </w:pPr>
            <w:r w:rsidRPr="00406C88">
              <w:rPr>
                <w:rFonts w:ascii="宋体" w:hAnsi="宋体" w:hint="eastAsia"/>
                <w:sz w:val="24"/>
                <w:szCs w:val="24"/>
              </w:rPr>
              <w:t>用电信息采集系统是“</w:t>
            </w:r>
            <w:r w:rsidRPr="00406C88">
              <w:rPr>
                <w:rFonts w:ascii="宋体" w:hAnsi="宋体" w:hint="eastAsia"/>
                <w:sz w:val="24"/>
                <w:szCs w:val="24"/>
              </w:rPr>
              <w:t>SG186</w:t>
            </w:r>
            <w:r w:rsidRPr="00406C88">
              <w:rPr>
                <w:rFonts w:ascii="宋体" w:hAnsi="宋体" w:hint="eastAsia"/>
                <w:sz w:val="24"/>
                <w:szCs w:val="24"/>
              </w:rPr>
              <w:t>”营销业务应用系统的重要组成部分，既可通过中间库、</w:t>
            </w:r>
            <w:proofErr w:type="spellStart"/>
            <w:r w:rsidRPr="00406C88">
              <w:rPr>
                <w:rFonts w:ascii="宋体" w:hAnsi="宋体" w:hint="eastAsia"/>
                <w:sz w:val="24"/>
                <w:szCs w:val="24"/>
              </w:rPr>
              <w:t>WebService</w:t>
            </w:r>
            <w:proofErr w:type="spellEnd"/>
            <w:r w:rsidRPr="00406C88">
              <w:rPr>
                <w:rFonts w:ascii="宋体" w:hAnsi="宋体" w:hint="eastAsia"/>
                <w:sz w:val="24"/>
                <w:szCs w:val="24"/>
              </w:rPr>
              <w:t>方式为“</w:t>
            </w:r>
            <w:r w:rsidRPr="00406C88">
              <w:rPr>
                <w:rFonts w:ascii="宋体" w:hAnsi="宋体" w:hint="eastAsia"/>
                <w:sz w:val="24"/>
                <w:szCs w:val="24"/>
              </w:rPr>
              <w:t>SG186</w:t>
            </w:r>
            <w:r w:rsidRPr="00406C88">
              <w:rPr>
                <w:rFonts w:ascii="宋体" w:hAnsi="宋体" w:hint="eastAsia"/>
                <w:sz w:val="24"/>
                <w:szCs w:val="24"/>
              </w:rPr>
              <w:t>”营销业务应用提供数据支撑，同时也可独立运行，完成数据采集管理、有序用电、</w:t>
            </w:r>
            <w:proofErr w:type="gramStart"/>
            <w:r w:rsidRPr="00406C88">
              <w:rPr>
                <w:rFonts w:ascii="宋体" w:hAnsi="宋体" w:hint="eastAsia"/>
                <w:sz w:val="24"/>
                <w:szCs w:val="24"/>
              </w:rPr>
              <w:t>费控管理</w:t>
            </w:r>
            <w:proofErr w:type="gramEnd"/>
            <w:r w:rsidRPr="00406C88">
              <w:rPr>
                <w:rFonts w:ascii="宋体" w:hAnsi="宋体" w:hint="eastAsia"/>
                <w:sz w:val="24"/>
                <w:szCs w:val="24"/>
              </w:rPr>
              <w:t>、档案管理、线损分析等功能。</w:t>
            </w:r>
          </w:p>
          <w:p w:rsidR="001122F1" w:rsidRDefault="00056E39" w:rsidP="00056E39">
            <w:pPr>
              <w:ind w:firstLine="480"/>
              <w:rPr>
                <w:rFonts w:hAnsi="仿宋_GB2312"/>
                <w:sz w:val="24"/>
                <w:szCs w:val="24"/>
              </w:rPr>
            </w:pPr>
            <w:r w:rsidRPr="00406C88">
              <w:rPr>
                <w:rFonts w:ascii="宋体" w:hAnsi="宋体" w:hint="eastAsia"/>
                <w:sz w:val="24"/>
                <w:szCs w:val="24"/>
              </w:rPr>
              <w:t>用电信息采集系统从功能上完全覆盖“</w:t>
            </w:r>
            <w:r w:rsidRPr="00406C88">
              <w:rPr>
                <w:rFonts w:ascii="宋体" w:hAnsi="宋体" w:hint="eastAsia"/>
                <w:sz w:val="24"/>
                <w:szCs w:val="24"/>
              </w:rPr>
              <w:t>SG186</w:t>
            </w:r>
            <w:r w:rsidRPr="00406C88">
              <w:rPr>
                <w:rFonts w:ascii="宋体" w:hAnsi="宋体" w:hint="eastAsia"/>
                <w:sz w:val="24"/>
                <w:szCs w:val="24"/>
              </w:rPr>
              <w:t>”营销业务应用中电能信息采集业务中所有相关功能，包括基本应用、高级应用、运行管理、统计查询、系统管理，为“</w:t>
            </w:r>
            <w:r w:rsidRPr="00406C88">
              <w:rPr>
                <w:rFonts w:ascii="宋体" w:hAnsi="宋体" w:hint="eastAsia"/>
                <w:sz w:val="24"/>
                <w:szCs w:val="24"/>
              </w:rPr>
              <w:t>SG186</w:t>
            </w:r>
            <w:r w:rsidRPr="00406C88">
              <w:rPr>
                <w:rFonts w:ascii="宋体" w:hAnsi="宋体" w:hint="eastAsia"/>
                <w:sz w:val="24"/>
                <w:szCs w:val="24"/>
              </w:rPr>
              <w:t>”营销业务应用中的其他业务提供用电信息数据源和用电控制手段。同时还可以提供“</w:t>
            </w:r>
            <w:r w:rsidRPr="00406C88">
              <w:rPr>
                <w:rFonts w:ascii="宋体" w:hAnsi="宋体" w:hint="eastAsia"/>
                <w:sz w:val="24"/>
                <w:szCs w:val="24"/>
              </w:rPr>
              <w:t>SG186</w:t>
            </w:r>
            <w:r w:rsidRPr="00406C88">
              <w:rPr>
                <w:rFonts w:ascii="宋体" w:hAnsi="宋体" w:hint="eastAsia"/>
                <w:sz w:val="24"/>
                <w:szCs w:val="24"/>
              </w:rPr>
              <w:t>”营销业务应用之外的综合应用分析功能，如配电业务管理、电量统计、决策分析、增值服务等功能，并为其他专业系统如“</w:t>
            </w:r>
            <w:r w:rsidRPr="00406C88">
              <w:rPr>
                <w:rFonts w:ascii="宋体" w:hAnsi="宋体" w:hint="eastAsia"/>
                <w:sz w:val="24"/>
                <w:szCs w:val="24"/>
              </w:rPr>
              <w:t>SG186</w:t>
            </w:r>
            <w:r w:rsidRPr="00406C88">
              <w:rPr>
                <w:rFonts w:ascii="宋体" w:hAnsi="宋体" w:hint="eastAsia"/>
                <w:sz w:val="24"/>
                <w:szCs w:val="24"/>
              </w:rPr>
              <w:t>”生产管理系统、</w:t>
            </w:r>
            <w:r w:rsidRPr="00406C88">
              <w:rPr>
                <w:rFonts w:ascii="宋体" w:hAnsi="宋体" w:hint="eastAsia"/>
                <w:sz w:val="24"/>
                <w:szCs w:val="24"/>
              </w:rPr>
              <w:t>GIS</w:t>
            </w:r>
            <w:r w:rsidRPr="00406C88">
              <w:rPr>
                <w:rFonts w:ascii="宋体" w:hAnsi="宋体" w:hint="eastAsia"/>
                <w:sz w:val="24"/>
                <w:szCs w:val="24"/>
              </w:rPr>
              <w:t>系统、配电自动化系统等提供基础数据。</w:t>
            </w:r>
          </w:p>
        </w:tc>
      </w:tr>
      <w:tr w:rsidR="001122F1" w:rsidTr="00FD7D0F">
        <w:trPr>
          <w:cantSplit/>
          <w:trHeight w:val="3075"/>
          <w:jc w:val="center"/>
        </w:trPr>
        <w:tc>
          <w:tcPr>
            <w:tcW w:w="1960" w:type="dxa"/>
            <w:tcBorders>
              <w:bottom w:val="single" w:sz="4" w:space="0" w:color="auto"/>
            </w:tcBorders>
            <w:vAlign w:val="center"/>
          </w:tcPr>
          <w:p w:rsidR="001122F1" w:rsidRDefault="001122F1" w:rsidP="00FD7D0F">
            <w:pPr>
              <w:widowControl/>
              <w:spacing w:line="240" w:lineRule="auto"/>
              <w:ind w:firstLineChars="0" w:firstLine="0"/>
              <w:jc w:val="center"/>
              <w:rPr>
                <w:rFonts w:hAnsi="仿宋_GB2312"/>
                <w:sz w:val="24"/>
                <w:szCs w:val="24"/>
              </w:rPr>
            </w:pPr>
            <w:r>
              <w:rPr>
                <w:rFonts w:hAnsi="仿宋_GB2312" w:hint="eastAsia"/>
                <w:sz w:val="24"/>
                <w:szCs w:val="24"/>
              </w:rPr>
              <w:t>知识产权获得情况及其对产品（服务）在技术上发挥的支持作用</w:t>
            </w:r>
          </w:p>
          <w:p w:rsidR="001122F1" w:rsidRDefault="001122F1" w:rsidP="00FD7D0F">
            <w:pPr>
              <w:widowControl/>
              <w:spacing w:line="240" w:lineRule="auto"/>
              <w:ind w:firstLineChars="0" w:firstLine="0"/>
              <w:jc w:val="center"/>
              <w:rPr>
                <w:rFonts w:hAnsi="仿宋_GB2312"/>
                <w:sz w:val="24"/>
                <w:szCs w:val="24"/>
              </w:rPr>
            </w:pPr>
            <w:r>
              <w:rPr>
                <w:rFonts w:hAnsi="仿宋_GB2312" w:hint="eastAsia"/>
                <w:sz w:val="24"/>
                <w:szCs w:val="24"/>
              </w:rPr>
              <w:t>（限</w:t>
            </w:r>
            <w:r>
              <w:rPr>
                <w:rFonts w:hAnsi="仿宋_GB2312" w:hint="eastAsia"/>
                <w:sz w:val="24"/>
                <w:szCs w:val="24"/>
              </w:rPr>
              <w:t>400</w:t>
            </w:r>
            <w:r>
              <w:rPr>
                <w:rFonts w:hAnsi="仿宋_GB2312" w:hint="eastAsia"/>
                <w:sz w:val="24"/>
                <w:szCs w:val="24"/>
              </w:rPr>
              <w:t>字）</w:t>
            </w:r>
          </w:p>
        </w:tc>
        <w:tc>
          <w:tcPr>
            <w:tcW w:w="6884" w:type="dxa"/>
            <w:gridSpan w:val="3"/>
            <w:tcBorders>
              <w:bottom w:val="single" w:sz="4" w:space="0" w:color="auto"/>
            </w:tcBorders>
            <w:vAlign w:val="center"/>
          </w:tcPr>
          <w:p w:rsidR="00056E39" w:rsidRPr="00BE638D" w:rsidRDefault="00056E39" w:rsidP="00056E39">
            <w:pPr>
              <w:spacing w:line="324" w:lineRule="auto"/>
              <w:ind w:firstLine="480"/>
              <w:rPr>
                <w:sz w:val="24"/>
                <w:szCs w:val="24"/>
              </w:rPr>
            </w:pPr>
            <w:r w:rsidRPr="00BE638D">
              <w:rPr>
                <w:rFonts w:hint="eastAsia"/>
                <w:sz w:val="24"/>
                <w:szCs w:val="24"/>
              </w:rPr>
              <w:t>通过深入研究和分析国内外在用电信息采集领域的研究现状，把握国内外在智能用电信息采集的前沿技术，总结技术优势，分析技术差距，为智能用电信息采集系统建设方案的确立和关键技术专题研究工作提供参考和借鉴。</w:t>
            </w:r>
          </w:p>
          <w:p w:rsidR="001122F1" w:rsidRPr="00056E39" w:rsidRDefault="00056E39" w:rsidP="00056E39">
            <w:pPr>
              <w:spacing w:line="324" w:lineRule="auto"/>
              <w:ind w:firstLine="480"/>
              <w:rPr>
                <w:sz w:val="24"/>
                <w:szCs w:val="24"/>
              </w:rPr>
            </w:pPr>
            <w:r w:rsidRPr="00BE638D">
              <w:rPr>
                <w:rFonts w:hint="eastAsia"/>
                <w:sz w:val="24"/>
                <w:szCs w:val="24"/>
              </w:rPr>
              <w:t>根据坚强智能电网和智能用电服务体系的建设规划，深入调研社会和公司发展对用电服务技术领域的重大技术需求，全面总结公司现有用电信息采集系统的研究内容和执行情况，重点对用电信息采集系统的建设方案和涉及的关键技术进行深入研究，包括：用电信息采集系统建设方案、高级量测技术、通信信道应用、安全防护技术、海量数据处理能力技术、智能电表适用性、智能通信终端适用性等。</w:t>
            </w:r>
          </w:p>
          <w:p w:rsidR="001122F1" w:rsidRPr="00056E39" w:rsidRDefault="001122F1" w:rsidP="00FD7D0F">
            <w:pPr>
              <w:widowControl/>
              <w:spacing w:line="240" w:lineRule="auto"/>
              <w:ind w:firstLineChars="0" w:firstLine="0"/>
              <w:rPr>
                <w:rFonts w:hAnsi="仿宋_GB2312"/>
                <w:sz w:val="24"/>
                <w:szCs w:val="24"/>
              </w:rPr>
            </w:pPr>
          </w:p>
        </w:tc>
      </w:tr>
    </w:tbl>
    <w:p w:rsidR="001122F1" w:rsidRDefault="001122F1" w:rsidP="001122F1">
      <w:pPr>
        <w:ind w:firstLineChars="0" w:firstLine="0"/>
        <w:rPr>
          <w:rFonts w:ascii="黑体" w:eastAsia="黑体" w:hAnsi="黑体"/>
          <w:sz w:val="28"/>
        </w:rPr>
      </w:pPr>
    </w:p>
    <w:p w:rsidR="00DC45AF" w:rsidRDefault="00DC45AF"/>
    <w:sectPr w:rsidR="00DC45A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097" w:rsidRDefault="000F7097" w:rsidP="00056E39">
      <w:pPr>
        <w:spacing w:line="240" w:lineRule="auto"/>
      </w:pPr>
      <w:r>
        <w:separator/>
      </w:r>
    </w:p>
  </w:endnote>
  <w:endnote w:type="continuationSeparator" w:id="0">
    <w:p w:rsidR="000F7097" w:rsidRDefault="000F7097" w:rsidP="00056E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E39" w:rsidRDefault="00056E39" w:rsidP="00056E39">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E39" w:rsidRDefault="00056E39" w:rsidP="00056E39">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E39" w:rsidRDefault="00056E39" w:rsidP="00056E39">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097" w:rsidRDefault="000F7097" w:rsidP="00056E39">
      <w:pPr>
        <w:spacing w:line="240" w:lineRule="auto"/>
      </w:pPr>
      <w:r>
        <w:separator/>
      </w:r>
    </w:p>
  </w:footnote>
  <w:footnote w:type="continuationSeparator" w:id="0">
    <w:p w:rsidR="000F7097" w:rsidRDefault="000F7097" w:rsidP="00056E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E39" w:rsidRDefault="00056E39" w:rsidP="00056E39">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E39" w:rsidRDefault="00056E39" w:rsidP="00056E39">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E39" w:rsidRDefault="00056E39" w:rsidP="00056E39">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2F1"/>
    <w:rsid w:val="00056E39"/>
    <w:rsid w:val="000F7097"/>
    <w:rsid w:val="001122F1"/>
    <w:rsid w:val="00DC4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2F1"/>
    <w:pPr>
      <w:widowControl w:val="0"/>
      <w:adjustRightInd w:val="0"/>
      <w:snapToGrid w:val="0"/>
      <w:spacing w:line="360" w:lineRule="auto"/>
      <w:ind w:firstLineChars="200" w:firstLine="640"/>
      <w:jc w:val="both"/>
    </w:pPr>
    <w:rPr>
      <w:rFonts w:ascii="Times New Roman" w:eastAsia="仿宋_GB2312" w:hAnsi="Times New Roman"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122F1"/>
    <w:pPr>
      <w:spacing w:after="120"/>
    </w:pPr>
    <w:rPr>
      <w:rFonts w:ascii="仿宋_GB2312"/>
      <w:spacing w:val="-4"/>
    </w:rPr>
  </w:style>
  <w:style w:type="character" w:customStyle="1" w:styleId="Char">
    <w:name w:val="正文文本 Char"/>
    <w:basedOn w:val="a0"/>
    <w:link w:val="a3"/>
    <w:rsid w:val="001122F1"/>
    <w:rPr>
      <w:rFonts w:ascii="仿宋_GB2312" w:eastAsia="仿宋_GB2312" w:hAnsi="Times New Roman" w:cs="Times New Roman"/>
      <w:spacing w:val="-4"/>
      <w:sz w:val="32"/>
      <w:szCs w:val="32"/>
    </w:rPr>
  </w:style>
  <w:style w:type="paragraph" w:styleId="a4">
    <w:name w:val="header"/>
    <w:basedOn w:val="a"/>
    <w:link w:val="Char0"/>
    <w:uiPriority w:val="99"/>
    <w:unhideWhenUsed/>
    <w:rsid w:val="00056E39"/>
    <w:pPr>
      <w:pBdr>
        <w:bottom w:val="single" w:sz="6" w:space="1" w:color="auto"/>
      </w:pBdr>
      <w:tabs>
        <w:tab w:val="center" w:pos="4153"/>
        <w:tab w:val="right" w:pos="8306"/>
      </w:tabs>
      <w:spacing w:line="240" w:lineRule="auto"/>
      <w:jc w:val="center"/>
    </w:pPr>
    <w:rPr>
      <w:sz w:val="18"/>
      <w:szCs w:val="18"/>
    </w:rPr>
  </w:style>
  <w:style w:type="character" w:customStyle="1" w:styleId="Char0">
    <w:name w:val="页眉 Char"/>
    <w:basedOn w:val="a0"/>
    <w:link w:val="a4"/>
    <w:uiPriority w:val="99"/>
    <w:rsid w:val="00056E39"/>
    <w:rPr>
      <w:rFonts w:ascii="Times New Roman" w:eastAsia="仿宋_GB2312" w:hAnsi="Times New Roman" w:cs="Times New Roman"/>
      <w:sz w:val="18"/>
      <w:szCs w:val="18"/>
    </w:rPr>
  </w:style>
  <w:style w:type="paragraph" w:styleId="a5">
    <w:name w:val="footer"/>
    <w:basedOn w:val="a"/>
    <w:link w:val="Char1"/>
    <w:uiPriority w:val="99"/>
    <w:unhideWhenUsed/>
    <w:rsid w:val="00056E39"/>
    <w:pPr>
      <w:tabs>
        <w:tab w:val="center" w:pos="4153"/>
        <w:tab w:val="right" w:pos="8306"/>
      </w:tabs>
      <w:spacing w:line="240" w:lineRule="auto"/>
      <w:jc w:val="left"/>
    </w:pPr>
    <w:rPr>
      <w:sz w:val="18"/>
      <w:szCs w:val="18"/>
    </w:rPr>
  </w:style>
  <w:style w:type="character" w:customStyle="1" w:styleId="Char1">
    <w:name w:val="页脚 Char"/>
    <w:basedOn w:val="a0"/>
    <w:link w:val="a5"/>
    <w:uiPriority w:val="99"/>
    <w:rsid w:val="00056E39"/>
    <w:rPr>
      <w:rFonts w:ascii="Times New Roman" w:eastAsia="仿宋_GB2312" w:hAnsi="Times New Roman" w:cs="Times New Roman"/>
      <w:sz w:val="18"/>
      <w:szCs w:val="18"/>
    </w:rPr>
  </w:style>
  <w:style w:type="paragraph" w:styleId="a6">
    <w:name w:val="Balloon Text"/>
    <w:basedOn w:val="a"/>
    <w:link w:val="Char2"/>
    <w:uiPriority w:val="99"/>
    <w:semiHidden/>
    <w:unhideWhenUsed/>
    <w:rsid w:val="00056E39"/>
    <w:pPr>
      <w:spacing w:line="240" w:lineRule="auto"/>
    </w:pPr>
    <w:rPr>
      <w:sz w:val="18"/>
      <w:szCs w:val="18"/>
    </w:rPr>
  </w:style>
  <w:style w:type="character" w:customStyle="1" w:styleId="Char2">
    <w:name w:val="批注框文本 Char"/>
    <w:basedOn w:val="a0"/>
    <w:link w:val="a6"/>
    <w:uiPriority w:val="99"/>
    <w:semiHidden/>
    <w:rsid w:val="00056E39"/>
    <w:rPr>
      <w:rFonts w:ascii="Times New Roman" w:eastAsia="仿宋_GB2312"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2F1"/>
    <w:pPr>
      <w:widowControl w:val="0"/>
      <w:adjustRightInd w:val="0"/>
      <w:snapToGrid w:val="0"/>
      <w:spacing w:line="360" w:lineRule="auto"/>
      <w:ind w:firstLineChars="200" w:firstLine="640"/>
      <w:jc w:val="both"/>
    </w:pPr>
    <w:rPr>
      <w:rFonts w:ascii="Times New Roman" w:eastAsia="仿宋_GB2312" w:hAnsi="Times New Roman"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122F1"/>
    <w:pPr>
      <w:spacing w:after="120"/>
    </w:pPr>
    <w:rPr>
      <w:rFonts w:ascii="仿宋_GB2312"/>
      <w:spacing w:val="-4"/>
    </w:rPr>
  </w:style>
  <w:style w:type="character" w:customStyle="1" w:styleId="Char">
    <w:name w:val="正文文本 Char"/>
    <w:basedOn w:val="a0"/>
    <w:link w:val="a3"/>
    <w:rsid w:val="001122F1"/>
    <w:rPr>
      <w:rFonts w:ascii="仿宋_GB2312" w:eastAsia="仿宋_GB2312" w:hAnsi="Times New Roman" w:cs="Times New Roman"/>
      <w:spacing w:val="-4"/>
      <w:sz w:val="32"/>
      <w:szCs w:val="32"/>
    </w:rPr>
  </w:style>
  <w:style w:type="paragraph" w:styleId="a4">
    <w:name w:val="header"/>
    <w:basedOn w:val="a"/>
    <w:link w:val="Char0"/>
    <w:uiPriority w:val="99"/>
    <w:unhideWhenUsed/>
    <w:rsid w:val="00056E39"/>
    <w:pPr>
      <w:pBdr>
        <w:bottom w:val="single" w:sz="6" w:space="1" w:color="auto"/>
      </w:pBdr>
      <w:tabs>
        <w:tab w:val="center" w:pos="4153"/>
        <w:tab w:val="right" w:pos="8306"/>
      </w:tabs>
      <w:spacing w:line="240" w:lineRule="auto"/>
      <w:jc w:val="center"/>
    </w:pPr>
    <w:rPr>
      <w:sz w:val="18"/>
      <w:szCs w:val="18"/>
    </w:rPr>
  </w:style>
  <w:style w:type="character" w:customStyle="1" w:styleId="Char0">
    <w:name w:val="页眉 Char"/>
    <w:basedOn w:val="a0"/>
    <w:link w:val="a4"/>
    <w:uiPriority w:val="99"/>
    <w:rsid w:val="00056E39"/>
    <w:rPr>
      <w:rFonts w:ascii="Times New Roman" w:eastAsia="仿宋_GB2312" w:hAnsi="Times New Roman" w:cs="Times New Roman"/>
      <w:sz w:val="18"/>
      <w:szCs w:val="18"/>
    </w:rPr>
  </w:style>
  <w:style w:type="paragraph" w:styleId="a5">
    <w:name w:val="footer"/>
    <w:basedOn w:val="a"/>
    <w:link w:val="Char1"/>
    <w:uiPriority w:val="99"/>
    <w:unhideWhenUsed/>
    <w:rsid w:val="00056E39"/>
    <w:pPr>
      <w:tabs>
        <w:tab w:val="center" w:pos="4153"/>
        <w:tab w:val="right" w:pos="8306"/>
      </w:tabs>
      <w:spacing w:line="240" w:lineRule="auto"/>
      <w:jc w:val="left"/>
    </w:pPr>
    <w:rPr>
      <w:sz w:val="18"/>
      <w:szCs w:val="18"/>
    </w:rPr>
  </w:style>
  <w:style w:type="character" w:customStyle="1" w:styleId="Char1">
    <w:name w:val="页脚 Char"/>
    <w:basedOn w:val="a0"/>
    <w:link w:val="a5"/>
    <w:uiPriority w:val="99"/>
    <w:rsid w:val="00056E39"/>
    <w:rPr>
      <w:rFonts w:ascii="Times New Roman" w:eastAsia="仿宋_GB2312" w:hAnsi="Times New Roman" w:cs="Times New Roman"/>
      <w:sz w:val="18"/>
      <w:szCs w:val="18"/>
    </w:rPr>
  </w:style>
  <w:style w:type="paragraph" w:styleId="a6">
    <w:name w:val="Balloon Text"/>
    <w:basedOn w:val="a"/>
    <w:link w:val="Char2"/>
    <w:uiPriority w:val="99"/>
    <w:semiHidden/>
    <w:unhideWhenUsed/>
    <w:rsid w:val="00056E39"/>
    <w:pPr>
      <w:spacing w:line="240" w:lineRule="auto"/>
    </w:pPr>
    <w:rPr>
      <w:sz w:val="18"/>
      <w:szCs w:val="18"/>
    </w:rPr>
  </w:style>
  <w:style w:type="character" w:customStyle="1" w:styleId="Char2">
    <w:name w:val="批注框文本 Char"/>
    <w:basedOn w:val="a0"/>
    <w:link w:val="a6"/>
    <w:uiPriority w:val="99"/>
    <w:semiHidden/>
    <w:rsid w:val="00056E39"/>
    <w:rPr>
      <w:rFonts w:ascii="Times New Roman" w:eastAsia="仿宋_GB2312"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178</Words>
  <Characters>1020</Characters>
  <Application>Microsoft Office Word</Application>
  <DocSecurity>0</DocSecurity>
  <Lines>8</Lines>
  <Paragraphs>2</Paragraphs>
  <ScaleCrop>false</ScaleCrop>
  <Company>微软中国</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vincent</cp:lastModifiedBy>
  <cp:revision>2</cp:revision>
  <dcterms:created xsi:type="dcterms:W3CDTF">2017-05-04T08:01:00Z</dcterms:created>
  <dcterms:modified xsi:type="dcterms:W3CDTF">2017-05-08T09:32:00Z</dcterms:modified>
</cp:coreProperties>
</file>