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3E18"/>
        </w:rPr>
        <w:t>WORKING ARCHITECTURE-REVIEW PACKET</w:t>
      </w:r>
    </w:p>
    <w:p>
      <w:pPr>
        <w:pStyle w:val="Title"/>
        <w:jc w:val="center"/>
      </w:pPr>
      <w:r>
        <w:t>GCSD Culinary Pathway</w:t>
      </w:r>
    </w:p>
    <w:p>
      <w:pPr>
        <w:jc w:val="center"/>
      </w:pPr>
      <w:r>
        <w:t>Jason Carlson • Corey Skinner • Kevin McCann</w:t>
        <w:br/>
        <w:t>Tuesday, July 21, 2026</w:t>
      </w:r>
    </w:p>
    <w:p>
      <w:r>
        <w:t>Meeting purpose: test the proposed architecture against actual program practice before Board-, curriculum-, or district-facing work proceeds. This packet asks what is accurate, what has gone too far, what is missing, and what should be confirmed, revised, deferred, or omitted.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7EFEA"/>
          </w:tcPr>
          <w:p>
            <w:r>
              <w:t>STATUS: Planning-stage proposal. The packet records no new authorization. GOV-10 remains the authority for active, proposed, conditional, deferred, and unresolved components.</w:t>
            </w:r>
          </w:p>
        </w:tc>
      </w:tr>
    </w:tbl>
    <w:p>
      <w:pPr>
        <w:pStyle w:val="Heading1"/>
      </w:pPr>
      <w:r>
        <w:t>1. What Exists and What the Proposal Does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Existing program strengths</w:t>
            </w:r>
          </w:p>
        </w:tc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What the proposal formalizes</w:t>
            </w:r>
          </w:p>
        </w:tc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What the proposal adds</w:t>
            </w:r>
          </w:p>
        </w:tc>
      </w:tr>
      <w:tr>
        <w:tc>
          <w:tcPr>
            <w:tcW w:type="dxa" w:w="3456"/>
          </w:tcPr>
          <w:p>
            <w:r>
              <w:t>Current culinary instruction; Advanced Culinary; in-house catering and enterprise activity; guest chefs; advisory input; current credential activity where verified.</w:t>
            </w:r>
          </w:p>
        </w:tc>
        <w:tc>
          <w:tcPr>
            <w:tcW w:type="dxa" w:w="3456"/>
          </w:tcPr>
          <w:p>
            <w:r>
              <w:t>A shared three-year story; clear progression expectations; consistent evidence language; connections among classroom, enterprise, leadership, and career preparation.</w:t>
            </w:r>
          </w:p>
        </w:tc>
        <w:tc>
          <w:tcPr>
            <w:tcW w:type="dxa" w:w="3456"/>
          </w:tcPr>
          <w:p>
            <w:r>
              <w:t>Six proposed Gateways; a Culinary Passport; a proposed Kitchen Management structure; a conditional senior external-WBL model; controlled companion documents and audience-specific website paths.</w:t>
            </w:r>
          </w:p>
        </w:tc>
      </w:tr>
    </w:tbl>
    <w:p>
      <w:pPr>
        <w:pStyle w:val="Heading1"/>
      </w:pPr>
      <w:r>
        <w:t>2. Proposed Three-Year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592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Primary setting</w:t>
            </w:r>
          </w:p>
        </w:tc>
        <w:tc>
          <w:tcPr>
            <w:tcW w:type="dxa" w:w="2592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Proposed progression</w:t>
            </w:r>
          </w:p>
        </w:tc>
        <w:tc>
          <w:tcPr>
            <w:tcW w:type="dxa" w:w="2592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Decision needed</w:t>
            </w:r>
          </w:p>
        </w:tc>
      </w:tr>
      <w:tr>
        <w:tc>
          <w:tcPr>
            <w:tcW w:type="dxa" w:w="2592"/>
          </w:tcPr>
          <w:p>
            <w:r>
              <w:t>Year 1</w:t>
            </w:r>
          </w:p>
        </w:tc>
        <w:tc>
          <w:tcPr>
            <w:tcW w:type="dxa" w:w="2592"/>
          </w:tcPr>
          <w:p>
            <w:r>
              <w:t>Culinary 1 / Culinary 2</w:t>
            </w:r>
          </w:p>
        </w:tc>
        <w:tc>
          <w:tcPr>
            <w:tcW w:type="dxa" w:w="2592"/>
          </w:tcPr>
          <w:p>
            <w:r>
              <w:t>Foundational safety, routines, technical skills, employability habits, and Gateways 1–3 evidence.</w:t>
            </w:r>
          </w:p>
        </w:tc>
        <w:tc>
          <w:tcPr>
            <w:tcW w:type="dxa" w:w="2592"/>
          </w:tcPr>
          <w:p>
            <w:r>
              <w:t>Confirm official names, grades, credits, schedule, and current sequence.</w:t>
            </w:r>
          </w:p>
        </w:tc>
      </w:tr>
      <w:tr>
        <w:tc>
          <w:tcPr>
            <w:tcW w:type="dxa" w:w="2592"/>
          </w:tcPr>
          <w:p>
            <w:r>
              <w:t>Year 2</w:t>
            </w:r>
          </w:p>
        </w:tc>
        <w:tc>
          <w:tcPr>
            <w:tcW w:type="dxa" w:w="2592"/>
          </w:tcPr>
          <w:p>
            <w:r>
              <w:t>Advanced Culinary and The Cottage</w:t>
            </w:r>
          </w:p>
        </w:tc>
        <w:tc>
          <w:tcPr>
            <w:tcW w:type="dxa" w:w="2592"/>
          </w:tcPr>
          <w:p>
            <w:r>
              <w:t>Applied production, client-centered work, increased independence, and Gateway 4 evidence.</w:t>
            </w:r>
          </w:p>
        </w:tc>
        <w:tc>
          <w:tcPr>
            <w:tcW w:type="dxa" w:w="2592"/>
          </w:tcPr>
          <w:p>
            <w:r>
              <w:t>Confirm The Cottage name, Olympia counterpart, and current practices.</w:t>
            </w:r>
          </w:p>
        </w:tc>
      </w:tr>
      <w:tr>
        <w:tc>
          <w:tcPr>
            <w:tcW w:type="dxa" w:w="2592"/>
          </w:tcPr>
          <w:p>
            <w:r>
              <w:t>Year 3</w:t>
            </w:r>
          </w:p>
        </w:tc>
        <w:tc>
          <w:tcPr>
            <w:tcW w:type="dxa" w:w="2592"/>
          </w:tcPr>
          <w:p>
            <w:r>
              <w:t>Proposed Kitchen Management; conditional external WBL</w:t>
            </w:r>
          </w:p>
        </w:tc>
        <w:tc>
          <w:tcPr>
            <w:tcW w:type="dxa" w:w="2592"/>
          </w:tcPr>
          <w:p>
            <w:r>
              <w:t>Leadership, planning, supervision, Gateway 5, and—only if authorized—Gateway 6 external evidence.</w:t>
            </w:r>
          </w:p>
        </w:tc>
        <w:tc>
          <w:tcPr>
            <w:tcW w:type="dxa" w:w="2592"/>
          </w:tcPr>
          <w:p>
            <w:r>
              <w:t>Confirm course purpose; decide whether senior WBL and any hour expectation should remain in the proposal.</w:t>
            </w:r>
          </w:p>
        </w:tc>
      </w:tr>
    </w:tbl>
    <w:p>
      <w:pPr>
        <w:pStyle w:val="Heading1"/>
      </w:pPr>
      <w:r>
        <w:t>3. Six Gateways and the Culinary Passport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Gateway</w:t>
            </w:r>
          </w:p>
        </w:tc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Progression question</w:t>
            </w:r>
          </w:p>
        </w:tc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Current proposal status</w:t>
            </w:r>
          </w:p>
        </w:tc>
      </w:tr>
      <w:tr>
        <w:tc>
          <w:tcPr>
            <w:tcW w:type="dxa" w:w="3456"/>
          </w:tcPr>
          <w:p>
            <w:r>
              <w:t>Gateway 1</w:t>
            </w:r>
          </w:p>
        </w:tc>
        <w:tc>
          <w:tcPr>
            <w:tcW w:type="dxa" w:w="3456"/>
          </w:tcPr>
          <w:p>
            <w:r>
              <w:t>Can the student work safely and follow core kitchen routines?</w:t>
            </w:r>
          </w:p>
        </w:tc>
        <w:tc>
          <w:tcPr>
            <w:tcW w:type="dxa" w:w="3456"/>
          </w:tcPr>
          <w:p>
            <w:r>
              <w:t>Proposed framework</w:t>
            </w:r>
          </w:p>
        </w:tc>
      </w:tr>
      <w:tr>
        <w:tc>
          <w:tcPr>
            <w:tcW w:type="dxa" w:w="3456"/>
          </w:tcPr>
          <w:p>
            <w:r>
              <w:t>Gateway 2</w:t>
            </w:r>
          </w:p>
        </w:tc>
        <w:tc>
          <w:tcPr>
            <w:tcW w:type="dxa" w:w="3456"/>
          </w:tcPr>
          <w:p>
            <w:r>
              <w:t>Can the student complete foundational production with consistent quality?</w:t>
            </w:r>
          </w:p>
        </w:tc>
        <w:tc>
          <w:tcPr>
            <w:tcW w:type="dxa" w:w="3456"/>
          </w:tcPr>
          <w:p>
            <w:r>
              <w:t>Proposed framework</w:t>
            </w:r>
          </w:p>
        </w:tc>
      </w:tr>
      <w:tr>
        <w:tc>
          <w:tcPr>
            <w:tcW w:type="dxa" w:w="3456"/>
          </w:tcPr>
          <w:p>
            <w:r>
              <w:t>Gateway 3</w:t>
            </w:r>
          </w:p>
        </w:tc>
        <w:tc>
          <w:tcPr>
            <w:tcW w:type="dxa" w:w="3456"/>
          </w:tcPr>
          <w:p>
            <w:r>
              <w:t>Can the student work with growing independence and professional habits?</w:t>
            </w:r>
          </w:p>
        </w:tc>
        <w:tc>
          <w:tcPr>
            <w:tcW w:type="dxa" w:w="3456"/>
          </w:tcPr>
          <w:p>
            <w:r>
              <w:t>Proposed framework</w:t>
            </w:r>
          </w:p>
        </w:tc>
      </w:tr>
      <w:tr>
        <w:tc>
          <w:tcPr>
            <w:tcW w:type="dxa" w:w="3456"/>
          </w:tcPr>
          <w:p>
            <w:r>
              <w:t>Gateway 4</w:t>
            </w:r>
          </w:p>
        </w:tc>
        <w:tc>
          <w:tcPr>
            <w:tcW w:type="dxa" w:w="3456"/>
          </w:tcPr>
          <w:p>
            <w:r>
              <w:t>Can the student contribute reliably in client-centered school-based enterprise?</w:t>
            </w:r>
          </w:p>
        </w:tc>
        <w:tc>
          <w:tcPr>
            <w:tcW w:type="dxa" w:w="3456"/>
          </w:tcPr>
          <w:p>
            <w:r>
              <w:t>Proposed framework; current practices require confirmation</w:t>
            </w:r>
          </w:p>
        </w:tc>
      </w:tr>
      <w:tr>
        <w:tc>
          <w:tcPr>
            <w:tcW w:type="dxa" w:w="3456"/>
          </w:tcPr>
          <w:p>
            <w:r>
              <w:t>Gateway 5</w:t>
            </w:r>
          </w:p>
        </w:tc>
        <w:tc>
          <w:tcPr>
            <w:tcW w:type="dxa" w:w="3456"/>
          </w:tcPr>
          <w:p>
            <w:r>
              <w:t>Can the student plan, lead, communicate, and inspect work responsibly?</w:t>
            </w:r>
          </w:p>
        </w:tc>
        <w:tc>
          <w:tcPr>
            <w:tcW w:type="dxa" w:w="3456"/>
          </w:tcPr>
          <w:p>
            <w:r>
              <w:t>Proposed; tied to unconfirmed Kitchen Management structure</w:t>
            </w:r>
          </w:p>
        </w:tc>
      </w:tr>
      <w:tr>
        <w:tc>
          <w:tcPr>
            <w:tcW w:type="dxa" w:w="3456"/>
          </w:tcPr>
          <w:p>
            <w:r>
              <w:t>Gateway 6</w:t>
            </w:r>
          </w:p>
        </w:tc>
        <w:tc>
          <w:tcPr>
            <w:tcW w:type="dxa" w:w="3456"/>
          </w:tcPr>
          <w:p>
            <w:r>
              <w:t>Can the student demonstrate readiness in a supervised external setting?</w:t>
            </w:r>
          </w:p>
        </w:tc>
        <w:tc>
          <w:tcPr>
            <w:tcW w:type="dxa" w:w="3456"/>
          </w:tcPr>
          <w:p>
            <w:r>
              <w:t>Conditional planning draft; not authorized</w:t>
            </w:r>
          </w:p>
        </w:tc>
      </w:tr>
    </w:tbl>
    <w:p>
      <w:r>
        <w:t>The Culinary Passport is the proposed controlled record of demonstrated competencies and supporting evidence. Experiences provide evidence; competencies determine progression. It is not a public record, and its use and verification authority require Jason/Corey confirmation.</w:t>
      </w:r>
    </w:p>
    <w:p>
      <w:pPr>
        <w:pStyle w:val="Heading1"/>
      </w:pPr>
      <w:r>
        <w:t>4. Learning Environments and Responsibility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Role in the proposal</w:t>
            </w:r>
          </w:p>
        </w:tc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Status boundary</w:t>
            </w:r>
          </w:p>
        </w:tc>
      </w:tr>
      <w:tr>
        <w:tc>
          <w:tcPr>
            <w:tcW w:type="dxa" w:w="3456"/>
          </w:tcPr>
          <w:p>
            <w:r>
              <w:t>Classroom and lab</w:t>
            </w:r>
          </w:p>
        </w:tc>
        <w:tc>
          <w:tcPr>
            <w:tcW w:type="dxa" w:w="3456"/>
          </w:tcPr>
          <w:p>
            <w:r>
              <w:t>Teach, practice, correct, and verify foundational and advanced competencies.</w:t>
            </w:r>
          </w:p>
        </w:tc>
        <w:tc>
          <w:tcPr>
            <w:tcW w:type="dxa" w:w="3456"/>
          </w:tcPr>
          <w:p>
            <w:r>
              <w:t>Existing setting; exact course structure to confirm.</w:t>
            </w:r>
          </w:p>
        </w:tc>
      </w:tr>
      <w:tr>
        <w:tc>
          <w:tcPr>
            <w:tcW w:type="dxa" w:w="3456"/>
          </w:tcPr>
          <w:p>
            <w:r>
              <w:t>Advanced Culinary</w:t>
            </w:r>
          </w:p>
        </w:tc>
        <w:tc>
          <w:tcPr>
            <w:tcW w:type="dxa" w:w="3456"/>
          </w:tcPr>
          <w:p>
            <w:r>
              <w:t>Increase complexity, production responsibility, and client-centered evidence.</w:t>
            </w:r>
          </w:p>
        </w:tc>
        <w:tc>
          <w:tcPr>
            <w:tcW w:type="dxa" w:w="3456"/>
          </w:tcPr>
          <w:p>
            <w:r>
              <w:t>Existing course; official details to confirm.</w:t>
            </w:r>
          </w:p>
        </w:tc>
      </w:tr>
      <w:tr>
        <w:tc>
          <w:tcPr>
            <w:tcW w:type="dxa" w:w="3456"/>
          </w:tcPr>
          <w:p>
            <w:r>
              <w:t>The Cottage</w:t>
            </w:r>
          </w:p>
        </w:tc>
        <w:tc>
          <w:tcPr>
            <w:tcW w:type="dxa" w:w="3456"/>
          </w:tcPr>
          <w:p>
            <w:r>
              <w:t>School-based enterprise environment for authentic production and service evidence.</w:t>
            </w:r>
          </w:p>
        </w:tc>
        <w:tc>
          <w:tcPr>
            <w:tcW w:type="dxa" w:w="3456"/>
          </w:tcPr>
          <w:p>
            <w:r>
              <w:t>Existing activity; proposed formal structure requires confirmation.</w:t>
            </w:r>
          </w:p>
        </w:tc>
      </w:tr>
      <w:tr>
        <w:tc>
          <w:tcPr>
            <w:tcW w:type="dxa" w:w="3456"/>
          </w:tcPr>
          <w:p>
            <w:r>
              <w:t>Kitchen Management</w:t>
            </w:r>
          </w:p>
        </w:tc>
        <w:tc>
          <w:tcPr>
            <w:tcW w:type="dxa" w:w="3456"/>
          </w:tcPr>
          <w:p>
            <w:r>
              <w:t>Proposed leadership environment for planning, delegation, quality control, and Gateway 5.</w:t>
            </w:r>
          </w:p>
        </w:tc>
        <w:tc>
          <w:tcPr>
            <w:tcW w:type="dxa" w:w="3456"/>
          </w:tcPr>
          <w:p>
            <w:r>
              <w:t>Proposed; not confirmed as an active course.</w:t>
            </w:r>
          </w:p>
        </w:tc>
      </w:tr>
      <w:tr>
        <w:tc>
          <w:tcPr>
            <w:tcW w:type="dxa" w:w="3456"/>
          </w:tcPr>
          <w:p>
            <w:r>
              <w:t>External WBL</w:t>
            </w:r>
          </w:p>
        </w:tc>
        <w:tc>
          <w:tcPr>
            <w:tcW w:type="dxa" w:w="3456"/>
          </w:tcPr>
          <w:p>
            <w:r>
              <w:t>Conditional supervised setting for individualized training-plan evidence and Gateway 6.</w:t>
            </w:r>
          </w:p>
        </w:tc>
        <w:tc>
          <w:tcPr>
            <w:tcW w:type="dxa" w:w="3456"/>
          </w:tcPr>
          <w:p>
            <w:r>
              <w:t>Not authorized; depends on staffing, legal/policy review, placement access, and district action.</w:t>
            </w:r>
          </w:p>
        </w:tc>
      </w:tr>
    </w:tbl>
    <w:p>
      <w:pPr>
        <w:pStyle w:val="Heading1"/>
      </w:pPr>
      <w:r>
        <w:t>5. Proposed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Proposed contribution</w:t>
            </w:r>
          </w:p>
        </w:tc>
        <w:tc>
          <w:tcPr>
            <w:tcW w:type="dxa" w:w="3456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Boundary to confirm</w:t>
            </w:r>
          </w:p>
        </w:tc>
      </w:tr>
      <w:tr>
        <w:tc>
          <w:tcPr>
            <w:tcW w:type="dxa" w:w="3456"/>
          </w:tcPr>
          <w:p>
            <w:r>
              <w:t>Jason Carlson</w:t>
            </w:r>
          </w:p>
        </w:tc>
        <w:tc>
          <w:tcPr>
            <w:tcW w:type="dxa" w:w="3456"/>
          </w:tcPr>
          <w:p>
            <w:r>
              <w:t>Established program lead; validates program reality, terminology, sequence, and implementation fit.</w:t>
            </w:r>
          </w:p>
        </w:tc>
        <w:tc>
          <w:tcPr>
            <w:tcW w:type="dxa" w:w="3456"/>
          </w:tcPr>
          <w:p>
            <w:r>
              <w:t>The proposal supports rather than displaces established leadership.</w:t>
            </w:r>
          </w:p>
        </w:tc>
      </w:tr>
      <w:tr>
        <w:tc>
          <w:tcPr>
            <w:tcW w:type="dxa" w:w="3456"/>
          </w:tcPr>
          <w:p>
            <w:r>
              <w:t>Corey Skinner</w:t>
            </w:r>
          </w:p>
        </w:tc>
        <w:tc>
          <w:tcPr>
            <w:tcW w:type="dxa" w:w="3456"/>
          </w:tcPr>
          <w:p>
            <w:r>
              <w:t>Program-coordination perspective; validates course, building, process, and district dependencies.</w:t>
            </w:r>
          </w:p>
        </w:tc>
        <w:tc>
          <w:tcPr>
            <w:tcW w:type="dxa" w:w="3456"/>
          </w:tcPr>
          <w:p>
            <w:r>
              <w:t>Specific authority and operating responsibilities require confirmation.</w:t>
            </w:r>
          </w:p>
        </w:tc>
      </w:tr>
      <w:tr>
        <w:tc>
          <w:tcPr>
            <w:tcW w:type="dxa" w:w="3456"/>
          </w:tcPr>
          <w:p>
            <w:r>
              <w:t>Kevin McCann</w:t>
            </w:r>
          </w:p>
        </w:tc>
        <w:tc>
          <w:tcPr>
            <w:tcW w:type="dxa" w:w="3456"/>
          </w:tcPr>
          <w:p>
            <w:r>
              <w:t>Project author and culinary educator; prepares, revises, and presents the planning system.</w:t>
            </w:r>
          </w:p>
        </w:tc>
        <w:tc>
          <w:tcPr>
            <w:tcW w:type="dxa" w:w="3456"/>
          </w:tcPr>
          <w:p>
            <w:r>
              <w:t>Does not claim authority not granted by Jason, Corey, district leadership, or the Board.</w:t>
            </w:r>
          </w:p>
        </w:tc>
      </w:tr>
      <w:tr>
        <w:tc>
          <w:tcPr>
            <w:tcW w:type="dxa" w:w="3456"/>
          </w:tcPr>
          <w:p>
            <w:r>
              <w:t>Classroom teachers</w:t>
            </w:r>
          </w:p>
        </w:tc>
        <w:tc>
          <w:tcPr>
            <w:tcW w:type="dxa" w:w="3456"/>
          </w:tcPr>
          <w:p>
            <w:r>
              <w:t>Teach, observe, document, and provide Gateway evidence using shared expectations.</w:t>
            </w:r>
          </w:p>
        </w:tc>
        <w:tc>
          <w:tcPr>
            <w:tcW w:type="dxa" w:w="3456"/>
          </w:tcPr>
          <w:p>
            <w:r>
              <w:t>Verification roles and workload require agreement.</w:t>
            </w:r>
          </w:p>
        </w:tc>
      </w:tr>
      <w:tr>
        <w:tc>
          <w:tcPr>
            <w:tcW w:type="dxa" w:w="3456"/>
          </w:tcPr>
          <w:p>
            <w:r>
              <w:t>District leadership</w:t>
            </w:r>
          </w:p>
        </w:tc>
        <w:tc>
          <w:tcPr>
            <w:tcW w:type="dxa" w:w="3456"/>
          </w:tcPr>
          <w:p>
            <w:r>
              <w:t>Determines curriculum, staffing, policy, resource, legal, and Board pathways.</w:t>
            </w:r>
          </w:p>
        </w:tc>
        <w:tc>
          <w:tcPr>
            <w:tcW w:type="dxa" w:w="3456"/>
          </w:tcPr>
          <w:p>
            <w:r>
              <w:t>No approval is inferred from this packet.</w:t>
            </w:r>
          </w:p>
        </w:tc>
      </w:tr>
      <w:tr>
        <w:tc>
          <w:tcPr>
            <w:tcW w:type="dxa" w:w="3456"/>
          </w:tcPr>
          <w:p>
            <w:r>
              <w:t>Credentialed WBL Coordinator</w:t>
            </w:r>
          </w:p>
        </w:tc>
        <w:tc>
          <w:tcPr>
            <w:tcW w:type="dxa" w:w="3456"/>
          </w:tcPr>
          <w:p>
            <w:r>
              <w:t>Would oversee compliant external placements, monitoring, records, and employer coordination.</w:t>
            </w:r>
          </w:p>
        </w:tc>
        <w:tc>
          <w:tcPr>
            <w:tcW w:type="dxa" w:w="3456"/>
          </w:tcPr>
          <w:p>
            <w:r>
              <w:t>Role, staffing, and authority are conditional and unresolved.</w:t>
            </w:r>
          </w:p>
        </w:tc>
      </w:tr>
    </w:tbl>
    <w:p>
      <w:r>
        <w:br w:type="page"/>
      </w:r>
    </w:p>
    <w:p>
      <w:pPr>
        <w:pStyle w:val="Heading1"/>
      </w:pPr>
      <w:r>
        <w:t>6. Supporting Document System</w:t>
      </w:r>
    </w:p>
    <w:p>
      <w:r>
        <w:t>The meeting packet is a guide, not a substitute for the controlled system. Current supporting material includes:</w:t>
      </w:r>
    </w:p>
    <w:p>
      <w:pPr>
        <w:pStyle w:val="ListBullet"/>
      </w:pPr>
      <w:r>
        <w:t>Governance: GOV-01 Canon through GOV-13 website standards; Matrix; Production Control Log. Meeting use: Authority, language, status, ownership, and document control.</w:t>
      </w:r>
    </w:p>
    <w:p>
      <w:pPr>
        <w:pStyle w:val="ListBullet"/>
      </w:pPr>
      <w:r>
        <w:t>Curriculum and progression: CUR-01/02/03/05/06/07/08; CMP-01/02/03–08/14. Meeting use: Sequence, competencies, evidence, Gateways, Passport, credentials.</w:t>
      </w:r>
    </w:p>
    <w:p>
      <w:pPr>
        <w:pStyle w:val="ListBullet"/>
      </w:pPr>
      <w:r>
        <w:t>The Cottage and leadership: SBE and KM controlled packets. Meeting use: Current practice versus proposed operating structure.</w:t>
      </w:r>
    </w:p>
    <w:p>
      <w:pPr>
        <w:pStyle w:val="ListBullet"/>
      </w:pPr>
      <w:r>
        <w:t>Employer and external WBL: EMP and OPS controlled templates plus legal/policy dependency log. Meeting use: Conditional model and dependencies only.</w:t>
      </w:r>
    </w:p>
    <w:p>
      <w:pPr>
        <w:pStyle w:val="ListBullet"/>
      </w:pPr>
      <w:r>
        <w:t>Website: WEB-01/19/22/24; GOV-13; staged pages. Meeting use: Explore versus Participate information architecture.</w:t>
      </w:r>
    </w:p>
    <w:p>
      <w:pPr>
        <w:pStyle w:val="ListBullet"/>
      </w:pPr>
      <w:r>
        <w:t>Four-book series: Books 1–4. Meeting use: Depth behind the proposal; not reviewed page by page in this meeting.</w:t>
      </w:r>
    </w:p>
    <w:p>
      <w:pPr>
        <w:pStyle w:val="Heading1"/>
      </w:pPr>
      <w:r>
        <w:t>7. Jason/Corey Decision Register</w:t>
      </w:r>
    </w:p>
    <w:p>
      <w:r>
        <w:t>For each item, select one response and add the correction or evidence needed. A checked response records meeting direction; formal authorization still follows the appropriate district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184"/>
            <w:shd w:fill="18392B"/>
            <w:vAlign w:val="center"/>
          </w:tcPr>
          <w:p>
            <w:r>
              <w:rPr>
                <w:b/>
                <w:color w:val="FFFFFF"/>
                <w:sz w:val="17"/>
              </w:rPr>
              <w:t>Response and notes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Official course names</w:t>
              <w:br/>
              <w:t>What names should the proposal use?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Grades and sequence</w:t>
              <w:br/>
              <w:t>Which students take each course, and in what order?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Credits and scheduling</w:t>
              <w:br/>
              <w:t>What credit, duration, and scheduling facts are verified?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Kitchen Management</w:t>
              <w:br/>
              <w:t>Is it current, proposed, or unsuitable; what is its proper purpose?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Gateway structure</w:t>
              <w:br/>
              <w:t>Do six Gateways accurately describe progression?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Culinary Passport</w:t>
              <w:br/>
              <w:t>Should the Passport be used, and by whom?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Gateway verification authority</w:t>
              <w:br/>
              <w:t>Who may verify each Gateway and resolve disagreements?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The Cottage</w:t>
              <w:br/>
              <w:t>Confirm the name, current practices, and appropriate role in progression.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Olympia client-centered model</w:t>
              <w:br/>
              <w:t>What corresponding model exists or is desired at Olympia?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Credentials and technical assessments</w:t>
              <w:br/>
              <w:t>Which are actually used, available, or authorized?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SkillsUSA</w:t>
              <w:br/>
              <w:t>Is activity exploratory, active, planned, or not part of this proposal?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Pathway-wide capstone</w:t>
              <w:br/>
              <w:t>Should a shared capstone direction be retained, revised, deferred, or omitted?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Senior WBL model</w:t>
              <w:br/>
              <w:t>Should the conditional external-WBL course model remain in the architecture?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Proposed 300-hour requirement</w:t>
              <w:br/>
              <w:t>Is 300 hours evidence-based, appropriate to explore, or to be removed?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Staffing and coordinator authority</w:t>
              <w:br/>
              <w:t>What role, credential, capacity, and supervision model are realistic?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Transportation and access</w:t>
              <w:br/>
              <w:t>What constraints or supports must the proposal acknowledge?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Implementation timing</w:t>
              <w:br/>
              <w:t>What could reasonably be reviewed or phased, and when?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Board and curriculum pathway</w:t>
              <w:br/>
              <w:t>What approvals and sequence are actually required?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Public versus participant information</w:t>
              <w:br/>
              <w:t>What should be public, role-based, or restricted?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Architecture fit</w:t>
              <w:br/>
              <w:t>What does not match Jason and Corey's understanding of the program?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7"/>
              </w:rPr>
              <w:t>☐ Confirm as proposed   ☐ Confirm with revision   ☐ Need more information   ☐ Do not include</w:t>
              <w:br/>
              <w:t>Notes / evidence: ______________________________________________</w:t>
              <w:br/>
              <w:t>_______________________________________________________________</w:t>
            </w:r>
          </w:p>
        </w:tc>
      </w:tr>
    </w:tbl>
    <w:p>
      <w:pPr>
        <w:pStyle w:val="Heading1"/>
      </w:pPr>
      <w:r>
        <w:t>8. Closeout</w:t>
      </w:r>
    </w:p>
    <w:p>
      <w:r>
        <w:t>Decisions confirmed today: ______________________________________________________________</w:t>
      </w:r>
    </w:p>
    <w:p>
      <w:r>
        <w:t>Items requiring evidence or follow-up: __________________________________________________</w:t>
      </w:r>
    </w:p>
    <w:p>
      <w:r>
        <w:t>Owner(s) and due date(s): ______________________________________________________________</w:t>
      </w:r>
    </w:p>
    <w:p>
      <w:r>
        <w:t>Next review point: 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Planning-stage working packet — not adopted district policy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GCSD Culinary Pathway | Working Architecture Review | July 21,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A3E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