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Curriculum Document</w:t>
      </w:r>
    </w:p>
    <w:p>
      <w:pPr>
        <w:spacing w:after="120"/>
      </w:pPr>
      <w:r>
        <w:rPr>
          <w:b/>
          <w:bCs/>
          <w:color w:val="1F3A5F"/>
          <w:sz w:val="52"/>
          <w:szCs w:val="52"/>
        </w:rPr>
        <w:t xml:space="preserve">Course Alignment Memo</w:t>
      </w:r>
    </w:p>
    <w:p>
      <w:pPr>
        <w:spacing w:after="400"/>
      </w:pPr>
      <w:r>
        <w:rPr>
          <w:i/>
          <w:iCs/>
          <w:color w:val="666666"/>
          <w:sz w:val="26"/>
          <w:szCs w:val="26"/>
        </w:rPr>
        <w:t xml:space="preserve">Culinary 1, Culinary 2, and Advanced Culinary — realigned to Gateways 1 through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CUR-01 / CUR-02 (combined per WP2A/WP3 Reconciliation Memo)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Course Alignment Memo: Culinary 1, Culinary 2, and Advanced Culinary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 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Realign the existing Culinary 1, Culinary 2, and Advanced Culinary scope and sequence to Gateways 1-3 (Culinary 1/2) and Gateway 4 (Advanced Culinary), using canonical terminology and current course evidence.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 — 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 Staff curriculum planning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Book Two Ch.11, Ch.12, Appendix B; CA 1 &amp; 2 outline 8/8/25; Advanced Culinary Scope and Sequence 2023-2024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course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Revises (does not replace) the source scope-and-sequence documents, which remain the underlying curriculum record.</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Purpose and Scope</w:t>
      </w:r>
    </w:p>
    <w:p>
      <w:pPr>
        <w:spacing w:after="160"/>
      </w:pPr>
      <w:r>
        <w:rPr>
          <w:sz w:val="21"/>
          <w:szCs w:val="21"/>
        </w:rPr>
        <w:t xml:space="preserve">This memo realigns three existing, currently-taught GCSD courses — Culinary 1, Culinary 2, and Advanced Culinary — to the Culinary Pathway Canon's Six Gateway Model. It formalizes work the department already does; it does not propose new courses, new content, or new instructional time. Culinary 1 and Culinary 2 establish Gateways 1 through 3. Advanced Culinary, taught in the school-based enterprise environment known as The Cottage, establishes Gateway 4.</w:t>
      </w:r>
    </w:p>
    <w:p>
      <w:pPr>
        <w:spacing w:after="160"/>
      </w:pPr>
      <w:r>
        <w:rPr>
          <w:sz w:val="21"/>
          <w:szCs w:val="21"/>
        </w:rPr>
        <w:t xml:space="preserve">Per the WP2A/WP3 Production Reconciliation Memo Section 3, this memo consolidates Register items CUR-01 (Culinary 1/2) and CUR-02 (Advanced Culinary) into a single document. All three courses share the same owner (Culinary Teachers), the same revision logic (align terminology, Gateways, and evidence to the Canon), and are reviewed together — one memo avoids drift between two or three separate ones.</w:t>
      </w:r>
    </w:p>
    <w:p>
      <w:pPr>
        <w:spacing w:after="160"/>
      </w:pPr>
      <w:r>
        <w:rPr>
          <w:sz w:val="21"/>
          <w:szCs w:val="21"/>
        </w:rPr>
        <w:t xml:space="preserve">This memo is a revision of the department's own August 2025 Culinary 1 &amp; 2 outline and the 2023-2024 Advanced Culinary Scope and Sequence. It preserves their real instructional content — units, weeks, labs, and pop-up events — and adds Gateway alignment, canonical terminology, and evidence sourcing. It is not a rewrite of the curriculum from scratch.</w:t>
      </w:r>
    </w:p>
    <w:p>
      <w:pPr>
        <w:pStyle w:val="Heading1"/>
        <w:spacing w:after="160" w:before="320"/>
      </w:pPr>
      <w:r>
        <w:rPr>
          <w:color w:val="1F3A5F"/>
        </w:rPr>
        <w:t xml:space="preserve">Governing Terms (Canon v3.0)</w:t>
      </w:r>
    </w:p>
    <w:p>
      <w:pPr>
        <w:spacing w:after="140"/>
      </w:pPr>
      <w:r>
        <w:rPr>
          <w:b/>
          <w:bCs/>
          <w:color w:val="1F3A5F"/>
          <w:sz w:val="21"/>
          <w:szCs w:val="21"/>
        </w:rPr>
        <w:t xml:space="preserve">Gateway 1 — Cleared for Supervised Kitchen Participation — </w:t>
      </w:r>
      <w:r>
        <w:rPr>
          <w:sz w:val="21"/>
          <w:szCs w:val="21"/>
        </w:rPr>
        <w:t xml:space="preserve">Safety, sanitation, food safety, personal hygiene, emergency procedures, basic equipment safety, and professional expectations.</w:t>
      </w:r>
    </w:p>
    <w:p>
      <w:pPr>
        <w:spacing w:after="140"/>
      </w:pPr>
      <w:r>
        <w:rPr>
          <w:b/>
          <w:bCs/>
          <w:color w:val="1F3A5F"/>
          <w:sz w:val="21"/>
          <w:szCs w:val="21"/>
        </w:rPr>
        <w:t xml:space="preserve">Gateway 2 — Demonstrated Kitchen-Work Readiness — </w:t>
      </w:r>
      <w:r>
        <w:rPr>
          <w:sz w:val="21"/>
          <w:szCs w:val="21"/>
        </w:rPr>
        <w:t xml:space="preserve">Mise en place, station organization, recipe interpretation, measuring and scaling, knife skills, time management, team communication, kitchen systems, and cleanup/closing procedures.</w:t>
      </w:r>
    </w:p>
    <w:p>
      <w:pPr>
        <w:spacing w:after="140"/>
      </w:pPr>
      <w:r>
        <w:rPr>
          <w:b/>
          <w:bCs/>
          <w:color w:val="1F3A5F"/>
          <w:sz w:val="21"/>
          <w:szCs w:val="21"/>
        </w:rPr>
        <w:t xml:space="preserve">Gateway 3 — Demonstrated Foundational Culinary Competence — </w:t>
      </w:r>
      <w:r>
        <w:rPr>
          <w:sz w:val="21"/>
          <w:szCs w:val="21"/>
        </w:rPr>
        <w:t xml:space="preserve">Earned throughout Culinary 1 and Culinary 2. Represents readiness to enter Advanced Culinary: culinary techniques, ingredient knowledge, product quality, and consistent instructional performance.</w:t>
      </w:r>
    </w:p>
    <w:p>
      <w:pPr>
        <w:spacing w:after="140"/>
      </w:pPr>
      <w:r>
        <w:rPr>
          <w:b/>
          <w:bCs/>
          <w:color w:val="1F3A5F"/>
          <w:sz w:val="21"/>
          <w:szCs w:val="21"/>
        </w:rPr>
        <w:t xml:space="preserve">Gateway 4 — Demonstrated Client-Centered Culinary Performance — </w:t>
      </w:r>
      <w:r>
        <w:rPr>
          <w:sz w:val="21"/>
          <w:szCs w:val="21"/>
        </w:rPr>
        <w:t xml:space="preserve">Earned through Advanced Culinary and The Cottage: authentic production, catering, client expectations, event execution, quality control, and professional service.</w:t>
      </w:r>
    </w:p>
    <w:p>
      <w:pPr>
        <w:spacing w:after="160"/>
      </w:pPr>
      <w:r>
        <w:rPr>
          <w:sz w:val="21"/>
          <w:szCs w:val="21"/>
        </w:rPr>
        <w:t xml:space="preserve">The Cottage is the Culinary Pathway's School-Based Enterprise (SBE). Its educational purpose is authentic, client-centered learning — it is not simply a catering business, and this memo does not describe it as one. The Advanced Culinary pop-up events referenced below (CTE Night, Titan Bake Sale, and similar events) are the current, existing form of Cottage activity; formal branding and operating documents for The Cottage are addressed separately in the (deferred) Work Package 4 SBE documents, not here.</w:t>
      </w:r>
    </w:p>
    <w:p>
      <w:pPr>
        <w:pStyle w:val="Heading1"/>
        <w:spacing w:after="160" w:before="320"/>
      </w:pPr>
      <w:r>
        <w:rPr>
          <w:color w:val="1F3A5F"/>
        </w:rPr>
        <w:t xml:space="preserve">Part I — Culinary 1 and Culinary 2 (Grade 10, Gateways 1-3)</w:t>
      </w:r>
    </w:p>
    <w:p>
      <w:pPr>
        <w:spacing w:after="160"/>
      </w:pPr>
      <w:r>
        <w:rPr>
          <w:sz w:val="21"/>
          <w:szCs w:val="21"/>
        </w:rPr>
        <w:t xml:space="preserve">Culinary 1 and Culinary 2 remain two distinct, separately scheduled courses, but their evidence forms one developmental foundation for the pathway (Book Two Ch.11). The existing 35-week outline, organized into nine instructional units with a repeated 3-day lab cycle (20% of each lab day dedicated to cleanup and station preparation), maps directly onto Gateways 1 through 3 without any change to sequence, pacing, or lab content.</w:t>
      </w:r>
    </w:p>
    <w:p>
      <w:pPr>
        <w:pStyle w:val="Heading2"/>
        <w:spacing w:after="120" w:before="240"/>
      </w:pPr>
      <w:r>
        <w:rPr>
          <w:color w:val="1F3A5F"/>
        </w:rPr>
        <w:t xml:space="preserve">Gateway 1 Alignment — Cleared for Supervised Kitchen Participation</w:t>
      </w:r>
    </w:p>
    <w:p>
      <w:pPr>
        <w:spacing w:after="160"/>
      </w:pPr>
      <w:r>
        <w:rPr>
          <w:sz w:val="21"/>
          <w:szCs w:val="21"/>
        </w:rPr>
        <w:t xml:space="preserve">Established in Unit 1, Weeks 1-3 (Introduction to Culinary Arts, Safety &amp; Sanitation, and Equipment), and reinforced through the Weeks 34-35 comprehensive review before the written and practical finals.</w:t>
      </w:r>
    </w:p>
    <w:p>
      <w:pPr>
        <w:pStyle w:val="ListParagraph"/>
        <w:numPr>
          <w:ilvl w:val="0"/>
          <w:numId w:val="1"/>
        </w:numPr>
        <w:spacing w:after="80"/>
      </w:pPr>
      <w:r>
        <w:rPr>
          <w:sz w:val="21"/>
          <w:szCs w:val="21"/>
        </w:rPr>
        <w:t xml:space="preserve">Week 1 — Overview of Kitchen Safety &amp; Hygiene; Personal Hygiene and Workplace Behavior (handwashing, clothing/hair restraints, glove use, designated eating/drinking areas).</w:t>
      </w:r>
    </w:p>
    <w:p>
      <w:pPr>
        <w:pStyle w:val="ListParagraph"/>
        <w:numPr>
          <w:ilvl w:val="0"/>
          <w:numId w:val="1"/>
        </w:numPr>
        <w:spacing w:after="80"/>
      </w:pPr>
      <w:r>
        <w:rPr>
          <w:sz w:val="21"/>
          <w:szCs w:val="21"/>
        </w:rPr>
        <w:t xml:space="preserve">Week 2 — Food Flow &amp; Temperature Control; Preventing Contamination &amp; Safe Storage (HACCP, FIFO, FAT TOM, refrigerator/freezer temperatures, contamination types, pathogens).</w:t>
      </w:r>
    </w:p>
    <w:p>
      <w:pPr>
        <w:pStyle w:val="ListParagraph"/>
        <w:numPr>
          <w:ilvl w:val="0"/>
          <w:numId w:val="1"/>
        </w:numPr>
        <w:spacing w:after="80"/>
      </w:pPr>
      <w:r>
        <w:rPr>
          <w:sz w:val="21"/>
          <w:szCs w:val="21"/>
        </w:rPr>
        <w:t xml:space="preserve">Week 3 — Knife Identification &amp; Safety (claw hand, stabilized cutting board); Kitchen Tools, Measuring &amp; Mise en Place.</w:t>
      </w:r>
    </w:p>
    <w:p>
      <w:pPr>
        <w:spacing w:after="160"/>
      </w:pPr>
      <w:r>
        <w:rPr>
          <w:sz w:val="21"/>
          <w:szCs w:val="21"/>
        </w:rPr>
        <w:t xml:space="preserve">External alignment: YouScience Standard 1 (Service Equipment) and Standard 2 (Sanitation &amp; Food Safety); ProStart Level 1 Ch.2 (Keeping Food Safe) and Ch.3 (Workplace Safety); CDOS Safety, Workplace Appearance, and Ethical/Legal Responsibilities. See the Culinary Pathway Skills Map (CUR-05) for the full crosswalk.</w:t>
      </w:r>
    </w:p>
    <w:p>
      <w:pPr>
        <w:pStyle w:val="Heading2"/>
        <w:spacing w:after="120" w:before="240"/>
      </w:pPr>
      <w:r>
        <w:rPr>
          <w:color w:val="1F3A5F"/>
        </w:rPr>
        <w:t xml:space="preserve">Gateway 2 Alignment — Demonstrated Kitchen-Work Readiness</w:t>
      </w:r>
    </w:p>
    <w:p>
      <w:pPr>
        <w:spacing w:after="160"/>
      </w:pPr>
      <w:r>
        <w:rPr>
          <w:sz w:val="21"/>
          <w:szCs w:val="21"/>
        </w:rPr>
        <w:t xml:space="preserve">Established through repeated evidence across the full 3-day lab cycle (Units 2 through 8, Weeks 4-25) rather than any single unit — this is the intended design of the outline's lab structure, not a gap.</w:t>
      </w:r>
    </w:p>
    <w:p>
      <w:pPr>
        <w:pStyle w:val="ListParagraph"/>
        <w:numPr>
          <w:ilvl w:val="0"/>
          <w:numId w:val="1"/>
        </w:numPr>
        <w:spacing w:after="80"/>
      </w:pPr>
      <w:r>
        <w:rPr>
          <w:sz w:val="21"/>
          <w:szCs w:val="21"/>
        </w:rPr>
        <w:t xml:space="preserve">Every lab's Day 2 (Mise en Place) requires accurate measuring, ingredient preparation, and workstation organization — direct, repeated Gateway 2 evidence.</w:t>
      </w:r>
    </w:p>
    <w:p>
      <w:pPr>
        <w:pStyle w:val="ListParagraph"/>
        <w:numPr>
          <w:ilvl w:val="0"/>
          <w:numId w:val="1"/>
        </w:numPr>
        <w:spacing w:after="80"/>
      </w:pPr>
      <w:r>
        <w:rPr>
          <w:sz w:val="21"/>
          <w:szCs w:val="21"/>
        </w:rPr>
        <w:t xml:space="preserve">Every lab's Day 1 and Day 3 require reading and executing standard recipes, managing time across a fixed lab period, and closing/cleaning the station (the built-in 20% cleanup allocation).</w:t>
      </w:r>
    </w:p>
    <w:p>
      <w:pPr>
        <w:pStyle w:val="ListParagraph"/>
        <w:numPr>
          <w:ilvl w:val="0"/>
          <w:numId w:val="1"/>
        </w:numPr>
        <w:spacing w:after="80"/>
      </w:pPr>
      <w:r>
        <w:rPr>
          <w:sz w:val="21"/>
          <w:szCs w:val="21"/>
        </w:rPr>
        <w:t xml:space="preserve">Week 24 (Effective Communication &amp; Teamwork) makes team communication and the hard-skills/soft-skills distinction explicit content rather than only incidental lab behavior.</w:t>
      </w:r>
    </w:p>
    <w:p>
      <w:pPr>
        <w:spacing w:after="160"/>
      </w:pPr>
      <w:r>
        <w:rPr>
          <w:sz w:val="21"/>
          <w:szCs w:val="21"/>
        </w:rPr>
        <w:t xml:space="preserve">External alignment: YouScience Standard 1 (equipment) and Standard 3 (Math Concepts); ProStart Level 1 Ch.4-5 (Kitchen Essentials) and Ch.7 (Communication); CDOS Attendance, Punctuality, Quality of Work, Resource Management, and Interpersonal Dynamics.</w:t>
      </w:r>
    </w:p>
    <w:p>
      <w:pPr>
        <w:pStyle w:val="Heading2"/>
        <w:spacing w:after="120" w:before="240"/>
      </w:pPr>
      <w:r>
        <w:rPr>
          <w:color w:val="1F3A5F"/>
        </w:rPr>
        <w:t xml:space="preserve">Gateway 3 Alignment — Demonstrated Foundational Culinary Competence</w:t>
      </w:r>
    </w:p>
    <w:p>
      <w:pPr>
        <w:spacing w:after="160"/>
      </w:pPr>
      <w:r>
        <w:rPr>
          <w:sz w:val="21"/>
          <w:szCs w:val="21"/>
        </w:rPr>
        <w:t xml:space="preserve">Represents readiness to enter Advanced Culinary. The body of evidence is distributed across the full course — culinary techniques (Units 2, 4-7: baking, proteins, sauces, produce, dairy, pastry), ingredient knowledge (product-specific lessons throughout), and product quality (evaluated at the end of every lab) — and is confirmed through the Weeks 26-35 Final Project and the Weeks 34-35 Written and Practical Final Exams.</w:t>
      </w:r>
    </w:p>
    <w:p>
      <w:pPr>
        <w:pStyle w:val="ListParagraph"/>
        <w:numPr>
          <w:ilvl w:val="0"/>
          <w:numId w:val="1"/>
        </w:numPr>
        <w:spacing w:after="80"/>
      </w:pPr>
      <w:r>
        <w:rPr>
          <w:sz w:val="21"/>
          <w:szCs w:val="21"/>
        </w:rPr>
        <w:t xml:space="preserve">Weeks 26-28 — Final Project Preparation &amp; Research: project selection, detailed planning and costing, a market order form, and presentation/evaluation criteria.</w:t>
      </w:r>
    </w:p>
    <w:p>
      <w:pPr>
        <w:pStyle w:val="ListParagraph"/>
        <w:numPr>
          <w:ilvl w:val="0"/>
          <w:numId w:val="1"/>
        </w:numPr>
        <w:spacing w:after="80"/>
      </w:pPr>
      <w:r>
        <w:rPr>
          <w:sz w:val="21"/>
          <w:szCs w:val="21"/>
        </w:rPr>
        <w:t xml:space="preserve">Weeks 29-31 — Final Project Execution: a 3-day planning/cooking/plating structure, repeatable for larger or individual projects.</w:t>
      </w:r>
    </w:p>
    <w:p>
      <w:pPr>
        <w:pStyle w:val="ListParagraph"/>
        <w:numPr>
          <w:ilvl w:val="0"/>
          <w:numId w:val="1"/>
        </w:numPr>
        <w:spacing w:after="80"/>
      </w:pPr>
      <w:r>
        <w:rPr>
          <w:sz w:val="21"/>
          <w:szCs w:val="21"/>
        </w:rPr>
        <w:t xml:space="preserve">Weeks 32-33 — Final Project Presentations &amp; Feedback: process, technique, and cost-analysis explanation; peer and instructor feedback; self-reflection.</w:t>
      </w:r>
    </w:p>
    <w:p>
      <w:pPr>
        <w:pStyle w:val="ListParagraph"/>
        <w:numPr>
          <w:ilvl w:val="0"/>
          <w:numId w:val="1"/>
        </w:numPr>
        <w:spacing w:after="80"/>
      </w:pPr>
      <w:r>
        <w:rPr>
          <w:sz w:val="21"/>
          <w:szCs w:val="21"/>
        </w:rPr>
        <w:t xml:space="preserve">Weeks 34-35 — Comprehensive Review, Written Final Exam, and Practical Final Exam / Skills Demonstration.</w:t>
      </w:r>
    </w:p>
    <w:p>
      <w:pPr>
        <w:pStyle w:val="Heading3"/>
        <w:spacing w:after="100" w:before="200"/>
      </w:pPr>
      <w:r>
        <w:rPr>
          <w:color w:val="B08D57"/>
        </w:rPr>
        <w:t xml:space="preserve">Gateway 3 Technical-Assessment Readiness Review</w:t>
      </w:r>
    </w:p>
    <w:p>
      <w:pPr>
        <w:spacing w:after="160"/>
      </w:pPr>
      <w:r>
        <w:rPr>
          <w:sz w:val="21"/>
          <w:szCs w:val="21"/>
        </w:rPr>
        <w:t xml:space="preserve">Per Book Two Ch.11: at the end of Culinary 1 and 2, the department confirms that the assigned portion of the YouScience and ProStart blueprint has been taught and assessed. This is a curriculum-coverage and foundational-readiness review, not the terminal pathway technical assessment. This memo does not certify that review as complete — that confirmation is a collaborative department action, tracked through the Skills Map (CUR-05) and the Assessment and Evidence Inventory (CUR-08).</w:t>
      </w:r>
    </w:p>
    <w:p>
      <w:pPr>
        <w:pStyle w:val="Heading2"/>
        <w:spacing w:after="120" w:before="240"/>
      </w:pPr>
      <w:r>
        <w:rPr>
          <w:color w:val="1F3A5F"/>
        </w:rPr>
        <w:t xml:space="preserve">Genuine Gaps Identified in Culinary 1/2 — Not Resolved by Renaming</w:t>
      </w:r>
    </w:p>
    <w:p>
      <w:pPr>
        <w:pStyle w:val="ListParagraph"/>
        <w:numPr>
          <w:ilvl w:val="0"/>
          <w:numId w:val="1"/>
        </w:numPr>
        <w:spacing w:after="80"/>
      </w:pPr>
      <w:r>
        <w:rPr>
          <w:sz w:val="21"/>
          <w:szCs w:val="21"/>
        </w:rPr>
        <w:t xml:space="preserve">A shared observation rubric for Gateway 1-2 direct-observation evidence (safety demonstration, station readiness) does not yet exist across sections/teachers — flagged in CUR-08.</w:t>
      </w:r>
    </w:p>
    <w:p>
      <w:pPr>
        <w:pStyle w:val="ListParagraph"/>
        <w:numPr>
          <w:ilvl w:val="0"/>
          <w:numId w:val="1"/>
        </w:numPr>
        <w:spacing w:after="80"/>
      </w:pPr>
      <w:r>
        <w:rPr>
          <w:sz w:val="21"/>
          <w:szCs w:val="21"/>
        </w:rPr>
        <w:t xml:space="preserve">Quarterly assessments are not yet mapped item-by-item to YouScience domains through a table of specifications, as Book Two Ch.11 calls for — flagged in CUR-08, not resolved here.</w:t>
      </w:r>
    </w:p>
    <w:p>
      <w:pPr>
        <w:pStyle w:val="Heading1"/>
        <w:spacing w:after="160" w:before="320"/>
      </w:pPr>
      <w:r>
        <w:rPr>
          <w:color w:val="1F3A5F"/>
        </w:rPr>
        <w:t xml:space="preserve">Part II — Advanced Culinary (Grade 11, Gateway 4)</w:t>
      </w:r>
    </w:p>
    <w:p>
      <w:pPr>
        <w:spacing w:after="160"/>
      </w:pPr>
      <w:r>
        <w:rPr>
          <w:sz w:val="21"/>
          <w:szCs w:val="21"/>
        </w:rPr>
        <w:t xml:space="preserve">Advanced Culinary moves from foundational technique to client-centered performance. The Cottage — realized in Advanced Culinary's current pop-up-event calendar — is the primary school-controlled environment for Gateway 4 evidence (Book Two Ch.12). The existing 2023-2024 Scope and Sequence, organized into seven units from September through June, maps to Gateway 4 as follows.</w:t>
      </w:r>
    </w:p>
    <w:p>
      <w:pPr>
        <w:pStyle w:val="Heading2"/>
        <w:spacing w:after="120" w:before="240"/>
      </w:pPr>
      <w:r>
        <w:rPr>
          <w:color w:val="1F3A5F"/>
        </w:rPr>
        <w:t xml:space="preserve">Gateway 4 Alignment — Demonstrated Client-Centered Culinary Performance</w:t>
      </w:r>
    </w:p>
    <w:p>
      <w:pPr>
        <w:pStyle w:val="ListParagraph"/>
        <w:numPr>
          <w:ilvl w:val="0"/>
          <w:numId w:val="1"/>
        </w:numPr>
        <w:spacing w:after="80"/>
      </w:pPr>
      <w:r>
        <w:rPr>
          <w:sz w:val="21"/>
          <w:szCs w:val="21"/>
        </w:rPr>
        <w:t xml:space="preserve">Unit 1 (September) — Introduction to the Food/Hospitality Industry: career-opportunity foundation and the Career Research Project — an early building block, not itself Gateway 4 evidence.</w:t>
      </w:r>
    </w:p>
    <w:p>
      <w:pPr>
        <w:pStyle w:val="ListParagraph"/>
        <w:numPr>
          <w:ilvl w:val="0"/>
          <w:numId w:val="1"/>
        </w:numPr>
        <w:spacing w:after="80"/>
      </w:pPr>
      <w:r>
        <w:rPr>
          <w:sz w:val="21"/>
          <w:szCs w:val="21"/>
        </w:rPr>
        <w:t xml:space="preserve">Unit 2 (October) — Kitchen Operations: Food Safety, Workplace Safety, Kitchen Basics, Knife Skills; includes the ServSafe Exam and Food Lab 1: Knife Skills (credential evidence — see CUR-07 for the distinction between a ServSafe result and direct observation of safe practice).</w:t>
      </w:r>
    </w:p>
    <w:p>
      <w:pPr>
        <w:pStyle w:val="ListParagraph"/>
        <w:numPr>
          <w:ilvl w:val="0"/>
          <w:numId w:val="1"/>
        </w:numPr>
        <w:spacing w:after="80"/>
      </w:pPr>
      <w:r>
        <w:rPr>
          <w:sz w:val="21"/>
          <w:szCs w:val="21"/>
        </w:rPr>
        <w:t xml:space="preserve">Unit 3 (October) — Professionalism in the Kitchen (Service &amp; Management): communication, management styles, community networking; Food Lab 1: Hor d'oeuvre Reception — the unit's client-facing service evidence.</w:t>
      </w:r>
    </w:p>
    <w:p>
      <w:pPr>
        <w:pStyle w:val="ListParagraph"/>
        <w:numPr>
          <w:ilvl w:val="0"/>
          <w:numId w:val="1"/>
        </w:numPr>
        <w:spacing w:after="80"/>
      </w:pPr>
      <w:r>
        <w:rPr>
          <w:sz w:val="21"/>
          <w:szCs w:val="21"/>
        </w:rPr>
        <w:t xml:space="preserve">Unit 4 (November/December) — Intro to Baking: creaming, straight dough, and biscuit mixing methods; three Food Labs; POP UP EVENT 1 — CTE Night at the Greece Performing Arts Center (November 2023), the unit's authentic client-centered event.</w:t>
      </w:r>
    </w:p>
    <w:p>
      <w:pPr>
        <w:pStyle w:val="ListParagraph"/>
        <w:numPr>
          <w:ilvl w:val="0"/>
          <w:numId w:val="1"/>
        </w:numPr>
        <w:spacing w:after="80"/>
      </w:pPr>
      <w:r>
        <w:rPr>
          <w:sz w:val="21"/>
          <w:szCs w:val="21"/>
        </w:rPr>
        <w:t xml:space="preserve">Unit 5 (January/February) — Cooking Techniques Part 1 (stocks, soups, sauces; vegetables; starches; salads/dips/dressings; sandwiches/pizza); POP UP EVENT 2 — Titan Bake Sale.</w:t>
      </w:r>
    </w:p>
    <w:p>
      <w:pPr>
        <w:pStyle w:val="ListParagraph"/>
        <w:numPr>
          <w:ilvl w:val="0"/>
          <w:numId w:val="1"/>
        </w:numPr>
        <w:spacing w:after="80"/>
      </w:pPr>
      <w:r>
        <w:rPr>
          <w:sz w:val="21"/>
          <w:szCs w:val="21"/>
        </w:rPr>
        <w:t xml:space="preserve">Unit 6 (March/April) — Cooking Techniques Part 2 (poultry, meat, seafood); POP UP EVENT 3 — status Planned/Unconfirmed in the source document (recorded there as “Titan Pizzeria (or luncheon?)” — carried forward here as unconfirmed rather than settled fact).</w:t>
      </w:r>
    </w:p>
    <w:p>
      <w:pPr>
        <w:pStyle w:val="ListParagraph"/>
        <w:numPr>
          <w:ilvl w:val="0"/>
          <w:numId w:val="1"/>
        </w:numPr>
        <w:spacing w:after="80"/>
      </w:pPr>
      <w:r>
        <w:rPr>
          <w:sz w:val="21"/>
          <w:szCs w:val="21"/>
        </w:rPr>
        <w:t xml:space="preserve">Unit 7 (May/June) — Cooking Techniques Part 3 (dairy and eggs); POP UP EVENT 4 — Teacher Appreciation Week breakfast preparation (May 2024).</w:t>
      </w:r>
    </w:p>
    <w:p>
      <w:pPr>
        <w:spacing w:after="160"/>
      </w:pPr>
      <w:r>
        <w:rPr>
          <w:sz w:val="21"/>
          <w:szCs w:val="21"/>
        </w:rPr>
        <w:t xml:space="preserve">External alignment: ProStart service, management, cost control, purchasing, marketing, nutrition, and production topics; YouScience performance expectations; CDOS work-related skills (Book Two Appendix B, Appendix D).</w:t>
      </w:r>
    </w:p>
    <w:p>
      <w:pPr>
        <w:pStyle w:val="Heading3"/>
        <w:spacing w:after="100" w:before="200"/>
      </w:pPr>
      <w:r>
        <w:rPr>
          <w:color w:val="B08D57"/>
        </w:rPr>
        <w:t xml:space="preserve">Preserving Individual Evidence Inside Team Production</w:t>
      </w:r>
    </w:p>
    <w:p>
      <w:pPr>
        <w:spacing w:after="160"/>
      </w:pPr>
      <w:r>
        <w:rPr>
          <w:sz w:val="21"/>
          <w:szCs w:val="21"/>
        </w:rPr>
        <w:t xml:space="preserve">Book Two Ch.12 is explicit: a successful event does not prove that every student completed Gateway 4. Client satisfaction, revenue, event count, and public visibility may describe The Cottage, but none independently proves student learning. The current pop-up-event structure produces strong group-level evidence of authentic production; it does not yet include a designed method for capturing individual student evidence within each event. This is flagged as a genuine gap in the Assessment and Evidence Inventory (CUR-08), not resolved by this memo.</w:t>
      </w:r>
    </w:p>
    <w:p>
      <w:pPr>
        <w:pStyle w:val="Heading2"/>
        <w:spacing w:after="120" w:before="240"/>
      </w:pPr>
      <w:r>
        <w:rPr>
          <w:color w:val="1F3A5F"/>
        </w:rPr>
        <w:t xml:space="preserve">Genuine Gaps Identified in Advanced Culinary</w:t>
      </w:r>
    </w:p>
    <w:p>
      <w:pPr>
        <w:pStyle w:val="ListParagraph"/>
        <w:numPr>
          <w:ilvl w:val="0"/>
          <w:numId w:val="1"/>
        </w:numPr>
        <w:spacing w:after="80"/>
      </w:pPr>
      <w:r>
        <w:rPr>
          <w:sz w:val="21"/>
          <w:szCs w:val="21"/>
        </w:rPr>
        <w:t xml:space="preserve">End-of-unit assessment instruments are referenced by title only ('End of Unit Assessment') in the current source document, without item-level detail available to this review.</w:t>
      </w:r>
    </w:p>
    <w:p>
      <w:pPr>
        <w:pStyle w:val="ListParagraph"/>
        <w:numPr>
          <w:ilvl w:val="0"/>
          <w:numId w:val="1"/>
        </w:numPr>
        <w:spacing w:after="80"/>
      </w:pPr>
      <w:r>
        <w:rPr>
          <w:sz w:val="21"/>
          <w:szCs w:val="21"/>
        </w:rPr>
        <w:t xml:space="preserve">Two ProStart Level 2 Global Cuisine domains (The Americas; Europe/Mediterranean/Middle East/Asia) are only partially represented by the current Unit 8 ethnic-dishes content (Lab 14: Curry &amp; Guajillo Braised Chicken Tacos) — flagged in the Skills Map (CUR-05) as a genuine curriculum gap, not papered over.</w:t>
      </w:r>
    </w:p>
    <w:p>
      <w:pPr>
        <w:pStyle w:val="ListParagraph"/>
        <w:numPr>
          <w:ilvl w:val="0"/>
          <w:numId w:val="1"/>
        </w:numPr>
        <w:spacing w:after="80"/>
      </w:pPr>
      <w:r>
        <w:rPr>
          <w:sz w:val="21"/>
          <w:szCs w:val="21"/>
        </w:rPr>
        <w:t xml:space="preserve">No individual-student evidence-capture method exists for pop-up/Cottage events (see above).</w:t>
      </w:r>
    </w:p>
    <w:p>
      <w:pPr>
        <w:pStyle w:val="Heading1"/>
        <w:spacing w:after="160" w:before="320"/>
      </w:pPr>
      <w:r>
        <w:rPr>
          <w:color w:val="1F3A5F"/>
        </w:rPr>
        <w:t xml:space="preserve">What This Memo Does Not Do</w:t>
      </w:r>
    </w:p>
    <w:p>
      <w:pPr>
        <w:pStyle w:val="ListParagraph"/>
        <w:numPr>
          <w:ilvl w:val="0"/>
          <w:numId w:val="1"/>
        </w:numPr>
        <w:spacing w:after="80"/>
      </w:pPr>
      <w:r>
        <w:rPr>
          <w:sz w:val="21"/>
          <w:szCs w:val="21"/>
        </w:rPr>
        <w:t xml:space="preserve">It does not create Kitchen Management's Scope and Sequence (CUR-03) — that document is deferred to Work Package 4 per the WP2A/WP3 Reconciliation Memo, so it is not written twice against two different operational pictures.</w:t>
      </w:r>
    </w:p>
    <w:p>
      <w:pPr>
        <w:pStyle w:val="ListParagraph"/>
        <w:numPr>
          <w:ilvl w:val="0"/>
          <w:numId w:val="1"/>
        </w:numPr>
        <w:spacing w:after="80"/>
      </w:pPr>
      <w:r>
        <w:rPr>
          <w:sz w:val="21"/>
          <w:szCs w:val="21"/>
        </w:rPr>
        <w:t xml:space="preserve">It does not change instructional time, lab sequence, pacing, or content. Every unit, week, and lab referenced above is drawn directly from the existing 8/8/25 Culinary 1 &amp; 2 outline and the 2023-2024 Advanced Culinary Scope and Sequence.</w:t>
      </w:r>
    </w:p>
    <w:p>
      <w:pPr>
        <w:pStyle w:val="ListParagraph"/>
        <w:numPr>
          <w:ilvl w:val="0"/>
          <w:numId w:val="1"/>
        </w:numPr>
        <w:spacing w:after="80"/>
      </w:pPr>
      <w:r>
        <w:rPr>
          <w:sz w:val="21"/>
          <w:szCs w:val="21"/>
        </w:rPr>
        <w:t xml:space="preserve">It does not award or record any individual student's Gateway status. Gateway decisions are recorded in the Culinary Passport (CMP-02), using the criteria in the Gateway 1-5 Performance Standards and Rubrics (CMP-03-07).</w:t>
      </w:r>
    </w:p>
    <w:p>
      <w:pPr>
        <w:pStyle w:val="ListParagraph"/>
        <w:numPr>
          <w:ilvl w:val="0"/>
          <w:numId w:val="1"/>
        </w:numPr>
        <w:spacing w:after="80"/>
      </w:pPr>
      <w:r>
        <w:rPr>
          <w:sz w:val="21"/>
          <w:szCs w:val="21"/>
        </w:rPr>
        <w:t xml:space="preserve">It does not finalize The Cottage's formal branding, governance, or operating procedures — those remain Work Package 4 SBE documents.</w:t>
      </w:r>
    </w:p>
    <w:p>
      <w:pPr>
        <w:pStyle w:val="Heading1"/>
        <w:spacing w:after="160" w:before="320"/>
      </w:pPr>
      <w:r>
        <w:rPr>
          <w:color w:val="1F3A5F"/>
        </w:rPr>
        <w:t xml:space="preserve">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00"/>
        <w:gridCol w:w="254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w:t>
            </w:r>
          </w:p>
        </w:tc>
        <w:tc>
          <w:tcPr>
            <w:tcW w:type="dxa" w:w="4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Use in This Memo</w:t>
            </w:r>
          </w:p>
        </w:tc>
        <w:tc>
          <w:tcPr>
            <w:tcW w:type="dxa" w:w="254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 1 &amp; 2 outline 8_8_25.docx</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35-week unit/week/lab structure for Culinary 1 and Culinary 2, Gateway 1-3 mapping</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Current district source; final approved edition controls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Advanced Culinary - Scope and Sequence 2023-2024.docx</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Full 7-unit structure, pop-up event calendar, Gateway 4 mapping</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Current district source; dates and pacing marked 'approximate' in original — carried forward as such</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Canon v3.0</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Six Gateway Model definitions, The Cottage definition</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Authoritative project architecture</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Two: Assessment, Evaluation, and Continuous Improvement, Ch.11, Ch.12, Appendix B</w:t>
            </w:r>
          </w:p>
        </w:tc>
        <w:tc>
          <w:tcPr>
            <w:tcW w:type="dxa" w:w="4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Required evidence patterns, decision standards, external alignment tables</w:t>
            </w:r>
          </w:p>
        </w:tc>
        <w:tc>
          <w:tcPr>
            <w:tcW w:type="dxa" w:w="254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Companion assessment document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Skills Map (CUR-05, reconciled)</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YouScience/ProStart/CDOS crosswalk detail referenced throughout</w:t>
            </w:r>
          </w:p>
        </w:tc>
        <w:tc>
          <w:tcPr>
            <w:tcW w:type="dxa" w:w="25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Reconciled and revised this cycle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Course Alignment Memo: Culinary 1, Culinary 2, and Advanced Culinary</dc:title>
  <dc:creator>Kevin McCann</dc:creator>
  <cp:lastModifiedBy>Un-named</cp:lastModifiedBy>
  <cp:revision>1</cp:revision>
  <dcterms:created xsi:type="dcterms:W3CDTF">2026-07-13T01:08:41.834Z</dcterms:created>
  <dcterms:modified xsi:type="dcterms:W3CDTF">2026-07-13T01:08:41.836Z</dcterms:modified>
</cp:coreProperties>
</file>

<file path=docProps/custom.xml><?xml version="1.0" encoding="utf-8"?>
<Properties xmlns="http://schemas.openxmlformats.org/officeDocument/2006/custom-properties" xmlns:vt="http://schemas.openxmlformats.org/officeDocument/2006/docPropsVTypes"/>
</file>