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pPr>
      <w:r>
        <w:rPr>
          <w:b/>
          <w:bCs/>
          <w:caps/>
          <w:color w:val="1F3A5F"/>
          <w:sz w:val="22"/>
          <w:szCs w:val="22"/>
        </w:rPr>
        <w:t xml:space="preserve">GCSD Culinary Pathway | Governance Document</w:t>
      </w:r>
    </w:p>
    <w:p>
      <w:pPr>
        <w:spacing w:after="120"/>
      </w:pPr>
      <w:r>
        <w:rPr>
          <w:b/>
          <w:bCs/>
          <w:color w:val="1F3A5F"/>
          <w:sz w:val="52"/>
          <w:szCs w:val="52"/>
        </w:rPr>
        <w:t xml:space="preserve">Companion Document Map</w:t>
      </w:r>
    </w:p>
    <w:p>
      <w:pPr>
        <w:spacing w:after="400"/>
      </w:pPr>
      <w:r>
        <w:rPr>
          <w:i/>
          <w:iCs/>
          <w:color w:val="666666"/>
          <w:sz w:val="26"/>
          <w:szCs w:val="26"/>
        </w:rPr>
        <w:t xml:space="preserve">One cross-reference from the Canon and Four-Book Series to the Master Document Register — replacing four separate appendix maps with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Document ID</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GOV-12</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Title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Companion Document Map</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Audience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All Pathway staff, writers, and web team</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Purpose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Single cross-reference from every governing document's internal appendix map to the Master Document Register, so readers use one map instead of four.</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Owner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Pathway Lead</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Version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1.1</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Date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July 2026</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Approval / Planning Status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Planning document; not adopted district policy</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Access Classification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PARTICIPANT</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Governing Source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Book One Appendix C; Book Three Appendix J; Book Four Appendix F; Master Document Register v1.0</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Review Date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Annually each July, or after any Book or Register revision</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Superseded Document</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t>Consolidates and supersedes the separate appendix maps in Books One, Three, and Four as the single reference — those appendices remain in place within their books but should no longer be used as a stand-alone index. | v1.0 (2026-07-12) superseded same day: added GOV-13 to the Governance Layer table.</w:t>
            </w:r>
          </w:p>
        </w:tc>
      </w:tr>
    </w:tbl>
    <w:p>
      <w:pPr>
        <w:pBdr>
          <w:top w:val="single" w:color="B08D57" w:sz="6" w:space="8"/>
        </w:pBdr>
        <w:spacing w:after="0" w:before="400"/>
      </w:pPr>
      <w:r>
        <w:rPr>
          <w:i/>
          <w:iCs/>
          <w:color w:val="666666"/>
          <w:sz w:val="20"/>
          <w:szCs w:val="20"/>
        </w:rPr>
        <w:t xml:space="preserve">Provide clear direction. Inspect what you expect. Prepare students. Verify competence. Increase responsibility.</w:t>
      </w:r>
    </w:p>
    <w:p>
      <w:r>
        <w:br w:type="page"/>
      </w:r>
    </w:p>
    <w:p>
      <w:pPr>
        <w:pStyle w:val="Heading1"/>
        <w:spacing w:after="160" w:before="320"/>
      </w:pPr>
      <w:r>
        <w:rPr>
          <w:color w:val="1F3A5F"/>
        </w:rPr>
        <w:t xml:space="preserve">Why This Document Exists</w:t>
      </w:r>
    </w:p>
    <w:p>
      <w:pPr>
        <w:spacing w:after="160"/>
      </w:pPr>
      <w:r>
        <w:rPr>
          <w:sz w:val="21"/>
          <w:szCs w:val="21"/>
        </w:rPr>
        <w:t xml:space="preserve">Books One, Three, and Four each already contain their own Companion Document Map appendix (Book One Appendix C, Book Three Appendix J, Book Four Appendix F). Book Two's closest equivalent is its Appendix G, Source Register. Left as four separate maps, a reader has to check multiple appendices to find where a topic lives. This document consolidates them into one map, organized by governing book and chapter, with a direct pointer to the Master Document Register category and ID range that implements each chapter.</w:t>
      </w:r>
    </w:p>
    <w:p>
      <w:pPr>
        <w:spacing w:after="160"/>
      </w:pPr>
      <w:r>
        <w:rPr>
          <w:sz w:val="21"/>
          <w:szCs w:val="21"/>
        </w:rPr>
        <w:t xml:space="preserve">This document does not replace the appendices inside each book — those stay in place as part of each book's internal reference material. It replaces the practice of using any single book's appendix as the map for the whole system. The Master Document Register remains the controlling inventory; this map exists to help a reader find their way into it.</w:t>
      </w:r>
    </w:p>
    <w:p>
      <w:pPr>
        <w:pStyle w:val="Heading1"/>
        <w:spacing w:after="160" w:before="320"/>
      </w:pPr>
      <w:r>
        <w:rPr>
          <w:color w:val="1F3A5F"/>
        </w:rPr>
        <w:t xml:space="preserve">How to Read This Map</w:t>
      </w:r>
    </w:p>
    <w:p>
      <w:pPr>
        <w:pStyle w:val="ListParagraph"/>
        <w:numPr>
          <w:ilvl w:val="0"/>
          <w:numId w:val="1"/>
        </w:numPr>
        <w:spacing w:after="80"/>
      </w:pPr>
      <w:r>
        <w:rPr>
          <w:sz w:val="21"/>
          <w:szCs w:val="21"/>
        </w:rPr>
        <w:t xml:space="preserve">Start with the governing document (Canon, Operating Principles, or one of the four Books).</w:t>
      </w:r>
    </w:p>
    <w:p>
      <w:pPr>
        <w:pStyle w:val="ListParagraph"/>
        <w:numPr>
          <w:ilvl w:val="0"/>
          <w:numId w:val="1"/>
        </w:numPr>
        <w:spacing w:after="80"/>
      </w:pPr>
      <w:r>
        <w:rPr>
          <w:sz w:val="21"/>
          <w:szCs w:val="21"/>
        </w:rPr>
        <w:t xml:space="preserve">Find the chapter or section relevant to the topic.</w:t>
      </w:r>
    </w:p>
    <w:p>
      <w:pPr>
        <w:pStyle w:val="ListParagraph"/>
        <w:numPr>
          <w:ilvl w:val="0"/>
          <w:numId w:val="1"/>
        </w:numPr>
        <w:spacing w:after="80"/>
      </w:pPr>
      <w:r>
        <w:rPr>
          <w:sz w:val="21"/>
          <w:szCs w:val="21"/>
        </w:rPr>
        <w:t xml:space="preserve">Follow the Register Category column to the Master Document Register section (A through M) that turns that chapter into usable documents, forms, or web content.</w:t>
      </w:r>
    </w:p>
    <w:p>
      <w:pPr>
        <w:pStyle w:val="ListParagraph"/>
        <w:numPr>
          <w:ilvl w:val="0"/>
          <w:numId w:val="1"/>
        </w:numPr>
        <w:spacing w:after="80"/>
      </w:pPr>
      <w:r>
        <w:rPr>
          <w:sz w:val="21"/>
          <w:szCs w:val="21"/>
        </w:rPr>
        <w:t xml:space="preserve">Use the Register ID prefix to locate specific deliverables within that category.</w:t>
      </w:r>
    </w:p>
    <w:p>
      <w:pPr>
        <w:pStyle w:val="Heading1"/>
        <w:spacing w:after="160" w:before="320"/>
      </w:pPr>
      <w:r>
        <w:rPr>
          <w:color w:val="1F3A5F"/>
        </w:rPr>
        <w:t xml:space="preserve">Governance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4600"/>
        <w:gridCol w:w="1160"/>
      </w:tblGrid>
      <w:tr>
        <w:trPr>
          <w:tblHeader/>
        </w:trPr>
        <w:tc>
          <w:tcPr>
            <w:tcW w:type="dxa" w:w="36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Document</w:t>
            </w:r>
          </w:p>
        </w:tc>
        <w:tc>
          <w:tcPr>
            <w:tcW w:type="dxa" w:w="46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Role</w:t>
            </w:r>
          </w:p>
        </w:tc>
        <w:tc>
          <w:tcPr>
            <w:tcW w:type="dxa" w:w="11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Register Category</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Culinary Pathway Canon v3.0</w:t>
            </w:r>
          </w:p>
        </w:tc>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Defines the architecture: terminology, Gateways, Passport, learning environments.</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A. Governance (GOV-01)</w:t>
            </w:r>
          </w:p>
        </w:tc>
      </w:tr>
      <w:tr>
        <w:tc>
          <w:tcPr>
            <w:tcW w:type="dxa" w:w="3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Culinary Pathway Operating Principles v1.0</w:t>
            </w:r>
          </w:p>
        </w:tc>
        <w:tc>
          <w:tcPr>
            <w:tcW w:type="dxa" w:w="4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Defines the culture and professional commitments.</w:t>
            </w:r>
          </w:p>
        </w:tc>
        <w:tc>
          <w:tcPr>
            <w:tcW w:type="dxa" w:w="1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A. Governance (GOV-02)</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Master Document Register v1.0</w:t>
            </w:r>
          </w:p>
        </w:tc>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Controlling inventory for every supporting document.</w:t>
            </w:r>
          </w:p>
        </w:tc>
        <w:tc>
          <w:tcPr>
            <w:tcW w:type="dxa" w:w="1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A. Governance (GOV-07)</w:t>
            </w:r>
          </w:p>
        </w:tc>
      </w:tr>
      <w:tr>
        <w:tc>
          <w:tcPr>
            <w:tcW w:type="dxa" w:w="3600"/>
          </w:tcPr>
          <w:p>
            <w:r>
              <w:t>GOV-13 Website Page Template and Content Standards</w:t>
            </w:r>
          </w:p>
        </w:tc>
        <w:tc>
          <w:tcPr>
            <w:tcW w:type="dxa" w:w="4600"/>
          </w:tcPr>
          <w:p>
            <w:r>
              <w:t>Reusable public/participant page skeleton and content standards for website production (relocated from provisional WEB-25 per Kevin McCann, 2026-07-12).</w:t>
            </w:r>
          </w:p>
        </w:tc>
        <w:tc>
          <w:tcPr>
            <w:tcW w:type="dxa" w:w="1160"/>
          </w:tcPr>
          <w:p>
            <w:r>
              <w:t>A. Governance (GOV-13, added 2026-07-12)</w:t>
            </w:r>
          </w:p>
        </w:tc>
      </w:tr>
    </w:tbl>
    <w:p>
      <w:pPr>
        <w:pStyle w:val="Heading1"/>
        <w:spacing w:after="160" w:before="320"/>
      </w:pPr>
      <w:r>
        <w:rPr>
          <w:color w:val="1F3A5F"/>
        </w:rPr>
        <w:t xml:space="preserve">Book One: Program Blueprint</w:t>
      </w:r>
    </w:p>
    <w:p>
      <w:pPr>
        <w:spacing w:after="160"/>
      </w:pPr>
      <w:r>
        <w:rPr>
          <w:sz w:val="21"/>
          <w:szCs w:val="21"/>
        </w:rPr>
        <w:t xml:space="preserve">Mission, architecture, learning environments, governance, and boundaries.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rPr>
          <w:tblHeader/>
        </w:trPr>
        <w:tc>
          <w:tcPr>
            <w:tcW w:type="dxa" w:w="56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Book One Chapters</w:t>
            </w:r>
          </w:p>
        </w:tc>
        <w:tc>
          <w:tcPr>
            <w:tcW w:type="dxa" w:w="37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Register Category It Implements</w:t>
            </w:r>
          </w:p>
        </w:tc>
      </w:tr>
      <w:tr>
        <w:tc>
          <w:tcPr>
            <w:tcW w:type="dxa" w:w="5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Ch. 1–2 — Mission, Purpose, Scope, District Alignment</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A. Governance</w:t>
            </w:r>
          </w:p>
        </w:tc>
      </w:tr>
      <w:tr>
        <w:tc>
          <w:tcPr>
            <w:tcW w:type="dxa" w:w="5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Ch. 3–6 — Three-Year Continuum, Six Gateway Model, Culinary Passport, Completion/Reassessment/Reverification</w:t>
            </w:r>
          </w:p>
        </w:tc>
        <w:tc>
          <w:tcPr>
            <w:tcW w:type="dxa" w:w="3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C. Competency, Gateway, Passport, and Employability Records</w:t>
            </w:r>
          </w:p>
        </w:tc>
      </w:tr>
      <w:tr>
        <w:tc>
          <w:tcPr>
            <w:tcW w:type="dxa" w:w="5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Ch. 7–11 — Classroom Foundations, The Cottage/SBE, Kitchen Management, Senior External WBL, Portfolio</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E. The Cottage; F. Kitchen Management; G. Employer/External WBL; B. Curriculum</w:t>
            </w:r>
          </w:p>
        </w:tc>
      </w:tr>
      <w:tr>
        <w:tc>
          <w:tcPr>
            <w:tcW w:type="dxa" w:w="5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Ch. 12–15 — Governance, Employer Partnership, Safety/Access/Support, Assessment/Evaluation/Communication</w:t>
            </w:r>
          </w:p>
        </w:tc>
        <w:tc>
          <w:tcPr>
            <w:tcW w:type="dxa" w:w="3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H. Program Operations; G. Employer/Mentor; D. Student and Family</w:t>
            </w:r>
          </w:p>
        </w:tc>
      </w:tr>
      <w:tr>
        <w:tc>
          <w:tcPr>
            <w:tcW w:type="dxa" w:w="5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Ch. 16–19 — Continuous Improvement, Capacity, Non-Negotiable Boundaries, Document Ownership</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I. Evaluation and Accountability; A. Governance</w:t>
            </w:r>
          </w:p>
        </w:tc>
      </w:tr>
      <w:tr>
        <w:tc>
          <w:tcPr>
            <w:tcW w:type="dxa" w:w="5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Appendix A–E — Pathway at a Glance, Gateway Reference, Companion Document Map, Glossary, Operating Principles Reference</w:t>
            </w:r>
          </w:p>
        </w:tc>
        <w:tc>
          <w:tcPr>
            <w:tcW w:type="dxa" w:w="3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This document (GOV-12) and GOV-08 supersede these as the working cross-reference and glossary; the book appendices remain as internal reference.</w:t>
            </w:r>
          </w:p>
        </w:tc>
      </w:tr>
    </w:tbl>
    <w:p>
      <w:pPr>
        <w:pStyle w:val="Heading1"/>
        <w:spacing w:after="160" w:before="320"/>
      </w:pPr>
      <w:r>
        <w:rPr>
          <w:color w:val="1F3A5F"/>
        </w:rPr>
        <w:t xml:space="preserve">Book Two: Assessment, Evaluation, and Continuous Improvement</w:t>
      </w:r>
    </w:p>
    <w:p>
      <w:pPr>
        <w:spacing w:after="160"/>
      </w:pPr>
      <w:r>
        <w:rPr>
          <w:sz w:val="21"/>
          <w:szCs w:val="21"/>
        </w:rPr>
        <w:t xml:space="preserve">How competency is verified and how the program itself is evaluated.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rPr>
          <w:tblHeader/>
        </w:trPr>
        <w:tc>
          <w:tcPr>
            <w:tcW w:type="dxa" w:w="56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Book Two Chapters</w:t>
            </w:r>
          </w:p>
        </w:tc>
        <w:tc>
          <w:tcPr>
            <w:tcW w:type="dxa" w:w="37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Register Category It Implements</w:t>
            </w:r>
          </w:p>
        </w:tc>
      </w:tr>
      <w:tr>
        <w:tc>
          <w:tcPr>
            <w:tcW w:type="dxa" w:w="5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Ch. 1–4 — Purpose, Three Separate Judgments, Evidence and Decision Rules, Standards-Based Scale</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C. Competency, Gateway, Passport Records</w:t>
            </w:r>
          </w:p>
        </w:tc>
      </w:tr>
      <w:tr>
        <w:tc>
          <w:tcPr>
            <w:tcW w:type="dxa" w:w="5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Ch. 5–9 — Standards/Credentials/Outcomes, Assessment Inventory, Passport Records, Gateway Evidence, Completion/Reassessment/Reverification</w:t>
            </w:r>
          </w:p>
        </w:tc>
        <w:tc>
          <w:tcPr>
            <w:tcW w:type="dxa" w:w="3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C. Competency Records; CUR-05 through CUR-08</w:t>
            </w:r>
          </w:p>
        </w:tc>
      </w:tr>
      <w:tr>
        <w:tc>
          <w:tcPr>
            <w:tcW w:type="dxa" w:w="5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Ch. 10–16 — Course Grades and Gateway Decisions by course, Technical Assessment and Credentials, Senior WBL Evaluation, Portfolio Common Core</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B. Curriculum; C. Competency Records; G. External WBL</w:t>
            </w:r>
          </w:p>
        </w:tc>
      </w:tr>
      <w:tr>
        <w:tc>
          <w:tcPr>
            <w:tcW w:type="dxa" w:w="5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Ch. 17–20 — Assessment Methods, Feedback/Reflection, Fairness/Accommodations, Records and Data Stewardship</w:t>
            </w:r>
          </w:p>
        </w:tc>
        <w:tc>
          <w:tcPr>
            <w:tcW w:type="dxa" w:w="3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C. Competency Records; OPS-15/OPS-16</w:t>
            </w:r>
          </w:p>
        </w:tc>
      </w:tr>
      <w:tr>
        <w:tc>
          <w:tcPr>
            <w:tcW w:type="dxa" w:w="5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Ch. 21–25 — Training-Station Quality Standard, Evaluation Cycle, Annual Program Evaluation Framework, Annual Evidence Cycle, Program Decisions/Capacity/Access</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I. Assessment, Evaluation, Accountability</w:t>
            </w:r>
          </w:p>
        </w:tc>
      </w:tr>
      <w:tr>
        <w:tc>
          <w:tcPr>
            <w:tcW w:type="dxa" w:w="5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Ch. 26–27 — Governance and Final Authority, Document Ownership</w:t>
            </w:r>
          </w:p>
        </w:tc>
        <w:tc>
          <w:tcPr>
            <w:tcW w:type="dxa" w:w="3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A. Governance</w:t>
            </w:r>
          </w:p>
        </w:tc>
      </w:tr>
      <w:tr>
        <w:tc>
          <w:tcPr>
            <w:tcW w:type="dxa" w:w="5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Appendix A–H — Passport Record Spec, Gateway Evidence Matrix, YouScience Blueprint, ProStart/CDOS Alignment, Course Reporting Matrix, Standards/Credential Evidence Set, Source Register, Glossary</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CMP-01/CMP-02; CUR-06/CUR-07; GOV-08 (glossary cross-check)</w:t>
            </w:r>
          </w:p>
        </w:tc>
      </w:tr>
    </w:tbl>
    <w:p>
      <w:pPr>
        <w:pStyle w:val="Heading1"/>
        <w:spacing w:after="160" w:before="320"/>
      </w:pPr>
      <w:r>
        <w:rPr>
          <w:color w:val="1F3A5F"/>
        </w:rPr>
        <w:t xml:space="preserve">Book Three: Operations Manual</w:t>
      </w:r>
    </w:p>
    <w:p>
      <w:pPr>
        <w:spacing w:after="160"/>
      </w:pPr>
      <w:r>
        <w:rPr>
          <w:sz w:val="21"/>
          <w:szCs w:val="21"/>
        </w:rPr>
        <w:t xml:space="preserve">Who does what, on what schedule, using what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rPr>
          <w:tblHeader/>
        </w:trPr>
        <w:tc>
          <w:tcPr>
            <w:tcW w:type="dxa" w:w="56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Book Three Chapters</w:t>
            </w:r>
          </w:p>
        </w:tc>
        <w:tc>
          <w:tcPr>
            <w:tcW w:type="dxa" w:w="37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Register Category It Implements</w:t>
            </w:r>
          </w:p>
        </w:tc>
      </w:tr>
      <w:tr>
        <w:tc>
          <w:tcPr>
            <w:tcW w:type="dxa" w:w="5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Ch. 1–4 — Purpose and Procedure Standard, Roles and Decision Rights, Annual Operating Cycle, Minimum Conditions and Capacity</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H. Program Operations; OPS-01/OPS-02</w:t>
            </w:r>
          </w:p>
        </w:tc>
      </w:tr>
      <w:tr>
        <w:tc>
          <w:tcPr>
            <w:tcW w:type="dxa" w:w="5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Ch. 5–10 — Passport Administration, Gateways 1–3, Gateway 4/Cottage, Gateway 5/Kitchen Management, Reassessment/Reverification/Transition, SkillsUSA/Capstone</w:t>
            </w:r>
          </w:p>
        </w:tc>
        <w:tc>
          <w:tcPr>
            <w:tcW w:type="dxa" w:w="3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C. Competency Records; CUR-11</w:t>
            </w:r>
          </w:p>
        </w:tc>
      </w:tr>
      <w:tr>
        <w:tc>
          <w:tcPr>
            <w:tcW w:type="dxa" w:w="5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Ch. 11–15 — Cottage Operating Model, Request and Approval, Event Planning/Production/Service/Closeout, Kitchen Management Leadership Operations, SBE Finance and Records</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E. The Cottage; F. Kitchen Management</w:t>
            </w:r>
          </w:p>
        </w:tc>
      </w:tr>
      <w:tr>
        <w:tc>
          <w:tcPr>
            <w:tcW w:type="dxa" w:w="5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Ch. 16–22 — Course Entry/Placement, Training-Station Approval/Mentor Prep, Agreement/Training Plan/Launch, 300-Hour Requirement, Portfolio Calendar, Check-Ins/Site Visits, Midpoint/Final Evaluation/Gateway 6</w:t>
            </w:r>
          </w:p>
        </w:tc>
        <w:tc>
          <w:tcPr>
            <w:tcW w:type="dxa" w:w="3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G. Employer/Mentor/External WBL</w:t>
            </w:r>
          </w:p>
        </w:tc>
      </w:tr>
      <w:tr>
        <w:tc>
          <w:tcPr>
            <w:tcW w:type="dxa" w:w="5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Ch. 23–28 — Stop-Work and Safety Response, Concerns/Corrective Action, Communication, Record Hierarchy/Privacy, Annual Closeout/Handoff, Version Control</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H. Program Operations; A. Governance (this procedure, GOV-09)</w:t>
            </w:r>
          </w:p>
        </w:tc>
      </w:tr>
      <w:tr>
        <w:tc>
          <w:tcPr>
            <w:tcW w:type="dxa" w:w="5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Appendix A–J — Operations at a Glance, Responsibility Matrix, SOP Template, Cottage Request Checklist, WBL Prelaunch Checklist, Portfolio Calendar, Check-In Prompts, Implementation Decisions, Glossary, Companion Document Map</w:t>
            </w:r>
          </w:p>
        </w:tc>
        <w:tc>
          <w:tcPr>
            <w:tcW w:type="dxa" w:w="3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H. Program Operations; E/F/G categories; this document (GOV-12) supersedes the Appendix J map as the working cross-reference.</w:t>
            </w:r>
          </w:p>
        </w:tc>
      </w:tr>
    </w:tbl>
    <w:p>
      <w:pPr>
        <w:pStyle w:val="Heading1"/>
        <w:spacing w:after="160" w:before="320"/>
      </w:pPr>
      <w:r>
        <w:rPr>
          <w:color w:val="1F3A5F"/>
        </w:rPr>
        <w:t xml:space="preserve">Book Four: Board Proposal and Implementation Plan</w:t>
      </w:r>
    </w:p>
    <w:p>
      <w:pPr>
        <w:spacing w:after="160"/>
      </w:pPr>
      <w:r>
        <w:rPr>
          <w:sz w:val="21"/>
          <w:szCs w:val="21"/>
        </w:rPr>
        <w:t xml:space="preserve">The public decision, the staged implementation, and the accountability commitments.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rPr>
          <w:tblHeader/>
        </w:trPr>
        <w:tc>
          <w:tcPr>
            <w:tcW w:type="dxa" w:w="56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Book Four Chapters</w:t>
            </w:r>
          </w:p>
        </w:tc>
        <w:tc>
          <w:tcPr>
            <w:tcW w:type="dxa" w:w="37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Register Category It Implements</w:t>
            </w:r>
          </w:p>
        </w:tc>
      </w:tr>
      <w:tr>
        <w:tc>
          <w:tcPr>
            <w:tcW w:type="dxa" w:w="5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Ch. 1–5 — Purpose and Requested Action, Existing Foundation, Pathway/Gateway Progression, Educational/Community Value, Conditions for Responsible Growth</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J. Board, District Authorization, Implementation</w:t>
            </w:r>
          </w:p>
        </w:tc>
      </w:tr>
      <w:tr>
        <w:tc>
          <w:tcPr>
            <w:tcW w:type="dxa" w:w="5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Ch. 6–10 — Implementation Calendar, Senior WBL Course Design, Training-Station Quality, Governance/Staffing/Coordination Capacity, Access/Transportation/Support</w:t>
            </w:r>
          </w:p>
        </w:tc>
        <w:tc>
          <w:tcPr>
            <w:tcW w:type="dxa" w:w="3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J. Board deliverables; G. Employer/External WBL; BRD-06/BRD-07/BRD-08</w:t>
            </w:r>
          </w:p>
        </w:tc>
      </w:tr>
      <w:tr>
        <w:tc>
          <w:tcPr>
            <w:tcW w:type="dxa" w:w="5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Ch. 11–15 — Fiscal and Resource Plan, Public Accountability and Annual Review, Launch-Readiness Standard, Administrative Decision Register, SkillsUSA/Public Culminating Experiences</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J. Board deliverables; I. Evaluation and Accountability</w:t>
            </w:r>
          </w:p>
        </w:tc>
      </w:tr>
      <w:tr>
        <w:tc>
          <w:tcPr>
            <w:tcW w:type="dxa" w:w="5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Ch. 16–17 — Recommended Board Action, Immediate Next Steps After Endorsement</w:t>
            </w:r>
          </w:p>
        </w:tc>
        <w:tc>
          <w:tcPr>
            <w:tcW w:type="dxa" w:w="3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BRD-04; BRD-13</w:t>
            </w:r>
          </w:p>
        </w:tc>
      </w:tr>
      <w:tr>
        <w:tc>
          <w:tcPr>
            <w:tcW w:type="dxa" w:w="5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Ch. 18–21 — Presentation Design, Ten-Slide Plan, Board Presentation Script, Anticipated Board Questions</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BRD-02/BRD-03</w:t>
            </w:r>
          </w:p>
        </w:tc>
      </w:tr>
      <w:tr>
        <w:tc>
          <w:tcPr>
            <w:tcW w:type="dxa" w:w="5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Appendix A–F — One-Page Decision Brief, Launch-Readiness Checklist, Fiscal Note Worksheet, Presentation and Board Materials Checklist, Supporting Sources, Companion Document Map</w:t>
            </w:r>
          </w:p>
        </w:tc>
        <w:tc>
          <w:tcPr>
            <w:tcW w:type="dxa" w:w="3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BRD-01/BRD-05; this document (GOV-12) supersedes the Appendix F map as the working cross-reference.</w:t>
            </w:r>
          </w:p>
        </w:tc>
      </w:tr>
    </w:tbl>
    <w:p>
      <w:pPr>
        <w:pStyle w:val="Heading1"/>
        <w:spacing w:after="160" w:before="320"/>
      </w:pPr>
      <w:r>
        <w:rPr>
          <w:color w:val="1F3A5F"/>
        </w:rPr>
        <w:t xml:space="preserve">Register Category Index</w:t>
      </w:r>
    </w:p>
    <w:p>
      <w:pPr>
        <w:spacing w:after="160"/>
      </w:pPr>
      <w:r>
        <w:rPr>
          <w:sz w:val="21"/>
          <w:szCs w:val="21"/>
        </w:rPr>
        <w:t xml:space="preserve">For convenience, the full list of Master Document Register categories, in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Prefix</w:t>
            </w:r>
          </w:p>
        </w:tc>
        <w:tc>
          <w:tcPr>
            <w:tcW w:type="dxa" w:w="71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Category</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GOV</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A. Governance, Architecture, and Document Control</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CUR</w:t>
            </w:r>
          </w:p>
        </w:tc>
        <w:tc>
          <w:tcPr>
            <w:tcW w:type="dxa" w:w="7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B. Curriculum, Course Sequence, and Instructional Alignment</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CMP</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C. Competency, Gateway, Passport, and Employability Records</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STU / FAM</w:t>
            </w:r>
          </w:p>
        </w:tc>
        <w:tc>
          <w:tcPr>
            <w:tcW w:type="dxa" w:w="7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D. Student and Family Information, Orientation, and Participation</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SBE</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E. The Cottage School-Based Enterprise</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KM</w:t>
            </w:r>
          </w:p>
        </w:tc>
        <w:tc>
          <w:tcPr>
            <w:tcW w:type="dxa" w:w="7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F. Kitchen Management and Student Leadership</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EMP</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G. Employer, Mentor, Training Station, and External WBL Documents</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OPS</w:t>
            </w:r>
          </w:p>
        </w:tc>
        <w:tc>
          <w:tcPr>
            <w:tcW w:type="dxa" w:w="7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H. Program Operations, Records, Safety, and Administration</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EVAL</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I. Assessment, Evaluation, Accountability, and Continuous Improvement</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BRD</w:t>
            </w:r>
          </w:p>
        </w:tc>
        <w:tc>
          <w:tcPr>
            <w:tcW w:type="dxa" w:w="7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J. Board, District Authorization, and Implementation Deliverables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WEB</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K. Website, Participant Resource Center, and Digital Information Architecture</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COM</w:t>
            </w:r>
          </w:p>
        </w:tc>
        <w:tc>
          <w:tcPr>
            <w:tcW w:type="dxa" w:w="7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L. Public Communication, Recruitment, Orientation, and Recognition</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ARC</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M. Current Asset Revision, Replacement, and Archive Decisions</w:t>
            </w:r>
          </w:p>
        </w:tc>
      </w:tr>
    </w:tbl>
    <w:p>
      <w:pPr>
        <w:pStyle w:val="Heading1"/>
        <w:spacing w:after="160" w:before="320"/>
      </w:pPr>
      <w:r>
        <w:rPr>
          <w:color w:val="1F3A5F"/>
        </w:rPr>
        <w:t xml:space="preserve">Maintenance</w:t>
      </w:r>
    </w:p>
    <w:p>
      <w:pPr>
        <w:spacing w:after="160"/>
      </w:pPr>
      <w:r>
        <w:rPr>
          <w:sz w:val="21"/>
          <w:szCs w:val="21"/>
        </w:rPr>
        <w:t xml:space="preserve">When any Book or the Canon is revised in a way that adds, removes, or renumbers a chapter or appendix, this map is updated in the same production cycle, per the Document Control and Versioning Procedure (GOV-09).</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GCSD Culinary Pathway | Planning document; not adopted district policy |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GCSD Culinary Pathway – Companion Document Map</dc:title>
  <dc:creator>Kevin McCann</dc:creator>
  <cp:lastModifiedBy>Un-named</cp:lastModifiedBy>
  <cp:revision>1</cp:revision>
  <dcterms:created xsi:type="dcterms:W3CDTF">2026-07-13T00:38:29.356Z</dcterms:created>
  <dcterms:modified xsi:type="dcterms:W3CDTF">2026-07-13T00:38:29.357Z</dcterms:modified>
</cp:coreProperties>
</file>

<file path=docProps/custom.xml><?xml version="1.0" encoding="utf-8"?>
<Properties xmlns="http://schemas.openxmlformats.org/officeDocument/2006/custom-properties" xmlns:vt="http://schemas.openxmlformats.org/officeDocument/2006/docPropsVTypes"/>
</file>