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Production Control Memo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Work Package 2A / Work Package 3 Production Reconciliation Memo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The consolidation test applied, the resulting deliverable lists, and the shared terminology contract both leads work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GOV-13 (working, not in original Register — production-control memo)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 Package 2A / Work Package 3 Production Reconciliation Memo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Lead (WP2A); Pathway Team / Culinary Teachers (WP3); Lead Editor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Kevin McCann's consolidation test to the Register's WP2 and WP3 deliverable lists, fix the final CREATE/CONSOLIDATE/DEFER decisions, and set the shared terminology contract before either package starts producing content.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Editor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document; not adopted district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production control document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Document Register v1.0; Kevin McCann's 2026-07-12 sequencing and consolidation instructions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Superseded once Work Packages 2A and 3 are reconciled and closed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The Consolidation Test</w:t>
      </w:r>
    </w:p>
    <w:p>
      <w:pPr>
        <w:spacing w:after="160"/>
      </w:pPr>
      <w:r>
        <w:rPr>
          <w:sz w:val="21"/>
          <w:szCs w:val="21"/>
        </w:rPr>
        <w:t xml:space="preserve">Applied to every candidate document before it is produced, per Kevin McCann's instruction: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Does an existing authoritative record already perform this function?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Can this requirement be incorporated into an existing handbook, form, Passport record, Employability Profile, training plan, or operational packet?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Does the proposed document cause the user to take a distinct action or preserve a distinct authoritative record?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Would combining it with another document reduce confusion without weakening record control?</w:t>
      </w:r>
    </w:p>
    <w:p>
      <w:pPr>
        <w:spacing w:after="160"/>
      </w:pPr>
      <w:r>
        <w:rPr>
          <w:sz w:val="21"/>
          <w:szCs w:val="21"/>
        </w:rPr>
        <w:t xml:space="preserve">The goal is a complete documentation system, not the maximum number of documents. Where two Register items serve the same audience, the same moment of use, and don't need independently controlled version/approval status, they are combined below. Where an item carries different approval status than its neighbors (most importantly, anything CONDITIONAL on Senior WBL authorization), it stays a separate file even if that means more files — mixed status inside one document is not acceptable.</w:t>
      </w:r>
    </w:p>
    <w:p>
      <w:pPr>
        <w:pStyle w:val="Heading1"/>
        <w:spacing w:after="160" w:before="320"/>
      </w:pPr>
      <w:r>
        <w:rPr>
          <w:color w:val="1F3A5F"/>
        </w:rPr>
        <w:t xml:space="preserve">2. Work Package 2A — Final Deliverable List</w:t>
      </w:r>
    </w:p>
    <w:p>
      <w:pPr>
        <w:spacing w:after="160"/>
      </w:pPr>
      <w:r>
        <w:rPr>
          <w:sz w:val="21"/>
          <w:szCs w:val="21"/>
        </w:rPr>
        <w:t xml:space="preserve">Scope: everything Kevin authorized for immediate production. Explicitly excludes final page copy for any page whose content depends on Work Package 3's Gateway, Passport, credential, or assessment language — that is Work Package 2B.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800"/>
        <w:gridCol w:w="2200"/>
        <w:gridCol w:w="34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Register Item(s)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Website Content Map and Migration Specification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WEB-01 + redirect/archive plan + ARC-01–08 decisions + access classification per page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CONSOLIDATE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Register's own WEB-01 description already includes redirect/archive action as a column. Folding the access map and archive plan in avoids a second document that would need to stay in sync with the first.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Public / Participant / Restricted Page Template Set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— supports WEB-02 through WEB-24 authoring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distinct working tool used repeatedly during page authoring, not a planning document — different audience and use from the Migration Spec.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 page (status-safe refresh)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WEB-02 (partial)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(partial)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Value proposition, current-status framing, and audience navigation can be finalized now. Any specific Gateway/credential claim is held for Work Package 2B.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Contact, Help, and Concerns page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(full)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Does not depend on Work Package 3 terminology.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Privacy and Records Notice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WEB-21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(full)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Does not depend on Work Package 3 terminology.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Accessibility Statement (with OPS-20 checklist as an appendix)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WEB-20 + OPS-20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CONSOLIDATE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audience and same moment of use — a separate checklist would just be an appendix no one opens on its own.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Content Ownership and Update Schedule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Distinct restricted tracker with its own owner/reviewer/cadence fields — not foldable into the Migration Spec, which is a one-time planning document, not a running schedule.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Status-Label System (display rules only)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(thin)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not re-invent status categories — this is a display-rules document that points to GOV-10 as the source of truth, not a parallel authorization register.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Download Index — structure only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WEB-22 (structure)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(structure only)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content awaits documents that don't exist yet across other work packages; only the navigational schema (role, status, version, audience, access columns) is produced now.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Not produced in this pass, and not to be produced until Work Package 3 sets the terms: WEB-03 (Pathway at a Glance), WEB-04 (Six Gateways and Passport), WEB-05 (Courses and Learning Environments), WEB-06 (The Cottage — needs Gateway 4 language), WEB-07 (Kitchen Management/SkillsUSA — needs Gateway 5 and the SkillsUSA exploratory-language decision applied consistently), WEB-08 (External WBL), WEB-09/10 (Students and Families / Employer Partners full versions), WEB-11 (Credentials and Recognition), WEB-12 (Results and Accountability), WEB-14 through WEB-18 (Resource Center pages), WEB-23 (FAQ). These are Work Package 2B.</w:t>
      </w:r>
    </w:p>
    <w:p>
      <w:pPr>
        <w:spacing w:after="160"/>
      </w:pPr>
      <w:r>
        <w:rPr>
          <w:sz w:val="21"/>
          <w:szCs w:val="21"/>
        </w:rPr>
        <w:t xml:space="preserve">Files are produced as working HTML in a staging location, not inside the live pages/ directory and not linked from the live navigation — nothing is deployed or published.</w:t>
      </w:r>
    </w:p>
    <w:p>
      <w:pPr>
        <w:pStyle w:val="Heading1"/>
        <w:spacing w:after="160" w:before="320"/>
      </w:pPr>
      <w:r>
        <w:rPr>
          <w:color w:val="1F3A5F"/>
        </w:rPr>
        <w:t xml:space="preserve">3. Work Package 3 — Final Deliverable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400"/>
        <w:gridCol w:w="2200"/>
        <w:gridCol w:w="38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Register Item(s)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Course Alignment Memo: Culinary 1, Culinary 2, and Advanced Culinary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CUR-01, CUR-02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CONSOLIDATE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owner (Culinary Teachers), same revision logic (align terminology, Gateways, evidence), reviewed together — one memo instead of two or three avoids drift between them.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Kitchen Management Scope and Sequence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DEFER to Work Package 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groups Kitchen Management's instructional and operational content together under Work Package 4. Gateway 5's rubric (below) is produced now since Kevin's list calls for Gateway standards; the full course document waits so it isn't written twice against two different operational pictures.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Culinary Pathway Skills Map — reconciled and revised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CONSOLIDATE (first) then REVISE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Three duplicate spreadsheet versions exist in source materials (Culinary_Pathway_Skills_Map.xlsx and two numbered copies). These are reconciled into one authoritative file before revision, per the Register's own instruction not to leave duplicative or fragmented materials in place.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Course-to-Gateway Evidence Crosswalk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Different audience and purpose than the Skills Map (evaluators locating evidence, not teachers planning instruction) — Register keeps these as two distinct documents and this memo agrees.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Credential and Recognition Crosswalk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existing authoritative record distinguishes ServSafe, YouScience, ProStart, CDOS, and postsecondary credit — net new.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Assessment and Evidence Inventory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Inventories what already exists before any new assessment is authored — a control document, not optional.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GCSD Culinary Employability Profile — revised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CMP-01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 authoritative template already exists in source materials and is edited directly rather than replaced.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Culinary Passport (record template, with Gateway Verification, Reassessment, and Reverification as linked sections, not separate documents)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CMP-02, CMP-09, CMP-10, CMP-11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CONSOLIDATE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explicitly instructs CMP-09 to be "linked to the Passport rather than duplicating it." The same logic applies to reassessment and reverification — a student's competency record, its verification signoffs, and its reassessment/reverification history are one record, not four.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Gateway 1–5 Performance Standards and Rubrics (one document, five sections)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CMP-03, CMP-04, CMP-05, CMP-06, CMP-07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CONSOLIDATE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approval status, same audience (teachers), reviewed as a set. Combining avoids five near-identical cover pages and keeps the progression visibly sequential.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Gateway 6 Performance Standard and Rubric — CONDITIONAL PLANNING DRAFT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CMP-08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(separate file, mandatory)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stay a separate file specifically because its approval status differs from Gateways 1–5 (Conditional Planning Draft vs. Approved for Planning Use). Mixing statuses inside one document is not acceptable per GOV-09.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Evidence Naming and Storage Guide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CMP-14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(short)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Governs student evidence files, a different object than the program documents GOV-09 already covers — kept separate but cross-referenced to GOV-09 rather than restating its rules.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4. Shared Terminology Contract</w:t>
      </w:r>
    </w:p>
    <w:p>
      <w:pPr>
        <w:spacing w:after="160"/>
      </w:pPr>
      <w:r>
        <w:rPr>
          <w:sz w:val="21"/>
          <w:szCs w:val="21"/>
        </w:rPr>
        <w:t xml:space="preserve">Both leads use the Canonical Glossary (GOV-08) as the sole source of definitions. The following points are called out because they are the terms most likely to drift between a website description and an instructional document if not fixed here: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Gateways are always “Gateway 1” through “Gateway 6,” never renumbered, renamed, or combined — WP2A's page templates and WP3's rubrics must use identical Gateway names and competency lists.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“The Cottage” is always named as such and never described as only a catering business, on the website or in any Gateway 4 evidence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“Kitchen Management” is always framed as leadership development, never as additional cooking instruction, in both the (deferred) website page and the Gateway 5 rubric.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“Travel Rights” is the student-facing term for Gateway 5 completion / External WBL Educational Readiness — WP3's Gateway 5 rubric and WP2B's future Kitchen Management page must use it identically.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Senior External WBL materials, wherever they appear (website or curriculum), carry the exact status line: “Conditional planning draft. Not adopted district policy. Not authorized for implementation.”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SkillsUSA is referred to as the “SkillsUSA development initiative,” exploratory/interest-development stage, active chapter status not confirmed — never as an active chapter, in any document from either package.</w:t>
      </w:r>
    </w:p>
    <w:p>
      <w:pPr>
        <w:spacing w:after="160"/>
      </w:pPr>
      <w:r>
        <w:rPr>
          <w:sz w:val="21"/>
          <w:szCs w:val="21"/>
        </w:rPr>
        <w:t xml:space="preserve">Neither lead may coin a working definition for a term the Canon doesn't already define. If a genuine gap is found (a concept neither package's source material covers), it is raised to the lead editor as an architectural question for Kevin McCann, not resolved locally.</w:t>
      </w:r>
    </w:p>
    <w:p>
      <w:pPr>
        <w:pStyle w:val="Heading1"/>
        <w:spacing w:after="160" w:before="320"/>
      </w:pPr>
      <w:r>
        <w:rPr>
          <w:color w:val="1F3A5F"/>
        </w:rPr>
        <w:t xml:space="preserve">5. Conventions Both Packages Follow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File naming and versioning per GOV-09: GCSD_CulinaryPathway_[Register-ID]_[Short-Title]_v[Major.Minor]_[YYYY-MM-DD].[ext].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document opens with the standard metadata block (title, audience, purpose, owner, version, date, approval/planning status, access classification, storage location, review date, superseded-document info, required action).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Word via the docx skill (helper module at the shared scratchpad path, already configured with the program's cover-page and table styles); spreadsheets via the xlsx skill (openpyxl).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Any CONDITIONAL planning draft (Senior WBL-dependent content) carries the boxed status statement prominently, not buried in a footnote.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Output locations: pathway-documents/work-package-2-website/ and pathway-documents/work-package-3-curriculum-passport-gateways/. Nothing is copied into the live pages/ directory or linked from the live site.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Log every substantive judgment call (a CONSOLIDATE beyond what this memo already decided, a term that needed clarification, a source-document conflict) back to the lead editor for the Production Control Log.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WP2A / WP3 Production Reconciliation Memo</dc:title>
  <dc:creator>Kevin McCann</dc:creator>
  <cp:lastModifiedBy>Un-named</cp:lastModifiedBy>
  <cp:revision>1</cp:revision>
  <dcterms:created xsi:type="dcterms:W3CDTF">2026-07-13T00:56:05.982Z</dcterms:created>
  <dcterms:modified xsi:type="dcterms:W3CDTF">2026-07-13T00:56:05.985Z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