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Carlito" w:hAnsi="Carlito" w:eastAsia="Carlito"/>
          <w:b/>
          <w:color w:val="2E7D7A"/>
          <w:sz w:val="20"/>
        </w:rPr>
        <w:t>GCSD CULINARY PATHWAY | PROGRAM CONTROL DOCUMENT</w:t>
      </w:r>
    </w:p>
    <w:p>
      <w:pPr>
        <w:spacing w:before="720"/>
        <w:jc w:val="center"/>
      </w:pPr>
      <w:r>
        <w:rPr>
          <w:rFonts w:ascii="Carlito" w:hAnsi="Carlito" w:eastAsia="Carlito"/>
          <w:b/>
          <w:color w:val="183A5A"/>
          <w:sz w:val="62"/>
        </w:rPr>
        <w:t>Master Document Register and Website Migration Map</w:t>
      </w:r>
    </w:p>
    <w:p>
      <w:pPr>
        <w:jc w:val="center"/>
      </w:pPr>
      <w:r>
        <w:rPr>
          <w:rFonts w:ascii="Carlito" w:hAnsi="Carlito" w:eastAsia="Carlito"/>
          <w:b w:val="0"/>
          <w:color w:val="2E7D7A"/>
          <w:sz w:val="32"/>
        </w:rPr>
        <w:t>Existing Materials, Required Revisions, New Deliverables, and Production Priorities</w:t>
      </w:r>
    </w:p>
    <w:tbl>
      <w:tblPr>
        <w:tblW w:type="auto" w:w="0"/>
        <w:jc w:val="center"/>
        <w:tblLayout w:type="fixed"/>
        <w:tblLook w:firstColumn="1" w:firstRow="1" w:lastColumn="0" w:lastRow="0" w:noHBand="0" w:noVBand="1" w:val="04A0"/>
      </w:tblPr>
      <w:tblGrid>
        <w:gridCol w:w="6624"/>
      </w:tblGrid>
      <w:tr>
        <w:tc>
          <w:tcPr>
            <w:tcW w:type="dxa" w:w="10080"/>
            <w:shd w:fill="B58B3A"/>
            <w:tcMar>
              <w:top w:w="0" w:type="dxa"/>
              <w:start w:w="0" w:type="dxa"/>
              <w:bottom w:w="0" w:type="dxa"/>
              <w:end w:w="0" w:type="dxa"/>
            </w:tcMar>
          </w:tcPr>
          <w:p>
            <w:r/>
          </w:p>
        </w:tc>
      </w:tr>
    </w:tbl>
    <w:p/>
    <w:tbl>
      <w:tblPr>
        <w:tblW w:type="auto" w:w="0"/>
        <w:jc w:val="center"/>
        <w:tblLayout w:type="fixed"/>
        <w:tblLook w:firstColumn="1" w:firstRow="1" w:lastColumn="0" w:lastRow="0" w:noHBand="0" w:noVBand="1" w:val="04A0"/>
      </w:tblPr>
      <w:tblGrid>
        <w:gridCol w:w="5040"/>
        <w:gridCol w:w="5040"/>
      </w:tblGrid>
      <w:tr>
        <w:tc>
          <w:tcPr>
            <w:tcW w:type="dxa" w:w="2232"/>
            <w:tcMar>
              <w:top w:w="70" w:type="dxa"/>
              <w:start w:w="90" w:type="dxa"/>
              <w:bottom w:w="70" w:type="dxa"/>
              <w:end w:w="90" w:type="dxa"/>
            </w:tcMar>
            <w:tcBorders>
              <w:top w:val="single" w:sz="4" w:color="B8C5CC"/>
              <w:left w:val="single" w:sz="4" w:color="B8C5CC"/>
              <w:bottom w:val="single" w:sz="4" w:color="B8C5CC"/>
              <w:right w:val="single" w:sz="4" w:color="B8C5CC"/>
            </w:tcBorders>
            <w:shd w:fill="EAF2F4"/>
          </w:tcPr>
          <w:p>
            <w:r>
              <w:rPr>
                <w:rFonts w:ascii="Carlito" w:hAnsi="Carlito" w:eastAsia="Carlito"/>
                <w:b/>
                <w:color w:val="183A5A"/>
                <w:sz w:val="18"/>
              </w:rPr>
              <w:t>Version</w:t>
            </w:r>
          </w:p>
        </w:tc>
        <w:tc>
          <w:tcPr>
            <w:tcW w:type="dxa" w:w="5616"/>
            <w:tcMar>
              <w:top w:w="70" w:type="dxa"/>
              <w:start w:w="90" w:type="dxa"/>
              <w:bottom w:w="70" w:type="dxa"/>
              <w:end w:w="90" w:type="dxa"/>
            </w:tcMar>
            <w:tcBorders>
              <w:top w:val="single" w:sz="4" w:color="B8C5CC"/>
              <w:left w:val="single" w:sz="4" w:color="B8C5CC"/>
              <w:bottom w:val="single" w:sz="4" w:color="B8C5CC"/>
              <w:right w:val="single" w:sz="4" w:color="B8C5CC"/>
            </w:tcBorders>
          </w:tcPr>
          <w:p>
            <w:r>
              <w:rPr>
                <w:rFonts w:ascii="Carlito" w:hAnsi="Carlito" w:eastAsia="Carlito"/>
                <w:color w:val="24323D"/>
                <w:sz w:val="18"/>
              </w:rPr>
              <w:t>1.0</w:t>
            </w:r>
          </w:p>
        </w:tc>
      </w:tr>
      <w:tr>
        <w:tc>
          <w:tcPr>
            <w:tcW w:type="dxa" w:w="2232"/>
            <w:tcMar>
              <w:top w:w="70" w:type="dxa"/>
              <w:start w:w="90" w:type="dxa"/>
              <w:bottom w:w="70" w:type="dxa"/>
              <w:end w:w="90" w:type="dxa"/>
            </w:tcMar>
            <w:tcBorders>
              <w:top w:val="single" w:sz="4" w:color="B8C5CC"/>
              <w:left w:val="single" w:sz="4" w:color="B8C5CC"/>
              <w:bottom w:val="single" w:sz="4" w:color="B8C5CC"/>
              <w:right w:val="single" w:sz="4" w:color="B8C5CC"/>
            </w:tcBorders>
            <w:shd w:fill="EAF2F4"/>
          </w:tcPr>
          <w:p>
            <w:r>
              <w:rPr>
                <w:rFonts w:ascii="Carlito" w:hAnsi="Carlito" w:eastAsia="Carlito"/>
                <w:b/>
                <w:color w:val="183A5A"/>
                <w:sz w:val="18"/>
              </w:rPr>
              <w:t>Prepared by</w:t>
            </w:r>
          </w:p>
        </w:tc>
        <w:tc>
          <w:tcPr>
            <w:tcW w:type="dxa" w:w="5616"/>
            <w:tcMar>
              <w:top w:w="70" w:type="dxa"/>
              <w:start w:w="90" w:type="dxa"/>
              <w:bottom w:w="70" w:type="dxa"/>
              <w:end w:w="90" w:type="dxa"/>
            </w:tcMar>
            <w:tcBorders>
              <w:top w:val="single" w:sz="4" w:color="B8C5CC"/>
              <w:left w:val="single" w:sz="4" w:color="B8C5CC"/>
              <w:bottom w:val="single" w:sz="4" w:color="B8C5CC"/>
              <w:right w:val="single" w:sz="4" w:color="B8C5CC"/>
            </w:tcBorders>
          </w:tcPr>
          <w:p>
            <w:r>
              <w:rPr>
                <w:rFonts w:ascii="Carlito" w:hAnsi="Carlito" w:eastAsia="Carlito"/>
                <w:color w:val="24323D"/>
                <w:sz w:val="18"/>
              </w:rPr>
              <w:t>Kevin McCann</w:t>
            </w:r>
          </w:p>
        </w:tc>
      </w:tr>
      <w:tr>
        <w:tc>
          <w:tcPr>
            <w:tcW w:type="dxa" w:w="2232"/>
            <w:tcMar>
              <w:top w:w="70" w:type="dxa"/>
              <w:start w:w="90" w:type="dxa"/>
              <w:bottom w:w="70" w:type="dxa"/>
              <w:end w:w="90" w:type="dxa"/>
            </w:tcMar>
            <w:tcBorders>
              <w:top w:val="single" w:sz="4" w:color="B8C5CC"/>
              <w:left w:val="single" w:sz="4" w:color="B8C5CC"/>
              <w:bottom w:val="single" w:sz="4" w:color="B8C5CC"/>
              <w:right w:val="single" w:sz="4" w:color="B8C5CC"/>
            </w:tcBorders>
            <w:shd w:fill="EAF2F4"/>
          </w:tcPr>
          <w:p>
            <w:r>
              <w:rPr>
                <w:rFonts w:ascii="Carlito" w:hAnsi="Carlito" w:eastAsia="Carlito"/>
                <w:b/>
                <w:color w:val="183A5A"/>
                <w:sz w:val="18"/>
              </w:rPr>
              <w:t>Date</w:t>
            </w:r>
          </w:p>
        </w:tc>
        <w:tc>
          <w:tcPr>
            <w:tcW w:type="dxa" w:w="5616"/>
            <w:tcMar>
              <w:top w:w="70" w:type="dxa"/>
              <w:start w:w="90" w:type="dxa"/>
              <w:bottom w:w="70" w:type="dxa"/>
              <w:end w:w="90" w:type="dxa"/>
            </w:tcMar>
            <w:tcBorders>
              <w:top w:val="single" w:sz="4" w:color="B8C5CC"/>
              <w:left w:val="single" w:sz="4" w:color="B8C5CC"/>
              <w:bottom w:val="single" w:sz="4" w:color="B8C5CC"/>
              <w:right w:val="single" w:sz="4" w:color="B8C5CC"/>
            </w:tcBorders>
          </w:tcPr>
          <w:p>
            <w:r>
              <w:rPr>
                <w:rFonts w:ascii="Carlito" w:hAnsi="Carlito" w:eastAsia="Carlito"/>
                <w:color w:val="24323D"/>
                <w:sz w:val="18"/>
              </w:rPr>
              <w:t>July 2026</w:t>
            </w:r>
          </w:p>
        </w:tc>
      </w:tr>
      <w:tr>
        <w:tc>
          <w:tcPr>
            <w:tcW w:type="dxa" w:w="2232"/>
            <w:tcMar>
              <w:top w:w="70" w:type="dxa"/>
              <w:start w:w="90" w:type="dxa"/>
              <w:bottom w:w="70" w:type="dxa"/>
              <w:end w:w="90" w:type="dxa"/>
            </w:tcMar>
            <w:tcBorders>
              <w:top w:val="single" w:sz="4" w:color="B8C5CC"/>
              <w:left w:val="single" w:sz="4" w:color="B8C5CC"/>
              <w:bottom w:val="single" w:sz="4" w:color="B8C5CC"/>
              <w:right w:val="single" w:sz="4" w:color="B8C5CC"/>
            </w:tcBorders>
            <w:shd w:fill="EAF2F4"/>
          </w:tcPr>
          <w:p>
            <w:r>
              <w:rPr>
                <w:rFonts w:ascii="Carlito" w:hAnsi="Carlito" w:eastAsia="Carlito"/>
                <w:b/>
                <w:color w:val="183A5A"/>
                <w:sz w:val="18"/>
              </w:rPr>
              <w:t>Status</w:t>
            </w:r>
          </w:p>
        </w:tc>
        <w:tc>
          <w:tcPr>
            <w:tcW w:type="dxa" w:w="5616"/>
            <w:tcMar>
              <w:top w:w="70" w:type="dxa"/>
              <w:start w:w="90" w:type="dxa"/>
              <w:bottom w:w="70" w:type="dxa"/>
              <w:end w:w="90" w:type="dxa"/>
            </w:tcMar>
            <w:tcBorders>
              <w:top w:val="single" w:sz="4" w:color="B8C5CC"/>
              <w:left w:val="single" w:sz="4" w:color="B8C5CC"/>
              <w:bottom w:val="single" w:sz="4" w:color="B8C5CC"/>
              <w:right w:val="single" w:sz="4" w:color="B8C5CC"/>
            </w:tcBorders>
          </w:tcPr>
          <w:p>
            <w:r>
              <w:rPr>
                <w:rFonts w:ascii="Carlito" w:hAnsi="Carlito" w:eastAsia="Carlito"/>
                <w:color w:val="24323D"/>
                <w:sz w:val="18"/>
              </w:rPr>
              <w:t>Planning document; not adopted district policy</w:t>
            </w:r>
          </w:p>
        </w:tc>
      </w:tr>
      <w:tr>
        <w:tc>
          <w:tcPr>
            <w:tcW w:type="dxa" w:w="2232"/>
            <w:tcMar>
              <w:top w:w="70" w:type="dxa"/>
              <w:start w:w="90" w:type="dxa"/>
              <w:bottom w:w="70" w:type="dxa"/>
              <w:end w:w="90" w:type="dxa"/>
            </w:tcMar>
            <w:tcBorders>
              <w:top w:val="single" w:sz="4" w:color="B8C5CC"/>
              <w:left w:val="single" w:sz="4" w:color="B8C5CC"/>
              <w:bottom w:val="single" w:sz="4" w:color="B8C5CC"/>
              <w:right w:val="single" w:sz="4" w:color="B8C5CC"/>
            </w:tcBorders>
            <w:shd w:fill="EAF2F4"/>
          </w:tcPr>
          <w:p>
            <w:r>
              <w:rPr>
                <w:rFonts w:ascii="Carlito" w:hAnsi="Carlito" w:eastAsia="Carlito"/>
                <w:b/>
                <w:color w:val="183A5A"/>
                <w:sz w:val="18"/>
              </w:rPr>
              <w:t>Authority</w:t>
            </w:r>
          </w:p>
        </w:tc>
        <w:tc>
          <w:tcPr>
            <w:tcW w:type="dxa" w:w="5616"/>
            <w:tcMar>
              <w:top w:w="70" w:type="dxa"/>
              <w:start w:w="90" w:type="dxa"/>
              <w:bottom w:w="70" w:type="dxa"/>
              <w:end w:w="90" w:type="dxa"/>
            </w:tcMar>
            <w:tcBorders>
              <w:top w:val="single" w:sz="4" w:color="B8C5CC"/>
              <w:left w:val="single" w:sz="4" w:color="B8C5CC"/>
              <w:bottom w:val="single" w:sz="4" w:color="B8C5CC"/>
              <w:right w:val="single" w:sz="4" w:color="B8C5CC"/>
            </w:tcBorders>
          </w:tcPr>
          <w:p>
            <w:r>
              <w:rPr>
                <w:rFonts w:ascii="Carlito" w:hAnsi="Carlito" w:eastAsia="Carlito"/>
                <w:color w:val="24323D"/>
                <w:sz w:val="18"/>
              </w:rPr>
              <w:t>Production-control companion to the Canon, Operating Principles, and Four-Book Series</w:t>
            </w:r>
          </w:p>
        </w:tc>
      </w:tr>
    </w:tbl>
    <w:p>
      <w:pPr>
        <w:spacing w:before="720"/>
        <w:jc w:val="center"/>
      </w:pPr>
      <w:r>
        <w:rPr>
          <w:rFonts w:ascii="Carlito" w:hAnsi="Carlito" w:eastAsia="Carlito"/>
          <w:b/>
          <w:color w:val="2E7D7A"/>
          <w:sz w:val="22"/>
        </w:rPr>
        <w:t>Provide clear direction. Inspect what you expect.</w:t>
      </w:r>
    </w:p>
    <w:p>
      <w:pPr>
        <w:jc w:val="center"/>
      </w:pPr>
      <w:r>
        <w:rPr>
          <w:rFonts w:ascii="Carlito" w:hAnsi="Carlito" w:eastAsia="Carlito"/>
          <w:b/>
          <w:color w:val="183A5A"/>
          <w:sz w:val="22"/>
        </w:rPr>
        <w:t>Prepare students. Verify competence. Increase responsibility.</w:t>
      </w:r>
    </w:p>
    <w:p>
      <w:r>
        <w:br w:type="page"/>
      </w:r>
    </w:p>
    <w:p>
      <w:pPr>
        <w:pStyle w:val="Heading1"/>
      </w:pPr>
      <w:r>
        <w:t>Purpose and Authority</w:t>
      </w:r>
    </w:p>
    <w:p>
      <w:r>
        <w:t>This register is the controlling inventory for the GCSD Culinary Pathway document system. It identifies the materials that already exist, the revisions required to align them with the current program architecture, and the documents that still must be created. It also translates the Four-Book Series into manageable production work without creating new systems, terminology, gateways, philosophies, or organizational structures.</w:t>
      </w:r>
    </w:p>
    <w:p>
      <w:r>
        <w:t>The Culinary Pathway Canon and Operating Principles govern every item in this register. Books One through Four remain the authoritative source for program design, assessment and evaluation, operations, and Board authorization. Supporting documents should make that system usable for a defined audience; they should not restate or redesign it.</w:t>
      </w:r>
    </w:p>
    <w:p>
      <w:pPr>
        <w:pStyle w:val="Heading1"/>
      </w:pPr>
      <w:r>
        <w:t>Document Hierarchy</w:t>
      </w:r>
    </w:p>
    <w:tbl>
      <w:tblPr>
        <w:tblW w:type="auto" w:w="0"/>
        <w:jc w:val="center"/>
        <w:tblLayout w:type="fixed"/>
        <w:tblLook w:firstColumn="1" w:firstRow="1" w:lastColumn="0" w:lastRow="0" w:noHBand="0" w:noVBand="1" w:val="04A0"/>
      </w:tblPr>
      <w:tblGrid>
        <w:gridCol w:w="5040"/>
        <w:gridCol w:w="5040"/>
      </w:tblGrid>
      <w:tr>
        <w:tc>
          <w:tcPr>
            <w:tcW w:type="dxa" w:w="2880"/>
            <w:shd w:fill="183A5A"/>
            <w:tcMar>
              <w:top w:w="60" w:type="dxa"/>
              <w:start w:w="70" w:type="dxa"/>
              <w:bottom w:w="60" w:type="dxa"/>
              <w:end w:w="70" w:type="dxa"/>
            </w:tcMar>
          </w:tcPr>
          <w:p>
            <w:r>
              <w:rPr>
                <w:rFonts w:ascii="Carlito" w:hAnsi="Carlito" w:eastAsia="Carlito"/>
                <w:b/>
                <w:color w:val="FFFFFF"/>
                <w:sz w:val="18"/>
              </w:rPr>
              <w:t>Level</w:t>
            </w:r>
          </w:p>
        </w:tc>
        <w:tc>
          <w:tcPr>
            <w:tcW w:type="dxa" w:w="7488"/>
            <w:shd w:fill="183A5A"/>
            <w:tcMar>
              <w:top w:w="60" w:type="dxa"/>
              <w:start w:w="70" w:type="dxa"/>
              <w:bottom w:w="60" w:type="dxa"/>
              <w:end w:w="70" w:type="dxa"/>
            </w:tcMar>
          </w:tcPr>
          <w:p>
            <w:r>
              <w:rPr>
                <w:rFonts w:ascii="Carlito" w:hAnsi="Carlito" w:eastAsia="Carlito"/>
                <w:b/>
                <w:color w:val="FFFFFF"/>
                <w:sz w:val="18"/>
              </w:rPr>
              <w:t>Contents</w:t>
            </w:r>
          </w:p>
        </w:tc>
      </w:tr>
      <w:tr>
        <w:trPr>
          <w:cantSplit/>
        </w:trPr>
        <w:tc>
          <w:tcPr>
            <w:tcW w:type="dxa" w:w="2880"/>
            <w:shd w:fill="FFFFFF"/>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8"/>
              </w:rPr>
              <w:t>1. Governance</w:t>
            </w:r>
          </w:p>
        </w:tc>
        <w:tc>
          <w:tcPr>
            <w:tcW w:type="dxa" w:w="7488"/>
            <w:shd w:fill="FFFFFF"/>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8"/>
              </w:rPr>
              <w:t>Culinary Pathway Canon; Operating Principles; Master Document Register</w:t>
            </w:r>
          </w:p>
        </w:tc>
      </w:tr>
      <w:tr>
        <w:trPr>
          <w:cantSplit/>
        </w:trPr>
        <w:tc>
          <w:tcPr>
            <w:tcW w:type="dxa" w:w="2880"/>
            <w:shd w:fill="F5F8F9"/>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8"/>
              </w:rPr>
              <w:t>2. Core Program Series</w:t>
            </w:r>
          </w:p>
        </w:tc>
        <w:tc>
          <w:tcPr>
            <w:tcW w:type="dxa" w:w="7488"/>
            <w:shd w:fill="F5F8F9"/>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8"/>
              </w:rPr>
              <w:t>Book One: Program Blueprint; Book Two: Assessment, Evaluation, and Continuous Improvement; Book Three: Operations Manual; Book Four: Board Proposal and Implementation Plan</w:t>
            </w:r>
          </w:p>
        </w:tc>
      </w:tr>
      <w:tr>
        <w:trPr>
          <w:cantSplit/>
        </w:trPr>
        <w:tc>
          <w:tcPr>
            <w:tcW w:type="dxa" w:w="2880"/>
            <w:shd w:fill="FFFFFF"/>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8"/>
              </w:rPr>
              <w:t>3. Implementation Materials</w:t>
            </w:r>
          </w:p>
        </w:tc>
        <w:tc>
          <w:tcPr>
            <w:tcW w:type="dxa" w:w="7488"/>
            <w:shd w:fill="FFFFFF"/>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8"/>
              </w:rPr>
              <w:t>Curriculum maps, Passport and Gateway tools, handbooks, forms, procedures, records, evaluation tools, and Board deliverables</w:t>
            </w:r>
          </w:p>
        </w:tc>
      </w:tr>
      <w:tr>
        <w:trPr>
          <w:cantSplit/>
        </w:trPr>
        <w:tc>
          <w:tcPr>
            <w:tcW w:type="dxa" w:w="2880"/>
            <w:shd w:fill="F5F8F9"/>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8"/>
              </w:rPr>
              <w:t>4. Delivery Channels</w:t>
            </w:r>
          </w:p>
        </w:tc>
        <w:tc>
          <w:tcPr>
            <w:tcW w:type="dxa" w:w="7488"/>
            <w:shd w:fill="F5F8F9"/>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8"/>
              </w:rPr>
              <w:t>Public Pathway Website; role-based Participant Resource Center; restricted administrative system</w:t>
            </w:r>
          </w:p>
        </w:tc>
      </w:tr>
    </w:tbl>
    <w:p>
      <w:pPr>
        <w:pStyle w:val="Heading1"/>
      </w:pPr>
      <w:r>
        <w:t>Production Rules</w:t>
      </w:r>
    </w:p>
    <w:p>
      <w:pPr>
        <w:pStyle w:val="ListNumber"/>
        <w:spacing w:after="60"/>
      </w:pPr>
      <w:r>
        <w:rPr>
          <w:rFonts w:ascii="Carlito" w:hAnsi="Carlito" w:eastAsia="Carlito"/>
          <w:color w:val="24323D"/>
          <w:sz w:val="19"/>
        </w:rPr>
        <w:t>Do not create new program architecture. All production must remain consistent with the Canon, Operating Principles, and Four-Book Series.</w:t>
      </w:r>
    </w:p>
    <w:p>
      <w:pPr>
        <w:pStyle w:val="ListNumber"/>
        <w:spacing w:after="60"/>
      </w:pPr>
      <w:r>
        <w:rPr>
          <w:rFonts w:ascii="Carlito" w:hAnsi="Carlito" w:eastAsia="Carlito"/>
          <w:color w:val="24323D"/>
          <w:sz w:val="19"/>
        </w:rPr>
        <w:t>Preserve the current division of responsibility among the four books. Supporting materials should implement the books, not duplicate them.</w:t>
      </w:r>
    </w:p>
    <w:p>
      <w:pPr>
        <w:pStyle w:val="ListNumber"/>
        <w:spacing w:after="60"/>
      </w:pPr>
      <w:r>
        <w:rPr>
          <w:rFonts w:ascii="Carlito" w:hAnsi="Carlito" w:eastAsia="Carlito"/>
          <w:color w:val="24323D"/>
          <w:sz w:val="19"/>
        </w:rPr>
        <w:t>Use existing evidence before creating a new test, rubric, form, or tracker. Revise and consolidate whenever one authoritative record can serve the need.</w:t>
      </w:r>
    </w:p>
    <w:p>
      <w:pPr>
        <w:pStyle w:val="ListNumber"/>
        <w:spacing w:after="60"/>
      </w:pPr>
      <w:r>
        <w:rPr>
          <w:rFonts w:ascii="Carlito" w:hAnsi="Carlito" w:eastAsia="Carlito"/>
          <w:color w:val="24323D"/>
          <w:sz w:val="19"/>
        </w:rPr>
        <w:t>Keep proposed, pilot, approved, active, and archived materials visibly distinct. Planning documents must not appear to be adopted district policy.</w:t>
      </w:r>
    </w:p>
    <w:p>
      <w:pPr>
        <w:pStyle w:val="ListNumber"/>
        <w:spacing w:after="60"/>
      </w:pPr>
      <w:r>
        <w:rPr>
          <w:rFonts w:ascii="Carlito" w:hAnsi="Carlito" w:eastAsia="Carlito"/>
          <w:color w:val="24323D"/>
          <w:sz w:val="19"/>
        </w:rPr>
        <w:t>Use plain, accessible language. A document has failed when its intended users cannot understand what to do with it.</w:t>
      </w:r>
    </w:p>
    <w:p>
      <w:pPr>
        <w:pStyle w:val="ListNumber"/>
        <w:spacing w:after="60"/>
      </w:pPr>
      <w:r>
        <w:rPr>
          <w:rFonts w:ascii="Carlito" w:hAnsi="Carlito" w:eastAsia="Carlito"/>
          <w:color w:val="24323D"/>
          <w:sz w:val="19"/>
        </w:rPr>
        <w:t>Every procedure should identify its trigger, owner, required action, authoritative record, completion check, and escalation route.</w:t>
      </w:r>
    </w:p>
    <w:p>
      <w:pPr>
        <w:pStyle w:val="ListNumber"/>
        <w:spacing w:after="60"/>
      </w:pPr>
      <w:r>
        <w:rPr>
          <w:rFonts w:ascii="Carlito" w:hAnsi="Carlito" w:eastAsia="Carlito"/>
          <w:color w:val="24323D"/>
          <w:sz w:val="19"/>
        </w:rPr>
        <w:t>Public materials may explain the system but must not expose student records, partner review records, incident records, or restricted administrative information.</w:t>
      </w:r>
    </w:p>
    <w:p>
      <w:pPr>
        <w:pStyle w:val="ListNumber"/>
        <w:spacing w:after="60"/>
      </w:pPr>
      <w:r>
        <w:rPr>
          <w:rFonts w:ascii="Carlito" w:hAnsi="Carlito" w:eastAsia="Carlito"/>
          <w:color w:val="24323D"/>
          <w:sz w:val="19"/>
        </w:rPr>
        <w:t>Adapt source-course and district documents into current pathway materials; do not publish raw course files as public website resources.</w:t>
      </w:r>
    </w:p>
    <w:p>
      <w:pPr>
        <w:pStyle w:val="ListNumber"/>
        <w:spacing w:after="60"/>
      </w:pPr>
      <w:r>
        <w:rPr>
          <w:rFonts w:ascii="Carlito" w:hAnsi="Carlito" w:eastAsia="Carlito"/>
          <w:color w:val="24323D"/>
          <w:sz w:val="19"/>
        </w:rPr>
        <w:t>Every published item must show a title, audience, owner, version, effective or review date, approval status, and access classification.</w:t>
      </w:r>
    </w:p>
    <w:p>
      <w:pPr>
        <w:pStyle w:val="ListNumber"/>
        <w:spacing w:after="60"/>
      </w:pPr>
      <w:r>
        <w:rPr>
          <w:rFonts w:ascii="Carlito" w:hAnsi="Carlito" w:eastAsia="Carlito"/>
          <w:color w:val="24323D"/>
          <w:sz w:val="19"/>
        </w:rPr>
        <w:t>Prepare students. Verify competence. Increase responsibility. Learning comes before labor, and quality comes before quantity.</w:t>
      </w:r>
    </w:p>
    <w:p>
      <w:pPr>
        <w:pStyle w:val="Heading1"/>
      </w:pPr>
      <w:r>
        <w:t>Register Codes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183A5A"/>
            <w:tcMar>
              <w:top w:w="60" w:type="dxa"/>
              <w:start w:w="70" w:type="dxa"/>
              <w:bottom w:w="60" w:type="dxa"/>
              <w:end w:w="70" w:type="dxa"/>
            </w:tcMar>
          </w:tcPr>
          <w:p>
            <w:r>
              <w:rPr>
                <w:rFonts w:ascii="Carlito" w:hAnsi="Carlito" w:eastAsia="Carlito"/>
                <w:b/>
                <w:color w:val="FFFFFF"/>
                <w:sz w:val="17"/>
              </w:rPr>
              <w:t>Code</w:t>
            </w:r>
          </w:p>
        </w:tc>
        <w:tc>
          <w:tcPr>
            <w:tcW w:type="dxa" w:w="2520"/>
            <w:shd w:fill="183A5A"/>
            <w:tcMar>
              <w:top w:w="60" w:type="dxa"/>
              <w:start w:w="70" w:type="dxa"/>
              <w:bottom w:w="60" w:type="dxa"/>
              <w:end w:w="70" w:type="dxa"/>
            </w:tcMar>
          </w:tcPr>
          <w:p>
            <w:r>
              <w:rPr>
                <w:rFonts w:ascii="Carlito" w:hAnsi="Carlito" w:eastAsia="Carlito"/>
                <w:b/>
                <w:color w:val="FFFFFF"/>
                <w:sz w:val="17"/>
              </w:rPr>
              <w:t>Meaning</w:t>
            </w:r>
          </w:p>
        </w:tc>
        <w:tc>
          <w:tcPr>
            <w:tcW w:type="dxa" w:w="6480"/>
            <w:shd w:fill="183A5A"/>
            <w:tcMar>
              <w:top w:w="60" w:type="dxa"/>
              <w:start w:w="70" w:type="dxa"/>
              <w:bottom w:w="60" w:type="dxa"/>
              <w:end w:w="70" w:type="dxa"/>
            </w:tcMar>
          </w:tcPr>
          <w:p>
            <w:r>
              <w:rPr>
                <w:rFonts w:ascii="Carlito" w:hAnsi="Carlito" w:eastAsia="Carlito"/>
                <w:b/>
                <w:color w:val="FFFFFF"/>
                <w:sz w:val="17"/>
              </w:rPr>
              <w:t>Use</w:t>
            </w:r>
          </w:p>
        </w:tc>
      </w:tr>
      <w:tr>
        <w:trPr>
          <w:cantSplit/>
        </w:trPr>
        <w:tc>
          <w:tcPr>
            <w:tcW w:type="dxa" w:w="180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color w:val="183A5A"/>
                <w:sz w:val="17"/>
              </w:rPr>
              <w:t>KEEP</w:t>
            </w:r>
          </w:p>
        </w:tc>
        <w:tc>
          <w:tcPr>
            <w:tcW w:type="dxa" w:w="252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Current and aligned</w:t>
            </w:r>
          </w:p>
        </w:tc>
        <w:tc>
          <w:tcPr>
            <w:tcW w:type="dxa" w:w="648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Retain as authoritative; only final proofreading or approved minor correction.</w:t>
            </w:r>
          </w:p>
        </w:tc>
      </w:tr>
      <w:tr>
        <w:trPr>
          <w:cantSplit/>
        </w:trPr>
        <w:tc>
          <w:tcPr>
            <w:tcW w:type="dxa" w:w="180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color w:val="183A5A"/>
                <w:sz w:val="17"/>
              </w:rPr>
              <w:t>REVISE</w:t>
            </w:r>
          </w:p>
        </w:tc>
        <w:tc>
          <w:tcPr>
            <w:tcW w:type="dxa" w:w="252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Current asset requires alignment</w:t>
            </w:r>
          </w:p>
        </w:tc>
        <w:tc>
          <w:tcPr>
            <w:tcW w:type="dxa" w:w="648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Update terminology, structure, dates, status, content, or usability while preserving its purpose.</w:t>
            </w:r>
          </w:p>
        </w:tc>
      </w:tr>
      <w:tr>
        <w:trPr>
          <w:cantSplit/>
        </w:trPr>
        <w:tc>
          <w:tcPr>
            <w:tcW w:type="dxa" w:w="180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color w:val="183A5A"/>
                <w:sz w:val="17"/>
              </w:rPr>
              <w:t>CREATE</w:t>
            </w:r>
          </w:p>
        </w:tc>
        <w:tc>
          <w:tcPr>
            <w:tcW w:type="dxa" w:w="252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No adequate standalone document exists</w:t>
            </w:r>
          </w:p>
        </w:tc>
        <w:tc>
          <w:tcPr>
            <w:tcW w:type="dxa" w:w="648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Produce a new document from the governing books and existing evidence.</w:t>
            </w:r>
          </w:p>
        </w:tc>
      </w:tr>
      <w:tr>
        <w:trPr>
          <w:cantSplit/>
        </w:trPr>
        <w:tc>
          <w:tcPr>
            <w:tcW w:type="dxa" w:w="180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color w:val="183A5A"/>
                <w:sz w:val="17"/>
              </w:rPr>
              <w:t>CONSOLIDATE</w:t>
            </w:r>
          </w:p>
        </w:tc>
        <w:tc>
          <w:tcPr>
            <w:tcW w:type="dxa" w:w="252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Duplicative or fragmented materials exist</w:t>
            </w:r>
          </w:p>
        </w:tc>
        <w:tc>
          <w:tcPr>
            <w:tcW w:type="dxa" w:w="648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Combine into one authoritative record and retire redundant versions.</w:t>
            </w:r>
          </w:p>
        </w:tc>
      </w:tr>
      <w:tr>
        <w:trPr>
          <w:cantSplit/>
        </w:trPr>
        <w:tc>
          <w:tcPr>
            <w:tcW w:type="dxa" w:w="180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color w:val="183A5A"/>
                <w:sz w:val="17"/>
              </w:rPr>
              <w:t>REPLACE</w:t>
            </w:r>
          </w:p>
        </w:tc>
        <w:tc>
          <w:tcPr>
            <w:tcW w:type="dxa" w:w="252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Current asset no longer reflects the program</w:t>
            </w:r>
          </w:p>
        </w:tc>
        <w:tc>
          <w:tcPr>
            <w:tcW w:type="dxa" w:w="648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Publish a new version and redirect or archive the old version.</w:t>
            </w:r>
          </w:p>
        </w:tc>
      </w:tr>
      <w:tr>
        <w:trPr>
          <w:cantSplit/>
        </w:trPr>
        <w:tc>
          <w:tcPr>
            <w:tcW w:type="dxa" w:w="180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color w:val="183A5A"/>
                <w:sz w:val="17"/>
              </w:rPr>
              <w:t>ARCHIVE</w:t>
            </w:r>
          </w:p>
        </w:tc>
        <w:tc>
          <w:tcPr>
            <w:tcW w:type="dxa" w:w="252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Historical reference only</w:t>
            </w:r>
          </w:p>
        </w:tc>
        <w:tc>
          <w:tcPr>
            <w:tcW w:type="dxa" w:w="648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Remove from active use; retain in controlled archive with superseded status.</w:t>
            </w:r>
          </w:p>
        </w:tc>
      </w:tr>
      <w:tr>
        <w:trPr>
          <w:cantSplit/>
        </w:trPr>
        <w:tc>
          <w:tcPr>
            <w:tcW w:type="dxa" w:w="180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color w:val="183A5A"/>
                <w:sz w:val="17"/>
              </w:rPr>
              <w:t>CONDITIONAL</w:t>
            </w:r>
          </w:p>
        </w:tc>
        <w:tc>
          <w:tcPr>
            <w:tcW w:type="dxa" w:w="252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Dependent on authorization or decision</w:t>
            </w:r>
          </w:p>
        </w:tc>
        <w:tc>
          <w:tcPr>
            <w:tcW w:type="dxa" w:w="648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Draft only when needed; do not publish or operationalize before approval.</w:t>
            </w:r>
          </w:p>
        </w:tc>
      </w:tr>
    </w:tbl>
    <w:p>
      <w:pPr>
        <w:pStyle w:val="Heading1"/>
      </w:pPr>
      <w:r>
        <w:t>Priority and Access Codes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183A5A"/>
            <w:tcMar>
              <w:top w:w="60" w:type="dxa"/>
              <w:start w:w="70" w:type="dxa"/>
              <w:bottom w:w="60" w:type="dxa"/>
              <w:end w:w="70" w:type="dxa"/>
            </w:tcMar>
          </w:tcPr>
          <w:p>
            <w:r>
              <w:rPr>
                <w:rFonts w:ascii="Carlito" w:hAnsi="Carlito" w:eastAsia="Carlito"/>
                <w:b/>
                <w:color w:val="FFFFFF"/>
                <w:sz w:val="17"/>
              </w:rPr>
              <w:t>Code</w:t>
            </w:r>
          </w:p>
        </w:tc>
        <w:tc>
          <w:tcPr>
            <w:tcW w:type="dxa" w:w="2520"/>
            <w:shd w:fill="183A5A"/>
            <w:tcMar>
              <w:top w:w="60" w:type="dxa"/>
              <w:start w:w="70" w:type="dxa"/>
              <w:bottom w:w="60" w:type="dxa"/>
              <w:end w:w="70" w:type="dxa"/>
            </w:tcMar>
          </w:tcPr>
          <w:p>
            <w:r>
              <w:rPr>
                <w:rFonts w:ascii="Carlito" w:hAnsi="Carlito" w:eastAsia="Carlito"/>
                <w:b/>
                <w:color w:val="FFFFFF"/>
                <w:sz w:val="17"/>
              </w:rPr>
              <w:t>Meaning</w:t>
            </w:r>
          </w:p>
        </w:tc>
        <w:tc>
          <w:tcPr>
            <w:tcW w:type="dxa" w:w="6480"/>
            <w:shd w:fill="183A5A"/>
            <w:tcMar>
              <w:top w:w="60" w:type="dxa"/>
              <w:start w:w="70" w:type="dxa"/>
              <w:bottom w:w="60" w:type="dxa"/>
              <w:end w:w="70" w:type="dxa"/>
            </w:tcMar>
          </w:tcPr>
          <w:p>
            <w:r>
              <w:rPr>
                <w:rFonts w:ascii="Carlito" w:hAnsi="Carlito" w:eastAsia="Carlito"/>
                <w:b/>
                <w:color w:val="FFFFFF"/>
                <w:sz w:val="17"/>
              </w:rPr>
              <w:t>Use</w:t>
            </w:r>
          </w:p>
        </w:tc>
      </w:tr>
      <w:tr>
        <w:trPr>
          <w:cantSplit/>
        </w:trPr>
        <w:tc>
          <w:tcPr>
            <w:tcW w:type="dxa" w:w="180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color w:val="183A5A"/>
                <w:sz w:val="17"/>
              </w:rPr>
              <w:t>P0</w:t>
            </w:r>
          </w:p>
        </w:tc>
        <w:tc>
          <w:tcPr>
            <w:tcW w:type="dxa" w:w="252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Governance control</w:t>
            </w:r>
          </w:p>
        </w:tc>
        <w:tc>
          <w:tcPr>
            <w:tcW w:type="dxa" w:w="648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Required before distributed production begins.</w:t>
            </w:r>
          </w:p>
        </w:tc>
      </w:tr>
      <w:tr>
        <w:trPr>
          <w:cantSplit/>
        </w:trPr>
        <w:tc>
          <w:tcPr>
            <w:tcW w:type="dxa" w:w="180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color w:val="183A5A"/>
                <w:sz w:val="17"/>
              </w:rPr>
              <w:t>P1</w:t>
            </w:r>
          </w:p>
        </w:tc>
        <w:tc>
          <w:tcPr>
            <w:tcW w:type="dxa" w:w="252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Public relaunch</w:t>
            </w:r>
          </w:p>
        </w:tc>
        <w:tc>
          <w:tcPr>
            <w:tcW w:type="dxa" w:w="648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Required for website restructuring and accurate public communication.</w:t>
            </w:r>
          </w:p>
        </w:tc>
      </w:tr>
      <w:tr>
        <w:trPr>
          <w:cantSplit/>
        </w:trPr>
        <w:tc>
          <w:tcPr>
            <w:tcW w:type="dxa" w:w="180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color w:val="183A5A"/>
                <w:sz w:val="17"/>
              </w:rPr>
              <w:t>P2</w:t>
            </w:r>
          </w:p>
        </w:tc>
        <w:tc>
          <w:tcPr>
            <w:tcW w:type="dxa" w:w="252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School-based implementation</w:t>
            </w:r>
          </w:p>
        </w:tc>
        <w:tc>
          <w:tcPr>
            <w:tcW w:type="dxa" w:w="648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Required before full Passport, Gateway, The Cottage, or Kitchen Management use.</w:t>
            </w:r>
          </w:p>
        </w:tc>
      </w:tr>
      <w:tr>
        <w:trPr>
          <w:cantSplit/>
        </w:trPr>
        <w:tc>
          <w:tcPr>
            <w:tcW w:type="dxa" w:w="180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color w:val="183A5A"/>
                <w:sz w:val="17"/>
              </w:rPr>
              <w:t>P3</w:t>
            </w:r>
          </w:p>
        </w:tc>
        <w:tc>
          <w:tcPr>
            <w:tcW w:type="dxa" w:w="252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External WBL launch</w:t>
            </w:r>
          </w:p>
        </w:tc>
        <w:tc>
          <w:tcPr>
            <w:tcW w:type="dxa" w:w="648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Required before student placement in the senior course.</w:t>
            </w:r>
          </w:p>
        </w:tc>
      </w:tr>
      <w:tr>
        <w:trPr>
          <w:cantSplit/>
        </w:trPr>
        <w:tc>
          <w:tcPr>
            <w:tcW w:type="dxa" w:w="180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color w:val="183A5A"/>
                <w:sz w:val="17"/>
              </w:rPr>
              <w:t>P4</w:t>
            </w:r>
          </w:p>
        </w:tc>
        <w:tc>
          <w:tcPr>
            <w:tcW w:type="dxa" w:w="252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First operating cycle</w:t>
            </w:r>
          </w:p>
        </w:tc>
        <w:tc>
          <w:tcPr>
            <w:tcW w:type="dxa" w:w="648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Required for annual evaluation, reporting, refinement, and expansion decisions.</w:t>
            </w:r>
          </w:p>
        </w:tc>
      </w:tr>
      <w:tr>
        <w:trPr>
          <w:cantSplit/>
        </w:trPr>
        <w:tc>
          <w:tcPr>
            <w:tcW w:type="dxa" w:w="180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color w:val="183A5A"/>
                <w:sz w:val="17"/>
              </w:rPr>
              <w:t>PUBLIC</w:t>
            </w:r>
          </w:p>
        </w:tc>
        <w:tc>
          <w:tcPr>
            <w:tcW w:type="dxa" w:w="252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Open access</w:t>
            </w:r>
          </w:p>
        </w:tc>
        <w:tc>
          <w:tcPr>
            <w:tcW w:type="dxa" w:w="648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Interest, information gathering, recruitment, and public accountability.</w:t>
            </w:r>
          </w:p>
        </w:tc>
      </w:tr>
      <w:tr>
        <w:trPr>
          <w:cantSplit/>
        </w:trPr>
        <w:tc>
          <w:tcPr>
            <w:tcW w:type="dxa" w:w="180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color w:val="183A5A"/>
                <w:sz w:val="17"/>
              </w:rPr>
              <w:t>PARTICIPANT</w:t>
            </w:r>
          </w:p>
        </w:tc>
        <w:tc>
          <w:tcPr>
            <w:tcW w:type="dxa" w:w="252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Role-based access</w:t>
            </w:r>
          </w:p>
        </w:tc>
        <w:tc>
          <w:tcPr>
            <w:tcW w:type="dxa" w:w="648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Current students, families, mentors, and staff who need instructions or forms.</w:t>
            </w:r>
          </w:p>
        </w:tc>
      </w:tr>
      <w:tr>
        <w:trPr>
          <w:cantSplit/>
        </w:trPr>
        <w:tc>
          <w:tcPr>
            <w:tcW w:type="dxa" w:w="180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color w:val="183A5A"/>
                <w:sz w:val="17"/>
              </w:rPr>
              <w:t>RESTRICTED</w:t>
            </w:r>
          </w:p>
        </w:tc>
        <w:tc>
          <w:tcPr>
            <w:tcW w:type="dxa" w:w="252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Authorized personnel only</w:t>
            </w:r>
          </w:p>
        </w:tc>
        <w:tc>
          <w:tcPr>
            <w:tcW w:type="dxa" w:w="648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Student records, partner review, incidents, compliance, evaluation data, and internal decisions.</w:t>
            </w:r>
          </w:p>
        </w:tc>
      </w:tr>
    </w:tbl>
    <w:p>
      <w:pPr>
        <w:sectPr>
          <w:headerReference w:type="default" r:id="rId9"/>
          <w:footerReference w:type="default" r:id="rId10"/>
          <w:pgSz w:w="12240" w:h="15840"/>
          <w:pgMar w:top="1080" w:right="1080" w:bottom="1008" w:left="1080" w:header="403" w:footer="403" w:gutter="0"/>
          <w:cols w:space="720"/>
          <w:docGrid w:linePitch="360"/>
        </w:sectPr>
      </w:pPr>
    </w:p>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A. Governance, Architecture, and Document Control</w:t>
            </w:r>
          </w:p>
        </w:tc>
      </w:tr>
    </w:tbl>
    <w:p>
      <w:pPr>
        <w:spacing w:after="20"/>
      </w:pP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792"/>
            <w:shd w:fill="183A5A"/>
            <w:tcMar>
              <w:top w:w="55" w:type="dxa"/>
              <w:start w:w="55" w:type="dxa"/>
              <w:bottom w:w="55" w:type="dxa"/>
              <w:end w:w="55" w:type="dxa"/>
            </w:tcMar>
            <w:vAlign w:val="center"/>
          </w:tcPr>
          <w:p>
            <w:pPr>
              <w:spacing w:after="0"/>
            </w:pPr>
            <w:r>
              <w:rPr>
                <w:rFonts w:ascii="Carlito" w:hAnsi="Carlito" w:eastAsia="Carlito"/>
                <w:b/>
                <w:color w:val="FFFFFF"/>
                <w:sz w:val="15"/>
              </w:rPr>
              <w:t>ID</w:t>
            </w:r>
          </w:p>
        </w:tc>
        <w:tc>
          <w:tcPr>
            <w:tcW w:type="dxa" w:w="3024"/>
            <w:shd w:fill="183A5A"/>
            <w:tcMar>
              <w:top w:w="55" w:type="dxa"/>
              <w:start w:w="55" w:type="dxa"/>
              <w:bottom w:w="55" w:type="dxa"/>
              <w:end w:w="55" w:type="dxa"/>
            </w:tcMar>
            <w:vAlign w:val="center"/>
          </w:tcPr>
          <w:p>
            <w:pPr>
              <w:spacing w:after="0"/>
            </w:pPr>
            <w:r>
              <w:rPr>
                <w:rFonts w:ascii="Carlito" w:hAnsi="Carlito" w:eastAsia="Carlito"/>
                <w:b/>
                <w:color w:val="FFFFFF"/>
                <w:sz w:val="15"/>
              </w:rPr>
              <w:t>Document / Asset</w:t>
            </w:r>
          </w:p>
        </w:tc>
        <w:tc>
          <w:tcPr>
            <w:tcW w:type="dxa" w:w="4608"/>
            <w:shd w:fill="183A5A"/>
            <w:tcMar>
              <w:top w:w="55" w:type="dxa"/>
              <w:start w:w="55" w:type="dxa"/>
              <w:bottom w:w="55" w:type="dxa"/>
              <w:end w:w="55" w:type="dxa"/>
            </w:tcMar>
            <w:vAlign w:val="center"/>
          </w:tcPr>
          <w:p>
            <w:pPr>
              <w:spacing w:after="0"/>
            </w:pPr>
            <w:r>
              <w:rPr>
                <w:rFonts w:ascii="Carlito" w:hAnsi="Carlito" w:eastAsia="Carlito"/>
                <w:b/>
                <w:color w:val="FFFFFF"/>
                <w:sz w:val="15"/>
              </w:rPr>
              <w:t>Current Status and Required Action</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Audience / Access</w:t>
            </w:r>
          </w:p>
        </w:tc>
        <w:tc>
          <w:tcPr>
            <w:tcW w:type="dxa" w:w="2232"/>
            <w:shd w:fill="183A5A"/>
            <w:tcMar>
              <w:top w:w="55" w:type="dxa"/>
              <w:start w:w="55" w:type="dxa"/>
              <w:bottom w:w="55" w:type="dxa"/>
              <w:end w:w="55" w:type="dxa"/>
            </w:tcMar>
            <w:vAlign w:val="center"/>
          </w:tcPr>
          <w:p>
            <w:pPr>
              <w:spacing w:after="0"/>
            </w:pPr>
            <w:r>
              <w:rPr>
                <w:rFonts w:ascii="Carlito" w:hAnsi="Carlito" w:eastAsia="Carlito"/>
                <w:b/>
                <w:color w:val="FFFFFF"/>
                <w:sz w:val="15"/>
              </w:rPr>
              <w:t>Authority / Dependency</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Priority / Owner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GOV-01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Culinary Pathway Canon v3.0</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now as the authoritative terminology and architecture reference. Do not expand it into an explanatory manual.</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All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source text; Four-Book Series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P0 / Pathway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GOV-02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Culinary Pathway Operating Principles v1.0</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now as the authoritative statement of program culture and professional commitments.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All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Operating Principles source text</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P0 / Pathway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GOV-03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Book One: Program Blueprint v4.0</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KEEP after the final background corrections. Lock structure and voice; no new systems or duplicated operating detail.</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staff, partners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Operating Principles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P0 / Pathway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GOV-04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Book Two: Assessment, Evaluation, and Continuous Improvement v4.1</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KEEP after final corrections. Preserve the distinction among student competency, training-station quality, and program quality.</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evaluators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One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P0 / Pathway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GOV-05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Book Three: Operations Manual v4.0</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KEEP after final corrections. Use as the source for procedures, responsibilities, records, and implementation tools.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coordinator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Books One–Two</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P0 / Pathway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GOV-06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Book Four: Board Proposal and Implementation Plan v4.0</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KEEP after final corrections. Maintain staged authorization and clear proposed-versus-approved language.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Board, district leadership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Books One–Three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P0 / Pathway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GOV-07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Master Document Register and Website Migration Map v1.0</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now. Use as the production inventory, status register, revision map, and work-assignment reference.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Production team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Operating Principles; Books One–Four</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P0 / Pathway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GOV-08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Canonical Glossary and Terminology Sheet</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 short quick-reference sheet derived only from the Canon. Include Gateway names, Passport, The Cottage, Kitchen Management, Travel Rights, and External WBL.</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Writers, staff, web team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v3.0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P0 / Pathway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GOV-09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Document Control and Versioning Procedure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Define naming, owner, version, approval status, effective date, review date, superseded status, access level, and archive location.</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web team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 this register</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P0 / Program Administration</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GOV-10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Program Status and Authorization Register</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Track proposed, pilot, approved, active, paused, retired, and archived components so public claims remain accurate.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web team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P0 / District Leadership</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GOV-11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Annual Document Review Calendar</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Assign review windows for governance, curriculum, safety, WBL, website, evaluation, and Board reporting.</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 document control procedure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Program Administration</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GOV-12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Companion Document Map</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or CONSOLIDATE the appendix maps already contained in the books into a single cross-reference to this master register.</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All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One–Four</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Pathway Lead</w:t>
            </w:r>
          </w:p>
        </w:tc>
      </w:tr>
    </w:tbl>
    <w:p>
      <w:pPr>
        <w:spacing w:after="40"/>
      </w:pPr>
    </w:p>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B. Curriculum, Course Sequence, and Instructional Alignment</w:t>
            </w:r>
          </w:p>
        </w:tc>
      </w:tr>
    </w:tbl>
    <w:p>
      <w:pPr>
        <w:spacing w:after="20"/>
      </w:pP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792"/>
            <w:shd w:fill="183A5A"/>
            <w:tcMar>
              <w:top w:w="55" w:type="dxa"/>
              <w:start w:w="55" w:type="dxa"/>
              <w:bottom w:w="55" w:type="dxa"/>
              <w:end w:w="55" w:type="dxa"/>
            </w:tcMar>
            <w:vAlign w:val="center"/>
          </w:tcPr>
          <w:p>
            <w:pPr>
              <w:spacing w:after="0"/>
            </w:pPr>
            <w:r>
              <w:rPr>
                <w:rFonts w:ascii="Carlito" w:hAnsi="Carlito" w:eastAsia="Carlito"/>
                <w:b/>
                <w:color w:val="FFFFFF"/>
                <w:sz w:val="15"/>
              </w:rPr>
              <w:t>ID</w:t>
            </w:r>
          </w:p>
        </w:tc>
        <w:tc>
          <w:tcPr>
            <w:tcW w:type="dxa" w:w="3024"/>
            <w:shd w:fill="183A5A"/>
            <w:tcMar>
              <w:top w:w="55" w:type="dxa"/>
              <w:start w:w="55" w:type="dxa"/>
              <w:bottom w:w="55" w:type="dxa"/>
              <w:end w:w="55" w:type="dxa"/>
            </w:tcMar>
            <w:vAlign w:val="center"/>
          </w:tcPr>
          <w:p>
            <w:pPr>
              <w:spacing w:after="0"/>
            </w:pPr>
            <w:r>
              <w:rPr>
                <w:rFonts w:ascii="Carlito" w:hAnsi="Carlito" w:eastAsia="Carlito"/>
                <w:b/>
                <w:color w:val="FFFFFF"/>
                <w:sz w:val="15"/>
              </w:rPr>
              <w:t>Document / Asset</w:t>
            </w:r>
          </w:p>
        </w:tc>
        <w:tc>
          <w:tcPr>
            <w:tcW w:type="dxa" w:w="4608"/>
            <w:shd w:fill="183A5A"/>
            <w:tcMar>
              <w:top w:w="55" w:type="dxa"/>
              <w:start w:w="55" w:type="dxa"/>
              <w:bottom w:w="55" w:type="dxa"/>
              <w:end w:w="55" w:type="dxa"/>
            </w:tcMar>
            <w:vAlign w:val="center"/>
          </w:tcPr>
          <w:p>
            <w:pPr>
              <w:spacing w:after="0"/>
            </w:pPr>
            <w:r>
              <w:rPr>
                <w:rFonts w:ascii="Carlito" w:hAnsi="Carlito" w:eastAsia="Carlito"/>
                <w:b/>
                <w:color w:val="FFFFFF"/>
                <w:sz w:val="15"/>
              </w:rPr>
              <w:t>Current Status and Required Action</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Audience / Access</w:t>
            </w:r>
          </w:p>
        </w:tc>
        <w:tc>
          <w:tcPr>
            <w:tcW w:type="dxa" w:w="2232"/>
            <w:shd w:fill="183A5A"/>
            <w:tcMar>
              <w:top w:w="55" w:type="dxa"/>
              <w:start w:w="55" w:type="dxa"/>
              <w:bottom w:w="55" w:type="dxa"/>
              <w:end w:w="55" w:type="dxa"/>
            </w:tcMar>
            <w:vAlign w:val="center"/>
          </w:tcPr>
          <w:p>
            <w:pPr>
              <w:spacing w:after="0"/>
            </w:pPr>
            <w:r>
              <w:rPr>
                <w:rFonts w:ascii="Carlito" w:hAnsi="Carlito" w:eastAsia="Carlito"/>
                <w:b/>
                <w:color w:val="FFFFFF"/>
                <w:sz w:val="15"/>
              </w:rPr>
              <w:t>Authority / Dependency</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Priority / Owner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CUR-01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Culinary 1 and 2 Outline (8/8/25)</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Align to the current Grade 10 sequence, Gateways 1–3, shared evidence, district standards-based grading, and canonical terminology. Remove outdated or conflicting structure.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Teachers, students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One; Book Two; Canon</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Culinary Teachers</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CUR-02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Advanced Culinary Scope and Sequence 2023–2024</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and re-date. Remove placeholders; align Advanced Culinary to client-centered production, The Cottage, Gateway 4, credential evidence, and current events.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Teachers, students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One; Book Two; 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Culinary Teachers</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CUR-03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Kitchen Management Scope and Sequence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Center leadership, supervision, resource management, event coordination, employment preparation, portfolio, and Gateway 5—not additional cooking instruction.</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Teachers, students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Books One–Three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Kitchen Management Teacher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CUR-04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Senior External WBL Course Curriculum and Scope and Sequence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following district authorization. Include 1.0 credit, 300 verified hours, portfolio, workplace performance, reflection, presentation, and standards-based evaluation.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coordinator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Books Two–Four</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CUR-05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Culinary Pathway Skills Map</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Crosswalk competencies to courses, Gateways, evidence sources, credentials, reassessment, and reverification. Preserve it as an instructional map rather than a second Passport.</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Teachers, evaluators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 existing spreadsheet</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Pathway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CUR-06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Course-to-Gateway Evidence Crosswalk</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Show where each Gateway competency is taught, practiced, assessed, verified, and reverified across the pathway.</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Teachers, evaluators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 revised Skills Map</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Pathway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CUR-07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Credential and Recognition Crosswalk</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Distinguish ServSafe Management, YouScience Culinary III, ProStart Levels 1–2, CDOS evidence, technical assessment, CTE endorsement, potential 4+1 recognition, and approved postsecondary credit.</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families, staff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One–Two; current course documents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Pathway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CUR-08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Assessment and Evidence Inventory</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by inventorying existing labs, products, performances, observations, projects, exams, and records. Identify true gaps before authoring new assessments.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Teachers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 existing course materials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Culinary Teachers</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CUR-09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Standard Recipe, Lab, and Production Documentation Set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INVENTORY and REVISE existing department formats; CONSOLIDATE into shared templates only where inconsistency blocks evidence or operations.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Teachers, students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 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Culinary Teachers</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CUR-10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The Cottage Annual Instructional and Event Calendar</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Coordinate authentic events with instructional objectives, Gateway evidence, staffing, facilities, and district calendar constraints.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students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One–Three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SBE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CUR-11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SkillsUSA Integration Plan</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Define recruitment, instructional alignment, competition preparation, leadership development, funding, supervision, and recognition.</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advisors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Operating Principles; Book One; 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SkillsUSA Advisor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CUR-12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Culinary Pathway Capstone Framework</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if adopted. Define purpose, eligibility, evidence, presentation, and relationship to Passport completion without creating a seventh Gateway.</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staff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Books One–Three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Pathway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CUR-13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Postsecondary and Articulation Map</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Document approved dual-credit, articulation, advanced standing, and transition opportunities; distinguish current agreements from aspirations.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families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One; district agreements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Pathway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CUR-14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Annual Instructional Alignment Review</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 short annual record confirming that course pacing, evidence, credentials, events, and Gateway expectations remain coherent.</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 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Pathway Team</w:t>
            </w:r>
          </w:p>
        </w:tc>
      </w:tr>
    </w:tbl>
    <w:p>
      <w:pPr>
        <w:spacing w:after="40"/>
      </w:pPr>
    </w:p>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C. Competency, Gateway, Passport, and Employability Records</w:t>
            </w:r>
          </w:p>
        </w:tc>
      </w:tr>
    </w:tbl>
    <w:p>
      <w:pPr>
        <w:spacing w:after="20"/>
      </w:pP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792"/>
            <w:shd w:fill="183A5A"/>
            <w:tcMar>
              <w:top w:w="55" w:type="dxa"/>
              <w:start w:w="55" w:type="dxa"/>
              <w:bottom w:w="55" w:type="dxa"/>
              <w:end w:w="55" w:type="dxa"/>
            </w:tcMar>
            <w:vAlign w:val="center"/>
          </w:tcPr>
          <w:p>
            <w:pPr>
              <w:spacing w:after="0"/>
            </w:pPr>
            <w:r>
              <w:rPr>
                <w:rFonts w:ascii="Carlito" w:hAnsi="Carlito" w:eastAsia="Carlito"/>
                <w:b/>
                <w:color w:val="FFFFFF"/>
                <w:sz w:val="15"/>
              </w:rPr>
              <w:t>ID</w:t>
            </w:r>
          </w:p>
        </w:tc>
        <w:tc>
          <w:tcPr>
            <w:tcW w:type="dxa" w:w="3024"/>
            <w:shd w:fill="183A5A"/>
            <w:tcMar>
              <w:top w:w="55" w:type="dxa"/>
              <w:start w:w="55" w:type="dxa"/>
              <w:bottom w:w="55" w:type="dxa"/>
              <w:end w:w="55" w:type="dxa"/>
            </w:tcMar>
            <w:vAlign w:val="center"/>
          </w:tcPr>
          <w:p>
            <w:pPr>
              <w:spacing w:after="0"/>
            </w:pPr>
            <w:r>
              <w:rPr>
                <w:rFonts w:ascii="Carlito" w:hAnsi="Carlito" w:eastAsia="Carlito"/>
                <w:b/>
                <w:color w:val="FFFFFF"/>
                <w:sz w:val="15"/>
              </w:rPr>
              <w:t>Document / Asset</w:t>
            </w:r>
          </w:p>
        </w:tc>
        <w:tc>
          <w:tcPr>
            <w:tcW w:type="dxa" w:w="4608"/>
            <w:shd w:fill="183A5A"/>
            <w:tcMar>
              <w:top w:w="55" w:type="dxa"/>
              <w:start w:w="55" w:type="dxa"/>
              <w:bottom w:w="55" w:type="dxa"/>
              <w:end w:w="55" w:type="dxa"/>
            </w:tcMar>
            <w:vAlign w:val="center"/>
          </w:tcPr>
          <w:p>
            <w:pPr>
              <w:spacing w:after="0"/>
            </w:pPr>
            <w:r>
              <w:rPr>
                <w:rFonts w:ascii="Carlito" w:hAnsi="Carlito" w:eastAsia="Carlito"/>
                <w:b/>
                <w:color w:val="FFFFFF"/>
                <w:sz w:val="15"/>
              </w:rPr>
              <w:t>Current Status and Required Action</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Audience / Access</w:t>
            </w:r>
          </w:p>
        </w:tc>
        <w:tc>
          <w:tcPr>
            <w:tcW w:type="dxa" w:w="2232"/>
            <w:shd w:fill="183A5A"/>
            <w:tcMar>
              <w:top w:w="55" w:type="dxa"/>
              <w:start w:w="55" w:type="dxa"/>
              <w:bottom w:w="55" w:type="dxa"/>
              <w:end w:w="55" w:type="dxa"/>
            </w:tcMar>
            <w:vAlign w:val="center"/>
          </w:tcPr>
          <w:p>
            <w:pPr>
              <w:spacing w:after="0"/>
            </w:pPr>
            <w:r>
              <w:rPr>
                <w:rFonts w:ascii="Carlito" w:hAnsi="Carlito" w:eastAsia="Carlito"/>
                <w:b/>
                <w:color w:val="FFFFFF"/>
                <w:sz w:val="15"/>
              </w:rPr>
              <w:t>Authority / Dependency</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Priority / Owner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CMP-01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GCSD Culinary Employability Profile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Correct placeholders and terminology; align work-related and technical evidence to Gateways 5–6, current credentials, technical assessment, WBL hours, and completion records. Preserve its longitudinal function.</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evaluators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Existing template; Book Two</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Pathway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CMP-02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Culinary Passport</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as the official competency and progression record. Include Gateway status, evidence location, verifier, feedback, next responsibility, reassessment, and reverification fields.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staff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Two; 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Pathway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CMP-03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Gateway 1 Performance Standard and Rubric</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from existing safety, sanitation, hygiene, emergency, equipment-safety, and professional-expectation evidence.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teachers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Two; current curriculum</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Culinary Teachers</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CMP-04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Gateway 2 Performance Standard and Rubric</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from mise en place, station organization, recipe use, measuring, knife skills, time, communication, systems, and closing evidence.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teachers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Two; current curriculum</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Culinary Teachers</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CMP-05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Gateway 3 Performance Standard and Rubric</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from foundational culinary technique, ingredient knowledge, product quality, and consistent performance evidence.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teachers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Two; current curriculum</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Culinary Teachers</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CMP-06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Gateway 4 Performance Standard and Rubric</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for client-centered production, event execution, service, quality control, and The Cottage evidence.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teachers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Books Two–Three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Advanced Culinary Teacher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CMP-07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Gateway 5 Performance Standard and Rubric</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for leadership, management, supervision, employment preparation, résumé, portfolio, interview, and career readiness.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teachers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Books Two–Three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Kitchen Management Teacher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CMP-08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Gateway 6 Performance Standard and Rubric</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for authentic workplace performance, 300 hours, portfolio, evaluations, reflection, and final presentation.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coordinator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Books Two–Four</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CMP-09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Gateway Verification and Completion Record</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one controlled signoff format usable across Gateways, linked to the Passport rather than duplicating it.</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Teachers, coordinator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 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Pathway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CMP-10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Reassessment Plan and Record</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Document feedback, reflection, additional practice or remediation, equivalent reassessment, result, and next step.</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teachers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Two</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Pathway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CMP-11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Reverification Record</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for critical competencies requiring confirmation when students enter more advanced environments.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teachers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Two</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Pathway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CMP-12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Competency Progress Summary</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 readable family/student progress view derived from the Passport without exposing internal notes or creating a second record.</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families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 Passport</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Pathway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CMP-13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Completion-Level Criteria Sheet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 concise explanation of Completion with Distinction, Completion, and Not Yet Completed for students, families, and evaluators.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All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Two</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Pathway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CMP-14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Evidence Naming and Storage Guide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Define file naming, evidence location, authorized access, retention, and links to the Passport and Employability Profile.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 district systems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Program Administration</w:t>
            </w:r>
          </w:p>
        </w:tc>
      </w:tr>
    </w:tbl>
    <w:p>
      <w:pPr>
        <w:spacing w:after="40"/>
      </w:pPr>
    </w:p>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D. Student and Family Information, Orientation, and Participation</w:t>
            </w:r>
          </w:p>
        </w:tc>
      </w:tr>
    </w:tbl>
    <w:p>
      <w:pPr>
        <w:spacing w:after="20"/>
      </w:pP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792"/>
            <w:shd w:fill="183A5A"/>
            <w:tcMar>
              <w:top w:w="55" w:type="dxa"/>
              <w:start w:w="55" w:type="dxa"/>
              <w:bottom w:w="55" w:type="dxa"/>
              <w:end w:w="55" w:type="dxa"/>
            </w:tcMar>
            <w:vAlign w:val="center"/>
          </w:tcPr>
          <w:p>
            <w:pPr>
              <w:spacing w:after="0"/>
            </w:pPr>
            <w:r>
              <w:rPr>
                <w:rFonts w:ascii="Carlito" w:hAnsi="Carlito" w:eastAsia="Carlito"/>
                <w:b/>
                <w:color w:val="FFFFFF"/>
                <w:sz w:val="15"/>
              </w:rPr>
              <w:t>ID</w:t>
            </w:r>
          </w:p>
        </w:tc>
        <w:tc>
          <w:tcPr>
            <w:tcW w:type="dxa" w:w="3024"/>
            <w:shd w:fill="183A5A"/>
            <w:tcMar>
              <w:top w:w="55" w:type="dxa"/>
              <w:start w:w="55" w:type="dxa"/>
              <w:bottom w:w="55" w:type="dxa"/>
              <w:end w:w="55" w:type="dxa"/>
            </w:tcMar>
            <w:vAlign w:val="center"/>
          </w:tcPr>
          <w:p>
            <w:pPr>
              <w:spacing w:after="0"/>
            </w:pPr>
            <w:r>
              <w:rPr>
                <w:rFonts w:ascii="Carlito" w:hAnsi="Carlito" w:eastAsia="Carlito"/>
                <w:b/>
                <w:color w:val="FFFFFF"/>
                <w:sz w:val="15"/>
              </w:rPr>
              <w:t>Document / Asset</w:t>
            </w:r>
          </w:p>
        </w:tc>
        <w:tc>
          <w:tcPr>
            <w:tcW w:type="dxa" w:w="4608"/>
            <w:shd w:fill="183A5A"/>
            <w:tcMar>
              <w:top w:w="55" w:type="dxa"/>
              <w:start w:w="55" w:type="dxa"/>
              <w:bottom w:w="55" w:type="dxa"/>
              <w:end w:w="55" w:type="dxa"/>
            </w:tcMar>
            <w:vAlign w:val="center"/>
          </w:tcPr>
          <w:p>
            <w:pPr>
              <w:spacing w:after="0"/>
            </w:pPr>
            <w:r>
              <w:rPr>
                <w:rFonts w:ascii="Carlito" w:hAnsi="Carlito" w:eastAsia="Carlito"/>
                <w:b/>
                <w:color w:val="FFFFFF"/>
                <w:sz w:val="15"/>
              </w:rPr>
              <w:t>Current Status and Required Action</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Audience / Access</w:t>
            </w:r>
          </w:p>
        </w:tc>
        <w:tc>
          <w:tcPr>
            <w:tcW w:type="dxa" w:w="2232"/>
            <w:shd w:fill="183A5A"/>
            <w:tcMar>
              <w:top w:w="55" w:type="dxa"/>
              <w:start w:w="55" w:type="dxa"/>
              <w:bottom w:w="55" w:type="dxa"/>
              <w:end w:w="55" w:type="dxa"/>
            </w:tcMar>
            <w:vAlign w:val="center"/>
          </w:tcPr>
          <w:p>
            <w:pPr>
              <w:spacing w:after="0"/>
            </w:pPr>
            <w:r>
              <w:rPr>
                <w:rFonts w:ascii="Carlito" w:hAnsi="Carlito" w:eastAsia="Carlito"/>
                <w:b/>
                <w:color w:val="FFFFFF"/>
                <w:sz w:val="15"/>
              </w:rPr>
              <w:t>Authority / Dependency</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Priority / Owner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STU-01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Pathway Overview</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or REPLACE the generic WBL journey with the three-year course sequence, Six Gateways, Passport, The Cottage, Kitchen Management, credentials, and External WBL culmination.</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Prospective students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One; Canon</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and Pathway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STU-02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Pathway Handbook</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Explain expectations, progression, supports, reassessment, leadership, The Cottage, SkillsUSA, career preparation, and participant responsibilities.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Current students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One–Three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Pathway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STU-03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Interest and Career Goals Survey</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or ADAPT existing survey work. Use for awareness, planning, and support—not as a barrier to access.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One; needs-assessment work</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Pathway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STU-04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Pathway Interest or Application Form</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only if district enrollment procedures require it; avoid turning the pathway into a selective gate unrelated to readiness or support.</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One; district policy</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District Leadership</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STU-05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Orientation Acknowledgment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for course, lab, SBE, and leadership expectations; use separate WBL acknowledgment when external placement begins.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Teachers</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STU-06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Safety, Stop-Work, and Emergency Guide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 plain-language quick reference covering immediate stop-work authority, reporting, emergency response, and adult contacts.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 district safety rules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Safety and Pathway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STU-07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Support and Help-Seeking Guide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Explain how students request clarification, remediation, accessibility support, scheduling help, transportation help, or concern review.</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Operating Principles; 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Student Support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STU-08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Concern Report</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 non-retaliatory route for safety, supervision, workload, treatment, accessibility, or placement concerns.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Program Administration</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STU-09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Professional Portfolio Guide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Define common required evidence, individualized evidence, employer feedback, coordinator evaluation, reflection, file standards, checkpoints, and final review.</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Books Two–Three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Pathway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STU-10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Résumé Development Guide and Template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or adapt district career resources; align to Kitchen Management and Gateway 5.</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One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Kitchen Management Teacher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STU-11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Interview Preparation Guide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or adapt existing district resources; include practice, feedback, professional communication, and workplace questions.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One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Kitchen Management Teacher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STU-12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Gateway Feedback Notice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 concise student-facing communication showing evidence reviewed, current status, feedback, next step, and reassessment or reverification date.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families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Teachers</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STU-13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External WBL Eligibility and Prelaunch Checklist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Confirm Gateway 5, Travel Rights, approvals, agreements, training plan, schedule, transportation, safety, supports, and record readiness.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families, coordinator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STU-14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External WBL Student Agreement</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Define attendance, communication, conduct, safety, reporting, coursework, hours, portfolio, and consequences.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 district policy</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STU-15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Schedule and Transportation Plan</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Record school/work schedule, travel responsibility, backup plan, contacts, and approved changes.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families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STU-16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External WBL Hours and Activity Log</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Verify date, hours, duties, learning connection, mentor confirmation, and reconciliation.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mentors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STU-17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External WBL Check-In and Reflection Form</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Use at defined intervals for learning, feedback, safety, duties, progress, and support needs.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coordinator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Two–Three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STU-18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Midpoint Student Self-Evaluation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and align to Gateway 6 evidence and Employability Profile categories.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STU-19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Final Student Self-Evaluation</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and connect to portfolio, employer evaluation, final presentation, and transition plan.</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STU-20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Final Presentation Guide and Rubric</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Define purpose, evidence, reflection, professional presentation expectations, and evaluation.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Two</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STU-21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Exit Interview and Career Transition Plan</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Document learning, next education or employment step, references, credential status, and continuing-development goals.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FAM-01</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Family Pathway Handbook</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Explain the full pathway, Gateway and Passport system, safety, supports, scheduling, credentials, The Cottage, leadership, and External WBL status.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Families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One–Three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Pathway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FAM-02</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Family Course and Gateway Map</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 one-page visual companion to the handbook.</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Families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One; Canon</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Communications</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FAM-03</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Family Safety and Supervision Overview</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Distinguish classroom, SBE, competition, field experience, and external WBL supervision and concern routes.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Families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Program Administration</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FAM-04</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Family Permission and Participation Acknowledgment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or CREATE only for actual district-required permissions; avoid one oversized universal form.</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Families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District policy; 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Program Administration</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FAM-05</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Transportation Responsibility Agreement</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for external WBL and off-campus activities, with clear district, family, student, and employer responsibilities.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Families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 district policy</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Transportation and WBL</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FAM-06</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Media and Privacy Permission</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existing district forms or link to them; do not create a competing release.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Families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District policy</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Communications</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FAM-07</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Family Support Planning Guide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Explain contacts and procedures for IEP/504, accessibility, scheduling, transportation, language access, and other participation supports without collecting unnecessary sensitive data publicly.</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Families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One and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Student Support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FAM-08</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Family Concern and Emergency Routing Guide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 one-page contact and escalation guide.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Families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Program Administration</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FAM-09</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Midpoint Progress Communication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 standard communication derived from Passport and placement evidence.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Families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Teachers or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FAM-10</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Pathway Completion Summary</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Summarize Gateways, credentials, recognition, WBL hours, portfolio, and next steps without duplicating the permanent record.</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families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 Passport; Employability Profile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Pathway Team</w:t>
            </w:r>
          </w:p>
        </w:tc>
      </w:tr>
    </w:tbl>
    <w:p>
      <w:pPr>
        <w:spacing w:after="40"/>
      </w:pPr>
    </w:p>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E. The Cottage School-Based Enterprise</w:t>
            </w:r>
          </w:p>
        </w:tc>
      </w:tr>
    </w:tbl>
    <w:p>
      <w:pPr>
        <w:spacing w:after="20"/>
      </w:pP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792"/>
            <w:shd w:fill="183A5A"/>
            <w:tcMar>
              <w:top w:w="55" w:type="dxa"/>
              <w:start w:w="55" w:type="dxa"/>
              <w:bottom w:w="55" w:type="dxa"/>
              <w:end w:w="55" w:type="dxa"/>
            </w:tcMar>
            <w:vAlign w:val="center"/>
          </w:tcPr>
          <w:p>
            <w:pPr>
              <w:spacing w:after="0"/>
            </w:pPr>
            <w:r>
              <w:rPr>
                <w:rFonts w:ascii="Carlito" w:hAnsi="Carlito" w:eastAsia="Carlito"/>
                <w:b/>
                <w:color w:val="FFFFFF"/>
                <w:sz w:val="15"/>
              </w:rPr>
              <w:t>ID</w:t>
            </w:r>
          </w:p>
        </w:tc>
        <w:tc>
          <w:tcPr>
            <w:tcW w:type="dxa" w:w="3024"/>
            <w:shd w:fill="183A5A"/>
            <w:tcMar>
              <w:top w:w="55" w:type="dxa"/>
              <w:start w:w="55" w:type="dxa"/>
              <w:bottom w:w="55" w:type="dxa"/>
              <w:end w:w="55" w:type="dxa"/>
            </w:tcMar>
            <w:vAlign w:val="center"/>
          </w:tcPr>
          <w:p>
            <w:pPr>
              <w:spacing w:after="0"/>
            </w:pPr>
            <w:r>
              <w:rPr>
                <w:rFonts w:ascii="Carlito" w:hAnsi="Carlito" w:eastAsia="Carlito"/>
                <w:b/>
                <w:color w:val="FFFFFF"/>
                <w:sz w:val="15"/>
              </w:rPr>
              <w:t>Document / Asset</w:t>
            </w:r>
          </w:p>
        </w:tc>
        <w:tc>
          <w:tcPr>
            <w:tcW w:type="dxa" w:w="4608"/>
            <w:shd w:fill="183A5A"/>
            <w:tcMar>
              <w:top w:w="55" w:type="dxa"/>
              <w:start w:w="55" w:type="dxa"/>
              <w:bottom w:w="55" w:type="dxa"/>
              <w:end w:w="55" w:type="dxa"/>
            </w:tcMar>
            <w:vAlign w:val="center"/>
          </w:tcPr>
          <w:p>
            <w:pPr>
              <w:spacing w:after="0"/>
            </w:pPr>
            <w:r>
              <w:rPr>
                <w:rFonts w:ascii="Carlito" w:hAnsi="Carlito" w:eastAsia="Carlito"/>
                <w:b/>
                <w:color w:val="FFFFFF"/>
                <w:sz w:val="15"/>
              </w:rPr>
              <w:t>Current Status and Required Action</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Audience / Access</w:t>
            </w:r>
          </w:p>
        </w:tc>
        <w:tc>
          <w:tcPr>
            <w:tcW w:type="dxa" w:w="2232"/>
            <w:shd w:fill="183A5A"/>
            <w:tcMar>
              <w:top w:w="55" w:type="dxa"/>
              <w:start w:w="55" w:type="dxa"/>
              <w:bottom w:w="55" w:type="dxa"/>
              <w:end w:w="55" w:type="dxa"/>
            </w:tcMar>
            <w:vAlign w:val="center"/>
          </w:tcPr>
          <w:p>
            <w:pPr>
              <w:spacing w:after="0"/>
            </w:pPr>
            <w:r>
              <w:rPr>
                <w:rFonts w:ascii="Carlito" w:hAnsi="Carlito" w:eastAsia="Carlito"/>
                <w:b/>
                <w:color w:val="FFFFFF"/>
                <w:sz w:val="15"/>
              </w:rPr>
              <w:t>Authority / Dependency</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Priority / Owner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SBE-01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The Cottage Public Overview</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REPLACE the generic SBE explanation with the named Culinary Pathway enterprise, its educational purpose, client-centered learning, Gateway 4, and learning-before-labor protections.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Public, clients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One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and SBE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SBE-02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The Cottage Operations and Instructional Guide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as the working manual for requests, approval, instruction, staffing, safety, costing, production, service, evidence, finance, and closeout.</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One–Three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SBE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SBE-03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Client Inquiry and Event Request Form</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Gather purpose, date, audience, service need, budget, location, contact, and constraints without promising acceptance.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Clients, staff / PUBLIC intake; RESTRICTED record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SBE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SBE-04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Event Feasibility and Approval Checklist</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Confirm instructional value, capacity, calendar, facilities, safety, food service, staffing, purchasing, accessibility, and authorization.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SBE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SBE-05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Client Agreement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Define scope, menu or service, client responsibilities, changes, deadlines, payment or cost terms, cancellation, and educational nature.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Client, district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 district policy</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SBE Lead and Administration</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SBE-06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Event Educational Purpose and Gateway Evidence Plan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Identify competencies, student roles, evidence, verifier, feedback, and relationship to Gateway 4 or 5.</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Teachers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 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Teachers</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SBE-07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Menu, Production, and Costing Proposal</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or revise existing costing resources. Include yield, food cost, labor-learning considerations, price or budget, and approval.</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teachers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Current curriculum; 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SBE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SBE-08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Purchasing and Receiving Plan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Record approved vendors, quantities, budget, ordering, receiving, storage, and substitutions.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student leaders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 food safety rules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SBE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SBE-09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Allergen and Food-Safety Review</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Document menu hazards, allergens, cross-contact prevention, time/temperature controls, sanitation, and responsible adults.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Current curriculum; 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Safety and SBE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SBE-10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Facilities and Equipment Plan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Confirm location, equipment, utilities, setup, transport, holding, service, cleaning, and restoration.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SBE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SBE-11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Role and Responsibility Assignment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Assign production, service, sanitation, logistics, communication, quality, and leadership roles tied to readiness.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staff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Operating Principles; 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Teachers</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SBE-12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Event Timeline and Communication Plan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Include approvals, client checkpoints, purchasing, prep, execution, cleanup, feedback, and closeout.</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student leaders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SBE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SBE-13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Production and Service Checklist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reusable checklists by event type without replacing instruction or professional judgment.</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staff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Teachers</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SBE-14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Client Feedback Form</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 concise quality and professionalism survey; do not use it as the sole measure of student competency.</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Clients / PUBLIC response; RESTRICTED record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SBE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SBE-15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Event Reflection</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Connect preparation, execution, quality, teamwork, feedback, problem solving, and next steps to evidence.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Teachers</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SBE-16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Financial and Inventory Reconciliation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Record approved revenue, expenses, inventory use, variance, deposits, and district-required handling.</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 district finance rules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SBE Lead and Business Office</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SBE-17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Event Closeout and Instructional Review</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Confirm client closeout, facility restoration, records, feedback, evidence, finance, lessons learned, and action items.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Two–Three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SBE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SBE-18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Gateway 4 Evidence Record</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as a controlled link to the Passport for client-centered performance; avoid a separate permanent record.</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Teachers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 Passport</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Advanced Culinary Teacher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SBE-19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The Cottage Event Register</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 restricted annual log of requests, decisions, events, participants, instructional purpose, outcomes, and follow-up.</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SBE Lead</w:t>
            </w:r>
          </w:p>
        </w:tc>
      </w:tr>
    </w:tbl>
    <w:p>
      <w:pPr>
        <w:spacing w:after="40"/>
      </w:pPr>
    </w:p>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F. Kitchen Management and Student Leadership</w:t>
            </w:r>
          </w:p>
        </w:tc>
      </w:tr>
    </w:tbl>
    <w:p>
      <w:pPr>
        <w:spacing w:after="20"/>
      </w:pP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792"/>
            <w:shd w:fill="183A5A"/>
            <w:tcMar>
              <w:top w:w="55" w:type="dxa"/>
              <w:start w:w="55" w:type="dxa"/>
              <w:bottom w:w="55" w:type="dxa"/>
              <w:end w:w="55" w:type="dxa"/>
            </w:tcMar>
            <w:vAlign w:val="center"/>
          </w:tcPr>
          <w:p>
            <w:pPr>
              <w:spacing w:after="0"/>
            </w:pPr>
            <w:r>
              <w:rPr>
                <w:rFonts w:ascii="Carlito" w:hAnsi="Carlito" w:eastAsia="Carlito"/>
                <w:b/>
                <w:color w:val="FFFFFF"/>
                <w:sz w:val="15"/>
              </w:rPr>
              <w:t>ID</w:t>
            </w:r>
          </w:p>
        </w:tc>
        <w:tc>
          <w:tcPr>
            <w:tcW w:type="dxa" w:w="3024"/>
            <w:shd w:fill="183A5A"/>
            <w:tcMar>
              <w:top w:w="55" w:type="dxa"/>
              <w:start w:w="55" w:type="dxa"/>
              <w:bottom w:w="55" w:type="dxa"/>
              <w:end w:w="55" w:type="dxa"/>
            </w:tcMar>
            <w:vAlign w:val="center"/>
          </w:tcPr>
          <w:p>
            <w:pPr>
              <w:spacing w:after="0"/>
            </w:pPr>
            <w:r>
              <w:rPr>
                <w:rFonts w:ascii="Carlito" w:hAnsi="Carlito" w:eastAsia="Carlito"/>
                <w:b/>
                <w:color w:val="FFFFFF"/>
                <w:sz w:val="15"/>
              </w:rPr>
              <w:t>Document / Asset</w:t>
            </w:r>
          </w:p>
        </w:tc>
        <w:tc>
          <w:tcPr>
            <w:tcW w:type="dxa" w:w="4608"/>
            <w:shd w:fill="183A5A"/>
            <w:tcMar>
              <w:top w:w="55" w:type="dxa"/>
              <w:start w:w="55" w:type="dxa"/>
              <w:bottom w:w="55" w:type="dxa"/>
              <w:end w:w="55" w:type="dxa"/>
            </w:tcMar>
            <w:vAlign w:val="center"/>
          </w:tcPr>
          <w:p>
            <w:pPr>
              <w:spacing w:after="0"/>
            </w:pPr>
            <w:r>
              <w:rPr>
                <w:rFonts w:ascii="Carlito" w:hAnsi="Carlito" w:eastAsia="Carlito"/>
                <w:b/>
                <w:color w:val="FFFFFF"/>
                <w:sz w:val="15"/>
              </w:rPr>
              <w:t>Current Status and Required Action</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Audience / Access</w:t>
            </w:r>
          </w:p>
        </w:tc>
        <w:tc>
          <w:tcPr>
            <w:tcW w:type="dxa" w:w="2232"/>
            <w:shd w:fill="183A5A"/>
            <w:tcMar>
              <w:top w:w="55" w:type="dxa"/>
              <w:start w:w="55" w:type="dxa"/>
              <w:bottom w:w="55" w:type="dxa"/>
              <w:end w:w="55" w:type="dxa"/>
            </w:tcMar>
            <w:vAlign w:val="center"/>
          </w:tcPr>
          <w:p>
            <w:pPr>
              <w:spacing w:after="0"/>
            </w:pPr>
            <w:r>
              <w:rPr>
                <w:rFonts w:ascii="Carlito" w:hAnsi="Carlito" w:eastAsia="Carlito"/>
                <w:b/>
                <w:color w:val="FFFFFF"/>
                <w:sz w:val="15"/>
              </w:rPr>
              <w:t>Authority / Dependency</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Priority / Owner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KM-01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Kitchen Management Public Course Overview</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Explain leadership, supervision, management, career readiness, Gateway 5, and Travel Rights.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families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One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and Teacher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KM-02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Kitchen Management Student Leadership Handbook</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Define leadership roles, authority boundaries, communication, feedback, quality, safety, ethical conduct, and reflection.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Operating Principles; Books One–Three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Kitchen Management Teacher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KM-03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Leadership Assignment Brief</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 reusable task brief stating objective, scope, team, authority, constraints, evidence, check-ins, and completion criteria.</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Kitchen Management Teacher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KM-04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Crew Briefing and Communication Plan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Prepare student leaders to provide clear direction, confirm understanding, monitor execution, and escalate concerns.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Operating Principles; 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Kitchen Management Teacher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KM-05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Resource Management Plan</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for labor allocation, time, ingredients, equipment, space, and contingency planning.</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Kitchen Management Teacher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KM-06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Event Leadership Record</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Document leadership role, decisions, supervision, communication, problem solving, quality, feedback, and outcome.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teacher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 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Kitchen Management Teacher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KM-07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Leadership Observation Rubric</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from Gateway 5 and Employability Profile evidence; do not introduce unrelated leadership categories.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teacher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Two</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Kitchen Management Teacher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KM-08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Post-Event Leadership Debrief</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Capture what was expected, observed, corrected, learned, and transferred to the next responsibility.</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Operating Principles; Book Two</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Kitchen Management Teacher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KM-09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Gateway 5 Evidence Record</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as a Passport-linked verification record for leadership and career readiness.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Teacher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 Passport</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Kitchen Management Teacher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KM-10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Career Readiness Completion Checklist</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Confirm résumé, portfolio, interview practice, professional communication, employer research, documentation, and Travel Rights decision.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teacher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Two</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Kitchen Management Teacher</w:t>
            </w:r>
          </w:p>
        </w:tc>
      </w:tr>
    </w:tbl>
    <w:p>
      <w:pPr>
        <w:spacing w:after="40"/>
      </w:pPr>
    </w:p>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G. Employer, Mentor, Training Station, and External WBL Documents</w:t>
            </w:r>
          </w:p>
        </w:tc>
      </w:tr>
    </w:tbl>
    <w:p>
      <w:pPr>
        <w:spacing w:after="20"/>
      </w:pP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792"/>
            <w:shd w:fill="183A5A"/>
            <w:tcMar>
              <w:top w:w="55" w:type="dxa"/>
              <w:start w:w="55" w:type="dxa"/>
              <w:bottom w:w="55" w:type="dxa"/>
              <w:end w:w="55" w:type="dxa"/>
            </w:tcMar>
            <w:vAlign w:val="center"/>
          </w:tcPr>
          <w:p>
            <w:pPr>
              <w:spacing w:after="0"/>
            </w:pPr>
            <w:r>
              <w:rPr>
                <w:rFonts w:ascii="Carlito" w:hAnsi="Carlito" w:eastAsia="Carlito"/>
                <w:b/>
                <w:color w:val="FFFFFF"/>
                <w:sz w:val="15"/>
              </w:rPr>
              <w:t>ID</w:t>
            </w:r>
          </w:p>
        </w:tc>
        <w:tc>
          <w:tcPr>
            <w:tcW w:type="dxa" w:w="3024"/>
            <w:shd w:fill="183A5A"/>
            <w:tcMar>
              <w:top w:w="55" w:type="dxa"/>
              <w:start w:w="55" w:type="dxa"/>
              <w:bottom w:w="55" w:type="dxa"/>
              <w:end w:w="55" w:type="dxa"/>
            </w:tcMar>
            <w:vAlign w:val="center"/>
          </w:tcPr>
          <w:p>
            <w:pPr>
              <w:spacing w:after="0"/>
            </w:pPr>
            <w:r>
              <w:rPr>
                <w:rFonts w:ascii="Carlito" w:hAnsi="Carlito" w:eastAsia="Carlito"/>
                <w:b/>
                <w:color w:val="FFFFFF"/>
                <w:sz w:val="15"/>
              </w:rPr>
              <w:t>Document / Asset</w:t>
            </w:r>
          </w:p>
        </w:tc>
        <w:tc>
          <w:tcPr>
            <w:tcW w:type="dxa" w:w="4608"/>
            <w:shd w:fill="183A5A"/>
            <w:tcMar>
              <w:top w:w="55" w:type="dxa"/>
              <w:start w:w="55" w:type="dxa"/>
              <w:bottom w:w="55" w:type="dxa"/>
              <w:end w:w="55" w:type="dxa"/>
            </w:tcMar>
            <w:vAlign w:val="center"/>
          </w:tcPr>
          <w:p>
            <w:pPr>
              <w:spacing w:after="0"/>
            </w:pPr>
            <w:r>
              <w:rPr>
                <w:rFonts w:ascii="Carlito" w:hAnsi="Carlito" w:eastAsia="Carlito"/>
                <w:b/>
                <w:color w:val="FFFFFF"/>
                <w:sz w:val="15"/>
              </w:rPr>
              <w:t>Current Status and Required Action</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Audience / Access</w:t>
            </w:r>
          </w:p>
        </w:tc>
        <w:tc>
          <w:tcPr>
            <w:tcW w:type="dxa" w:w="2232"/>
            <w:shd w:fill="183A5A"/>
            <w:tcMar>
              <w:top w:w="55" w:type="dxa"/>
              <w:start w:w="55" w:type="dxa"/>
              <w:bottom w:w="55" w:type="dxa"/>
              <w:end w:w="55" w:type="dxa"/>
            </w:tcMar>
            <w:vAlign w:val="center"/>
          </w:tcPr>
          <w:p>
            <w:pPr>
              <w:spacing w:after="0"/>
            </w:pPr>
            <w:r>
              <w:rPr>
                <w:rFonts w:ascii="Carlito" w:hAnsi="Carlito" w:eastAsia="Carlito"/>
                <w:b/>
                <w:color w:val="FFFFFF"/>
                <w:sz w:val="15"/>
              </w:rPr>
              <w:t>Authority / Dependency</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Priority / Owner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EMP-01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Employer and Community Partnership Overview</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current employer page and create a downloadable one-page overview explaining educational purpose, mentor role, approved duties, learning-before-labor, and ways to participate.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Employers, community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One; 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EMP-02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Partner Interest Form</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 low-barrier inquiry form; clarify that submission does not equal approval or a placement guarantee.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Employers / PUBLIC intake</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EMP-03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Training Station Profile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Record organization, location, operations, contacts, mentor, schedule, duties, equipment, hazards, accommodations, transportation, compensation, and educational opportunities.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Employer, coordinator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EMP-04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Training Station Screening and Site Review Checklist</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Evaluate safety, legal compliance, supervision, learning value, duties, schedule, accessibility, communication, and capacity.</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Coordinator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 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EMP-05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Training Station Decision Notice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templates for approval, conditional approval, denial, suspension, renewal, and discontinuation with reasons and next steps.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Employer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EMP-06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Employer Partnership Agreement</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with district review. Define educational purpose, responsibilities, supervision, safety, communication, records, changes, termination, and compliance.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Employer, district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 district legal review</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EMP-07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Mentor Handbook</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Explain the pathway, student readiness, learning objectives, supervision, feedback, evaluation, prohibited duties, concerns, and communication.</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Mentors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One–Three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EMP-08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Mentor Orientation Presentation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 concise presentation based on the handbook; use for live or recorded orientation.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Mentors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EMP-09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Mentor Orientation Acknowledgment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Record completion, understanding, contacts, and agreement to notify the coordinator of changes or concerns.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Mentor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EMP-10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Individualized Training Plan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Translate pathway competencies into student-specific workplace objectives, approved duties, evidence, schedule, supervision, and review points. Employer supports; educator owns curriculum.</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 employer, coordinator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 Operating Principles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EMP-11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Approved Duties and Equipment List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per placement and link to the training plan. Identify restrictions, required training, and change approval.</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 mentor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 labor/safety rules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EMP-12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Minor Employment and Scheduling Guidance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or link to current authoritative district/state resources. Keep legal details current; do not rely on old course-module text.</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Employers, families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Current law; district guidance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District Administration</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EMP-13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Placement Emergency Contact Sheet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Include student, family, mentor, coordinator, school, emergency, and after-hours procedures as approved.</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 employer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EMP-14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Employer Hours Verification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or integrate with the student log; one authoritative hour record should be reconciled and retained.</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Mentor, coordinator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EMP-15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Midpoint Employer Evaluation</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and align to training plan, Employability Profile, and Gateway 6 evidence.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Employer, student, coordinator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EMP-16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Final Employer Evaluation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and align to training plan, Employability Profile, and Gateway 6 evidence.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Employer, student, coordinator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EMP-17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Employer and Mentor Experience Survey</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for training-station quality and program improvement; separate from student performance evaluation.</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Employer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EMP-18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Schedule, Duty, Mentor, or Location Change Request</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Require prior coordinator approval except immediate safety action; update all authoritative records.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Employer, student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EMP-19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Concern and Corrective-Action Record</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Document issue, immediate protection, investigation, communication, actions, verification, and closure.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Coordinator, administration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EMP-20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Incident Report</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or adopt district form. Link to emergency response, district reporting, family notification, and placement review.</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Authorized staff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District policy; 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District Administration</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EMP-21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Placement Change, Suspension, or Early Termination Record</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Document reason, student status, learning impact, hours, records, support, replacement decision, and course implications.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Coordinator, student, family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EMP-22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Partner Closeout and Renewal Review</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Reconcile student completion, records, feedback, training-station quality, corrective actions, and next-year decision.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Coordinator, employer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Two–Three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EMP-23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Partner Recognition and Thank-You Communication</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templates for appropriate recognition without implying endorsement beyond approved partnership status.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Partners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One; communications standards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Communications</w:t>
            </w:r>
          </w:p>
        </w:tc>
      </w:tr>
    </w:tbl>
    <w:p>
      <w:pPr>
        <w:spacing w:after="40"/>
      </w:pPr>
    </w:p>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H. Program Operations, Records, Safety, and Administration</w:t>
            </w:r>
          </w:p>
        </w:tc>
      </w:tr>
    </w:tbl>
    <w:p>
      <w:pPr>
        <w:spacing w:after="20"/>
      </w:pP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792"/>
            <w:shd w:fill="183A5A"/>
            <w:tcMar>
              <w:top w:w="55" w:type="dxa"/>
              <w:start w:w="55" w:type="dxa"/>
              <w:bottom w:w="55" w:type="dxa"/>
              <w:end w:w="55" w:type="dxa"/>
            </w:tcMar>
            <w:vAlign w:val="center"/>
          </w:tcPr>
          <w:p>
            <w:pPr>
              <w:spacing w:after="0"/>
            </w:pPr>
            <w:r>
              <w:rPr>
                <w:rFonts w:ascii="Carlito" w:hAnsi="Carlito" w:eastAsia="Carlito"/>
                <w:b/>
                <w:color w:val="FFFFFF"/>
                <w:sz w:val="15"/>
              </w:rPr>
              <w:t>ID</w:t>
            </w:r>
          </w:p>
        </w:tc>
        <w:tc>
          <w:tcPr>
            <w:tcW w:type="dxa" w:w="3024"/>
            <w:shd w:fill="183A5A"/>
            <w:tcMar>
              <w:top w:w="55" w:type="dxa"/>
              <w:start w:w="55" w:type="dxa"/>
              <w:bottom w:w="55" w:type="dxa"/>
              <w:end w:w="55" w:type="dxa"/>
            </w:tcMar>
            <w:vAlign w:val="center"/>
          </w:tcPr>
          <w:p>
            <w:pPr>
              <w:spacing w:after="0"/>
            </w:pPr>
            <w:r>
              <w:rPr>
                <w:rFonts w:ascii="Carlito" w:hAnsi="Carlito" w:eastAsia="Carlito"/>
                <w:b/>
                <w:color w:val="FFFFFF"/>
                <w:sz w:val="15"/>
              </w:rPr>
              <w:t>Document / Asset</w:t>
            </w:r>
          </w:p>
        </w:tc>
        <w:tc>
          <w:tcPr>
            <w:tcW w:type="dxa" w:w="4608"/>
            <w:shd w:fill="183A5A"/>
            <w:tcMar>
              <w:top w:w="55" w:type="dxa"/>
              <w:start w:w="55" w:type="dxa"/>
              <w:bottom w:w="55" w:type="dxa"/>
              <w:end w:w="55" w:type="dxa"/>
            </w:tcMar>
            <w:vAlign w:val="center"/>
          </w:tcPr>
          <w:p>
            <w:pPr>
              <w:spacing w:after="0"/>
            </w:pPr>
            <w:r>
              <w:rPr>
                <w:rFonts w:ascii="Carlito" w:hAnsi="Carlito" w:eastAsia="Carlito"/>
                <w:b/>
                <w:color w:val="FFFFFF"/>
                <w:sz w:val="15"/>
              </w:rPr>
              <w:t>Current Status and Required Action</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Audience / Access</w:t>
            </w:r>
          </w:p>
        </w:tc>
        <w:tc>
          <w:tcPr>
            <w:tcW w:type="dxa" w:w="2232"/>
            <w:shd w:fill="183A5A"/>
            <w:tcMar>
              <w:top w:w="55" w:type="dxa"/>
              <w:start w:w="55" w:type="dxa"/>
              <w:bottom w:w="55" w:type="dxa"/>
              <w:end w:w="55" w:type="dxa"/>
            </w:tcMar>
            <w:vAlign w:val="center"/>
          </w:tcPr>
          <w:p>
            <w:pPr>
              <w:spacing w:after="0"/>
            </w:pPr>
            <w:r>
              <w:rPr>
                <w:rFonts w:ascii="Carlito" w:hAnsi="Carlito" w:eastAsia="Carlito"/>
                <w:b/>
                <w:color w:val="FFFFFF"/>
                <w:sz w:val="15"/>
              </w:rPr>
              <w:t>Authority / Dependency</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Priority / Owner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OPS-01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Annual Roles and Responsibility Matrix</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Assign district leadership, pathway lead, teachers, WBL coordinator, SBE lead, support staff, transportation, communications, and record owners.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District Leadership</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OPS-02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Master Operational Calendar</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Integrate instruction, Gateways, The Cottage, SkillsUSA, partner development, WBL launch, site visits, evaluation, reporting, and document review.</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Program Administration</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OPS-03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Annual Launch-Readiness Checklist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Verify authorization, staffing, capacity, courses, curriculum, records, training stations, safety, transportation, supports, website, and communication before launch.</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District Leadership</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OPS-04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Roster and Prelaunch Tracker</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in an approved restricted system. Track Gateway readiness, approvals, agreements, support, schedule, transport, placement, and record completion.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Coordinator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OPS-05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Partner and Training Station Database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in an approved restricted system. Track contacts, approval, mentor, capacity, duties, site reviews, issues, evaluations, and renewal.</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Coordinator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Two–Three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OPS-06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Student-to-Training-Station Matching Record</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Document goals, readiness, supports, transportation, schedule, duties, fit, decision, and alternatives.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Coordinator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OPS-07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Agreement and Training Plan Status Tracker</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Prevent placement start before required approvals and current documents are complete.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Coordinator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OPS-08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Coordinator Communication Log</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Record material contacts, decisions, concerns, changes, and follow-up without duplicating routine email.</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Coordinator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OPS-09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Coordinator Site-Visit and Monitoring Record</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Document observation, student learning, supervision, safety, duties, feedback, records, concerns, and follow-up.</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Coordinator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Two–Three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OPS-10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WBL Hour Reconciliation Record</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Reconcile student and employer records, absences, discrepancies, approved hours, and cumulative total.</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Coordinator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OPS-11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Portfolio Progress Tracker</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Monitor required and individualized evidence, checkpoints, feedback, missing items, and final completion.</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 coordinator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 portfolio guide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OPS-12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Incident and Corrective-Action Register</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in a restricted system for pattern review, closure, training-station quality, and annual evaluation.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Administration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Two–Three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District Administration</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OPS-13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Placement Status and Change Tracker</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Record active, pending, paused, changed, terminated, completed, and renewal status with dates and authority.</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Coordinator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OPS-14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Transportation and Student-Support Coordination Record</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Document approved plans, responsibilities, accessibility supports, schedule constraints, changes, and unresolved barriers.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Authorized staff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One and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Support and Transportation</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OPS-15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Records Retention and Archive Schedule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with district review. Define official record, owner, system, access, retention, disposition, and superseded-document handling.</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 district policy</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Records Administration</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OPS-16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Privacy and Access Protocol</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Separate public content, participant materials, and restricted records; define permissions, sharing, and incident response.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web team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 district policy</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IT and Administration</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OPS-17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Annual Closeout and Staff Handoff Checklist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Confirm records, unresolved issues, partner renewal, inventory, finance, evaluation, archives, next-year calendar, and ownership.</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Program Administration</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OPS-18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Emergency and Escalation Contact Tree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for classroom, SBE, events, travel, and external WBL; maintain current names and after-hours procedures.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 district emergency plans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District Administration</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OPS-19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Legal, Insurance, Working Papers, and Risk Review Checklist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with district counsel and administration. Use before external WBL authorization and annually thereafter.</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 current law and policy</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District Administration</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OPS-20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Accessibility and Digital-Document Review Checklist</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Apply to website, forms, documents, presentations, and participant resources before publication.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Writers, web team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District accessibility requirements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Accessibility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OPS-21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Program Risk and Mitigation Register</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Track safety, staffing, capacity, transportation, equity, partner, financial, communication, and authorization risks with owners and review dates.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District Leadership</w:t>
            </w:r>
          </w:p>
        </w:tc>
      </w:tr>
    </w:tbl>
    <w:p>
      <w:pPr>
        <w:spacing w:after="40"/>
      </w:pPr>
    </w:p>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I. Assessment, Evaluation, Accountability, and Continuous Improvement</w:t>
            </w:r>
          </w:p>
        </w:tc>
      </w:tr>
    </w:tbl>
    <w:p>
      <w:pPr>
        <w:spacing w:after="20"/>
      </w:pP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792"/>
            <w:shd w:fill="183A5A"/>
            <w:tcMar>
              <w:top w:w="55" w:type="dxa"/>
              <w:start w:w="55" w:type="dxa"/>
              <w:bottom w:w="55" w:type="dxa"/>
              <w:end w:w="55" w:type="dxa"/>
            </w:tcMar>
            <w:vAlign w:val="center"/>
          </w:tcPr>
          <w:p>
            <w:pPr>
              <w:spacing w:after="0"/>
            </w:pPr>
            <w:r>
              <w:rPr>
                <w:rFonts w:ascii="Carlito" w:hAnsi="Carlito" w:eastAsia="Carlito"/>
                <w:b/>
                <w:color w:val="FFFFFF"/>
                <w:sz w:val="15"/>
              </w:rPr>
              <w:t>ID</w:t>
            </w:r>
          </w:p>
        </w:tc>
        <w:tc>
          <w:tcPr>
            <w:tcW w:type="dxa" w:w="3024"/>
            <w:shd w:fill="183A5A"/>
            <w:tcMar>
              <w:top w:w="55" w:type="dxa"/>
              <w:start w:w="55" w:type="dxa"/>
              <w:bottom w:w="55" w:type="dxa"/>
              <w:end w:w="55" w:type="dxa"/>
            </w:tcMar>
            <w:vAlign w:val="center"/>
          </w:tcPr>
          <w:p>
            <w:pPr>
              <w:spacing w:after="0"/>
            </w:pPr>
            <w:r>
              <w:rPr>
                <w:rFonts w:ascii="Carlito" w:hAnsi="Carlito" w:eastAsia="Carlito"/>
                <w:b/>
                <w:color w:val="FFFFFF"/>
                <w:sz w:val="15"/>
              </w:rPr>
              <w:t>Document / Asset</w:t>
            </w:r>
          </w:p>
        </w:tc>
        <w:tc>
          <w:tcPr>
            <w:tcW w:type="dxa" w:w="4608"/>
            <w:shd w:fill="183A5A"/>
            <w:tcMar>
              <w:top w:w="55" w:type="dxa"/>
              <w:start w:w="55" w:type="dxa"/>
              <w:bottom w:w="55" w:type="dxa"/>
              <w:end w:w="55" w:type="dxa"/>
            </w:tcMar>
            <w:vAlign w:val="center"/>
          </w:tcPr>
          <w:p>
            <w:pPr>
              <w:spacing w:after="0"/>
            </w:pPr>
            <w:r>
              <w:rPr>
                <w:rFonts w:ascii="Carlito" w:hAnsi="Carlito" w:eastAsia="Carlito"/>
                <w:b/>
                <w:color w:val="FFFFFF"/>
                <w:sz w:val="15"/>
              </w:rPr>
              <w:t>Current Status and Required Action</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Audience / Access</w:t>
            </w:r>
          </w:p>
        </w:tc>
        <w:tc>
          <w:tcPr>
            <w:tcW w:type="dxa" w:w="2232"/>
            <w:shd w:fill="183A5A"/>
            <w:tcMar>
              <w:top w:w="55" w:type="dxa"/>
              <w:start w:w="55" w:type="dxa"/>
              <w:bottom w:w="55" w:type="dxa"/>
              <w:end w:w="55" w:type="dxa"/>
            </w:tcMar>
            <w:vAlign w:val="center"/>
          </w:tcPr>
          <w:p>
            <w:pPr>
              <w:spacing w:after="0"/>
            </w:pPr>
            <w:r>
              <w:rPr>
                <w:rFonts w:ascii="Carlito" w:hAnsi="Carlito" w:eastAsia="Carlito"/>
                <w:b/>
                <w:color w:val="FFFFFF"/>
                <w:sz w:val="15"/>
              </w:rPr>
              <w:t>Authority / Dependency</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Priority / Owner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EVAL-01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Gateway Outcome Tracker</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in a restricted system. Aggregate completion, reassessment, reverification, evidence gaps, and progression without replacing the Passport.</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Evaluators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Pathway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EVAL-02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Training Station Quality Rubric</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Evaluate safety, supervision, learning quality, duties, communication, access, student feedback, employer feedback, and corrective action.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Coordinator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EVAL-03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Annual Program Evaluation Template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as the operational companion to Book Two. Separate student outcomes, training-station quality, and overall pathway quality.</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Evaluation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EVAL-04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Experience Survey</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for instruction, Gateway clarity, support, The Cottage, leadership, WBL, safety, belonging, and transition.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Evaluation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EVAL-05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Family Experience Survey</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for communication, clarity, support, access, safety, scheduling, transportation, and perceived value.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Families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Evaluation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EVAL-06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Employer and Mentor Program Survey</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for program and training-station improvement; keep separate from individual student evaluation.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Partners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Evaluation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EVAL-07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Teacher and Staff Implementation Survey</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for workload, clarity, resources, evidence, operations, coordination, capacity, and improvement needs.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Evaluation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EVAL-08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Advisory or Steering Committee Review Form</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Capture recommendations, evidence reviewed, conflicts, decisions, owners, and follow-up.</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Committee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One–Two</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District Leadership</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EVAL-09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Equity, Access, and Participation Review</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Examine awareness, enrollment, progression, supports, placement access, completion, and barriers without reducing quality standards.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Operating Principles; Book Two</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Evaluation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EVAL-10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Credential and Technical Assessment Results Summary</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an annual aggregate report with participation, results, trends, gaps, and actions; protect student-level data.</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 RESTRICTED; approved summary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Pathway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EVAL-11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WBL Participation, Hours, and Placement Summary</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annually after launch. Include student count, hours, completion, site quality, incidents, changes, and outcomes.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 RESTRICTED; approved summary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Two–Three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EVAL-12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Annual Improvement Action Plan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Convert evidence into specific actions, owners, resources, timelines, completion checks, and next review.</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staff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Pathway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EVAL-13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Public Annual Pathway Report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after the first complete operating cycle. Share approved outcomes, stories, credentials, partnerships, access, improvement priorities, and next steps.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Community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Two and Four</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District Leadership</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EVAL-14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Annual Board Accountability Report</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Provide the Board with authorization status, participation, outcomes, safety, capacity, fiscal impact, improvement, and continue/modify/pause/expand recommendation.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Board / PUBLIC or Board packet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District Leadership</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EVAL-15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First-Year Implementation Report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after the first WBL operating year. Compare actual implementation with launch plan and identify required correction before expansion.</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Board / RESTRICTED or approved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Program Administration</w:t>
            </w:r>
          </w:p>
        </w:tc>
      </w:tr>
    </w:tbl>
    <w:p>
      <w:pPr>
        <w:spacing w:after="40"/>
      </w:pPr>
    </w:p>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J. Board, District Authorization, and Implementation Deliverables</w:t>
            </w:r>
          </w:p>
        </w:tc>
      </w:tr>
    </w:tbl>
    <w:p>
      <w:pPr>
        <w:spacing w:after="20"/>
      </w:pP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792"/>
            <w:shd w:fill="183A5A"/>
            <w:tcMar>
              <w:top w:w="55" w:type="dxa"/>
              <w:start w:w="55" w:type="dxa"/>
              <w:bottom w:w="55" w:type="dxa"/>
              <w:end w:w="55" w:type="dxa"/>
            </w:tcMar>
            <w:vAlign w:val="center"/>
          </w:tcPr>
          <w:p>
            <w:pPr>
              <w:spacing w:after="0"/>
            </w:pPr>
            <w:r>
              <w:rPr>
                <w:rFonts w:ascii="Carlito" w:hAnsi="Carlito" w:eastAsia="Carlito"/>
                <w:b/>
                <w:color w:val="FFFFFF"/>
                <w:sz w:val="15"/>
              </w:rPr>
              <w:t>ID</w:t>
            </w:r>
          </w:p>
        </w:tc>
        <w:tc>
          <w:tcPr>
            <w:tcW w:type="dxa" w:w="3024"/>
            <w:shd w:fill="183A5A"/>
            <w:tcMar>
              <w:top w:w="55" w:type="dxa"/>
              <w:start w:w="55" w:type="dxa"/>
              <w:bottom w:w="55" w:type="dxa"/>
              <w:end w:w="55" w:type="dxa"/>
            </w:tcMar>
            <w:vAlign w:val="center"/>
          </w:tcPr>
          <w:p>
            <w:pPr>
              <w:spacing w:after="0"/>
            </w:pPr>
            <w:r>
              <w:rPr>
                <w:rFonts w:ascii="Carlito" w:hAnsi="Carlito" w:eastAsia="Carlito"/>
                <w:b/>
                <w:color w:val="FFFFFF"/>
                <w:sz w:val="15"/>
              </w:rPr>
              <w:t>Document / Asset</w:t>
            </w:r>
          </w:p>
        </w:tc>
        <w:tc>
          <w:tcPr>
            <w:tcW w:type="dxa" w:w="4608"/>
            <w:shd w:fill="183A5A"/>
            <w:tcMar>
              <w:top w:w="55" w:type="dxa"/>
              <w:start w:w="55" w:type="dxa"/>
              <w:bottom w:w="55" w:type="dxa"/>
              <w:end w:w="55" w:type="dxa"/>
            </w:tcMar>
            <w:vAlign w:val="center"/>
          </w:tcPr>
          <w:p>
            <w:pPr>
              <w:spacing w:after="0"/>
            </w:pPr>
            <w:r>
              <w:rPr>
                <w:rFonts w:ascii="Carlito" w:hAnsi="Carlito" w:eastAsia="Carlito"/>
                <w:b/>
                <w:color w:val="FFFFFF"/>
                <w:sz w:val="15"/>
              </w:rPr>
              <w:t>Current Status and Required Action</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Audience / Access</w:t>
            </w:r>
          </w:p>
        </w:tc>
        <w:tc>
          <w:tcPr>
            <w:tcW w:type="dxa" w:w="2232"/>
            <w:shd w:fill="183A5A"/>
            <w:tcMar>
              <w:top w:w="55" w:type="dxa"/>
              <w:start w:w="55" w:type="dxa"/>
              <w:bottom w:w="55" w:type="dxa"/>
              <w:end w:w="55" w:type="dxa"/>
            </w:tcMar>
            <w:vAlign w:val="center"/>
          </w:tcPr>
          <w:p>
            <w:pPr>
              <w:spacing w:after="0"/>
            </w:pPr>
            <w:r>
              <w:rPr>
                <w:rFonts w:ascii="Carlito" w:hAnsi="Carlito" w:eastAsia="Carlito"/>
                <w:b/>
                <w:color w:val="FFFFFF"/>
                <w:sz w:val="15"/>
              </w:rPr>
              <w:t>Authority / Dependency</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Priority / Owner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BRD-01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One-Page Board Brief</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from Book Four. Summarize purpose, pathway structure, request, readiness, protections, expected outcomes, and decision points.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Board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Pathway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BRD-02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Board Presentation Slide Deck</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as a concise multimedia presentation; do not reproduce the four books.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Board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Pathway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BRD-03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Board Presentation Speaking Script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to accompany the deck, including transitions, anticipated questions, and clear requests.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Presenter / RESTRICTED until meeting</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Pathway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BRD-04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Proposed Board Resolution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with district review. Match staged authorization and reserve final authorization where required.</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Board / PUBLIC packet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District Leadership</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BRD-05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Fiscal Note and Resource Summary</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Identify staffing, coordinator time, transportation, equipment, professional learning, technology, insurance, and sustainability.</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Board, administration / RESTRICTED or packet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Business Office</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BRD-06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Staffing and Coordinator Capacity Plan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Define roles, credentials, workload, release time, enrollment limits, supervision, and expansion thresholds.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District Leadership</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BRD-07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Transportation Implementation Plan</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Define eligible travel, responsibility, schedules, cost, contingency, communication, accessibility, and change process.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 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Transportation</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BRD-08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Support and Accessibility Implementation Plan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Explain how supports are planned without weakening competency or safety expectations.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One and Four</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Student Support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BRD-09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Legal, Insurance, and Risk Review Memorandum</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with authorized district personnel before external WBL launch.</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 current policy and law</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District Administration</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BRD-10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Senior External WBL Course Proposal</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for curriculum approval, credit, prerequisites, standards, staffing, grading, calendar, records, and evaluation.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Curriculum leadership, Board / RESTRICTED or packet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Books Two–Four</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District Leadership</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BRD-11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CO-OP or Required State Registration Package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using current state requirements after district authorization; verify current forms and terminology at time of submission.</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State/district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 current NYSED requirements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Credentialed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BRD-12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Launch-Readiness Decision Memorandum</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before the senior course begins. State whether required conditions are met and recommend launch, delay, limited pilot, or corrective action.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 OPS-03</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District Leadership</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BRD-13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Implementation Timeline and Milestone Tracker</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from Book Four. Show ownership, dependencies, decision gates, target dates, evidence, and completion status.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Program Administration</w:t>
            </w:r>
          </w:p>
        </w:tc>
      </w:tr>
    </w:tbl>
    <w:p>
      <w:pPr>
        <w:spacing w:after="40"/>
      </w:pPr>
    </w:p>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K. Website, Participant Resource Center, and Digital Information Architecture</w:t>
            </w:r>
          </w:p>
        </w:tc>
      </w:tr>
    </w:tbl>
    <w:p>
      <w:pPr>
        <w:spacing w:after="20"/>
      </w:pP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792"/>
            <w:shd w:fill="183A5A"/>
            <w:tcMar>
              <w:top w:w="55" w:type="dxa"/>
              <w:start w:w="55" w:type="dxa"/>
              <w:bottom w:w="55" w:type="dxa"/>
              <w:end w:w="55" w:type="dxa"/>
            </w:tcMar>
            <w:vAlign w:val="center"/>
          </w:tcPr>
          <w:p>
            <w:pPr>
              <w:spacing w:after="0"/>
            </w:pPr>
            <w:r>
              <w:rPr>
                <w:rFonts w:ascii="Carlito" w:hAnsi="Carlito" w:eastAsia="Carlito"/>
                <w:b/>
                <w:color w:val="FFFFFF"/>
                <w:sz w:val="15"/>
              </w:rPr>
              <w:t>ID</w:t>
            </w:r>
          </w:p>
        </w:tc>
        <w:tc>
          <w:tcPr>
            <w:tcW w:type="dxa" w:w="3024"/>
            <w:shd w:fill="183A5A"/>
            <w:tcMar>
              <w:top w:w="55" w:type="dxa"/>
              <w:start w:w="55" w:type="dxa"/>
              <w:bottom w:w="55" w:type="dxa"/>
              <w:end w:w="55" w:type="dxa"/>
            </w:tcMar>
            <w:vAlign w:val="center"/>
          </w:tcPr>
          <w:p>
            <w:pPr>
              <w:spacing w:after="0"/>
            </w:pPr>
            <w:r>
              <w:rPr>
                <w:rFonts w:ascii="Carlito" w:hAnsi="Carlito" w:eastAsia="Carlito"/>
                <w:b/>
                <w:color w:val="FFFFFF"/>
                <w:sz w:val="15"/>
              </w:rPr>
              <w:t>Document / Asset</w:t>
            </w:r>
          </w:p>
        </w:tc>
        <w:tc>
          <w:tcPr>
            <w:tcW w:type="dxa" w:w="4608"/>
            <w:shd w:fill="183A5A"/>
            <w:tcMar>
              <w:top w:w="55" w:type="dxa"/>
              <w:start w:w="55" w:type="dxa"/>
              <w:bottom w:w="55" w:type="dxa"/>
              <w:end w:w="55" w:type="dxa"/>
            </w:tcMar>
            <w:vAlign w:val="center"/>
          </w:tcPr>
          <w:p>
            <w:pPr>
              <w:spacing w:after="0"/>
            </w:pPr>
            <w:r>
              <w:rPr>
                <w:rFonts w:ascii="Carlito" w:hAnsi="Carlito" w:eastAsia="Carlito"/>
                <w:b/>
                <w:color w:val="FFFFFF"/>
                <w:sz w:val="15"/>
              </w:rPr>
              <w:t>Current Status and Required Action</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Audience / Access</w:t>
            </w:r>
          </w:p>
        </w:tc>
        <w:tc>
          <w:tcPr>
            <w:tcW w:type="dxa" w:w="2232"/>
            <w:shd w:fill="183A5A"/>
            <w:tcMar>
              <w:top w:w="55" w:type="dxa"/>
              <w:start w:w="55" w:type="dxa"/>
              <w:bottom w:w="55" w:type="dxa"/>
              <w:end w:w="55" w:type="dxa"/>
            </w:tcMar>
            <w:vAlign w:val="center"/>
          </w:tcPr>
          <w:p>
            <w:pPr>
              <w:spacing w:after="0"/>
            </w:pPr>
            <w:r>
              <w:rPr>
                <w:rFonts w:ascii="Carlito" w:hAnsi="Carlito" w:eastAsia="Carlito"/>
                <w:b/>
                <w:color w:val="FFFFFF"/>
                <w:sz w:val="15"/>
              </w:rPr>
              <w:t>Authority / Dependency</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Priority / Owner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WEB-01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Website Content Map and Migration Specification</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Define current page, target page, source book, audience, status, content owner, access level, document links, and redirect/archive action.</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Web team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This register; Books One–Four</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WEB-02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Public Home Page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and rebrand around the GCSD Culinary Pathway rather than a generic WBL program. Include value proposition, current status, audience paths, and clear calls to action.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All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One; Book Four</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and Communications</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WEB-03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Pathway at a Glance Page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or REPLACE the broad program overview with the three-year sequence, environments, progression, and outcomes.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All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One; Canon</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WEB-04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Six Gateways and Culinary Passport Page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Explain competency progression, Completion levels, reassessment, reverification, and privacy of individual records.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families, partners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Two</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WEB-05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Courses and Learning Environments Page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Cover Culinary 1, Culinary 2, Advanced Culinary, Kitchen Management, The Cottage, SkillsUSA, and the proposed senior WBL course with accurate status labels.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families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One; current curriculum</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WEB-06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The Cottage Page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REPLACE the generic SBE page. Explain client-centered learning, educational purpose, event types, participation, and inquiry process without publishing restricted operating records.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Community, clients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Books One and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and SBE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WEB-07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Leadership, Kitchen Management, and SkillsUSA Page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Explain leadership development, Gateway 5, Travel Rights, competition, service, and career readiness.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families, community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One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WEB-08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External Work-Based Learning Page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Present WBL as the Grade 12 culmination, not the whole pathway. State 1.0 credit, 300 hours, training stations, portfolio, evaluation, and current authorization status.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families, employers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Books One and Four</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WEB-09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Students and Families Page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and combine discovery information with clear links into role-based participant resources.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families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One and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WEB-10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Employer and Community Partners Page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Explain partner roles, mentor expectations, training-station approval, learning-before-labor, interest process, and community participation.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Employers, community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One and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WEB-11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Credentials and Recognition Page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Accurately distinguish credentials, technical assessments, CDOS evidence, CTE endorsement, potential 4+1, awards, and postsecondary opportunities.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All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One–Two</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WEB-12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Results and Accountability Page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the generic evaluation page. Explain student competency, training-station quality, program quality, annual improvement, and approved public reporting.</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Community, Board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 Book Four</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WEB-13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Contact, Help, and Concerns Page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Separate general inquiry, student/family support, employer interest, accessibility help, and urgent concern routes.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All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WEB-14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Participant Resource Center Landing Page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 role-based entry page for current students, families, mentors, and staff. Keep it distinct from public recruitment content.</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Participants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WEB-15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Resource Center</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Organize handbooks, Gateway guidance, portfolio, career readiness, WBL forms, check-ins, and help routes by stage.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Two–Three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Web and Pathway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WEB-16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Family Resource Center</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Organize handbook, permissions, safety, transportation, supports, progress communication, and concern routes.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Families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Web and Program Administration</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WEB-17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Employer and Mentor Resource Center</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Organize overview, approval, orientation, agreements, training plan, evaluations, changes, concerns, and closeout.</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Employers, mentors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Web and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WEB-18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Staff and Coordinator Portal Structure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only within an approved restricted platform. Organize operations, records, trackers, partner files, incidents, evaluation, and archives.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Authorized staff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Two–Three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IT and Program Administration</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WEB-19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Program Status and Approval Labels</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 consistent display system for proposed, pilot, approved, active, and archived website content.</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All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GOV-10; Book Four</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WEB-20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Accessibility Statement and Digital Accessibility Audit</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or CREATE. Include contact route and documented page/document review before relaunch.</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All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Accessibility requirements; OPS-20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Accessibility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WEB-21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Privacy and Records Notice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Explain public information, participant resources, restricted records, data handling, and who to contact.</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All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OPS-16; district policy</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IT and Administration</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WEB-22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Document Download Index and Version Display</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REPLACE the current undifferentiated Forms and Resources page with role, status, version, audience, and access-aware navigation.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All / PUBLIC and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GOV-09; this register</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WEB-23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Frequently Asked Questions</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and expand by audience. Ensure answers use canonical terms and current authorization status.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All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One–Four</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WEB-24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Website Content Ownership and Update Schedule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Assign owner, reviewer, update frequency, source of truth, broken-link check, accessibility check, and approval route for every page.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Web team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GOV-09; GOV-11</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Lead</w:t>
            </w:r>
          </w:p>
        </w:tc>
      </w:tr>
    </w:tbl>
    <w:p>
      <w:pPr>
        <w:spacing w:after="40"/>
      </w:pPr>
    </w:p>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L. Public Communication, Recruitment, Orientation, and Recognition</w:t>
            </w:r>
          </w:p>
        </w:tc>
      </w:tr>
    </w:tbl>
    <w:p>
      <w:pPr>
        <w:spacing w:after="20"/>
      </w:pP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792"/>
            <w:shd w:fill="183A5A"/>
            <w:tcMar>
              <w:top w:w="55" w:type="dxa"/>
              <w:start w:w="55" w:type="dxa"/>
              <w:bottom w:w="55" w:type="dxa"/>
              <w:end w:w="55" w:type="dxa"/>
            </w:tcMar>
            <w:vAlign w:val="center"/>
          </w:tcPr>
          <w:p>
            <w:pPr>
              <w:spacing w:after="0"/>
            </w:pPr>
            <w:r>
              <w:rPr>
                <w:rFonts w:ascii="Carlito" w:hAnsi="Carlito" w:eastAsia="Carlito"/>
                <w:b/>
                <w:color w:val="FFFFFF"/>
                <w:sz w:val="15"/>
              </w:rPr>
              <w:t>ID</w:t>
            </w:r>
          </w:p>
        </w:tc>
        <w:tc>
          <w:tcPr>
            <w:tcW w:type="dxa" w:w="3024"/>
            <w:shd w:fill="183A5A"/>
            <w:tcMar>
              <w:top w:w="55" w:type="dxa"/>
              <w:start w:w="55" w:type="dxa"/>
              <w:bottom w:w="55" w:type="dxa"/>
              <w:end w:w="55" w:type="dxa"/>
            </w:tcMar>
            <w:vAlign w:val="center"/>
          </w:tcPr>
          <w:p>
            <w:pPr>
              <w:spacing w:after="0"/>
            </w:pPr>
            <w:r>
              <w:rPr>
                <w:rFonts w:ascii="Carlito" w:hAnsi="Carlito" w:eastAsia="Carlito"/>
                <w:b/>
                <w:color w:val="FFFFFF"/>
                <w:sz w:val="15"/>
              </w:rPr>
              <w:t>Document / Asset</w:t>
            </w:r>
          </w:p>
        </w:tc>
        <w:tc>
          <w:tcPr>
            <w:tcW w:type="dxa" w:w="4608"/>
            <w:shd w:fill="183A5A"/>
            <w:tcMar>
              <w:top w:w="55" w:type="dxa"/>
              <w:start w:w="55" w:type="dxa"/>
              <w:bottom w:w="55" w:type="dxa"/>
              <w:end w:w="55" w:type="dxa"/>
            </w:tcMar>
            <w:vAlign w:val="center"/>
          </w:tcPr>
          <w:p>
            <w:pPr>
              <w:spacing w:after="0"/>
            </w:pPr>
            <w:r>
              <w:rPr>
                <w:rFonts w:ascii="Carlito" w:hAnsi="Carlito" w:eastAsia="Carlito"/>
                <w:b/>
                <w:color w:val="FFFFFF"/>
                <w:sz w:val="15"/>
              </w:rPr>
              <w:t>Current Status and Required Action</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Audience / Access</w:t>
            </w:r>
          </w:p>
        </w:tc>
        <w:tc>
          <w:tcPr>
            <w:tcW w:type="dxa" w:w="2232"/>
            <w:shd w:fill="183A5A"/>
            <w:tcMar>
              <w:top w:w="55" w:type="dxa"/>
              <w:start w:w="55" w:type="dxa"/>
              <w:bottom w:w="55" w:type="dxa"/>
              <w:end w:w="55" w:type="dxa"/>
            </w:tcMar>
            <w:vAlign w:val="center"/>
          </w:tcPr>
          <w:p>
            <w:pPr>
              <w:spacing w:after="0"/>
            </w:pPr>
            <w:r>
              <w:rPr>
                <w:rFonts w:ascii="Carlito" w:hAnsi="Carlito" w:eastAsia="Carlito"/>
                <w:b/>
                <w:color w:val="FFFFFF"/>
                <w:sz w:val="15"/>
              </w:rPr>
              <w:t>Authority / Dependency</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Priority / Owner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COM-01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One-Page Culinary Pathway Flyer</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Use the three-year sequence, Gateways, credentials, The Cottage, leadership, and contact information; show current planning status accurately.</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families, community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One; website content</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Communications</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COM-02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Presentation Table or Trifold Display</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the CTE 566 presentation-table concept into a real pathway recruitment display with QR codes and concise audience paths.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Community events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One; website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Communications</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COM-03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Public Information Slide Deck</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for family nights, pathway events, partner meetings, and community presentations; distinguish it from the Board deck.</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Public audiences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One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Communications</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COM-04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Social Media Content Calendar</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Plan program awareness, student learning, The Cottage, SkillsUSA, partner recognition, credentials, events, and application information with approvals.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Community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One; communications policy</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Communications</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COM-05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SkillsUSA Interest and Information Campaign</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existing post into an approved campaign set with informational-session details, website link, eligibility, and interest route.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families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SkillsUSA plan</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Advisor and Communications</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COM-06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Photo, Video, Branding, and Media Standards</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or link to district standards. Address consent, student privacy, customer identity, logos, alt text, captions, and approved storage.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students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District policy; accessibility requirements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Communications</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COM-07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Employer Recruitment Packet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Combine one-page overview, interest process, educational purpose, mentor expectations, FAQ, and coordinator contact without including restricted agreements.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Employers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One and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COM-08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Family Information Night Slide Deck</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Explain the pathway, Gateways, Passport, supports, safety, credentials, The Cottage, leadership, and WBL status.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Families / PARTICIPANT or PUBLIC event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One–Three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Pathway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COM-09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Orientation Slide Deck</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for current participants and link to the Student Handbook.</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Teachers</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COM-10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Employer and Mentor Orientation Slide Deck</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from the Mentor Handbook and approval process.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Employers, mentors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COM-11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Partner, and Community Recognition Templates</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certificates, letters, website stories, and Board acknowledgments with consistent criteria and privacy controls.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Various / PUBLIC or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One; communications standards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Communications</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COM-12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News Release and Story Template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Provide accurate program status, educational purpose, student voice, approvals, quotes, accessibility, and contact information.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Media, community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One; district communications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Communications</w:t>
            </w:r>
          </w:p>
        </w:tc>
      </w:tr>
    </w:tbl>
    <w:p>
      <w:pPr>
        <w:spacing w:after="40"/>
      </w:pPr>
    </w:p>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M. Current Asset Revision, Replacement, and Archive Decisions</w:t>
            </w:r>
          </w:p>
        </w:tc>
      </w:tr>
    </w:tbl>
    <w:p>
      <w:pPr>
        <w:spacing w:after="20"/>
      </w:pP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792"/>
            <w:shd w:fill="183A5A"/>
            <w:tcMar>
              <w:top w:w="55" w:type="dxa"/>
              <w:start w:w="55" w:type="dxa"/>
              <w:bottom w:w="55" w:type="dxa"/>
              <w:end w:w="55" w:type="dxa"/>
            </w:tcMar>
            <w:vAlign w:val="center"/>
          </w:tcPr>
          <w:p>
            <w:pPr>
              <w:spacing w:after="0"/>
            </w:pPr>
            <w:r>
              <w:rPr>
                <w:rFonts w:ascii="Carlito" w:hAnsi="Carlito" w:eastAsia="Carlito"/>
                <w:b/>
                <w:color w:val="FFFFFF"/>
                <w:sz w:val="15"/>
              </w:rPr>
              <w:t>ID</w:t>
            </w:r>
          </w:p>
        </w:tc>
        <w:tc>
          <w:tcPr>
            <w:tcW w:type="dxa" w:w="3024"/>
            <w:shd w:fill="183A5A"/>
            <w:tcMar>
              <w:top w:w="55" w:type="dxa"/>
              <w:start w:w="55" w:type="dxa"/>
              <w:bottom w:w="55" w:type="dxa"/>
              <w:end w:w="55" w:type="dxa"/>
            </w:tcMar>
            <w:vAlign w:val="center"/>
          </w:tcPr>
          <w:p>
            <w:pPr>
              <w:spacing w:after="0"/>
            </w:pPr>
            <w:r>
              <w:rPr>
                <w:rFonts w:ascii="Carlito" w:hAnsi="Carlito" w:eastAsia="Carlito"/>
                <w:b/>
                <w:color w:val="FFFFFF"/>
                <w:sz w:val="15"/>
              </w:rPr>
              <w:t>Document / Asset</w:t>
            </w:r>
          </w:p>
        </w:tc>
        <w:tc>
          <w:tcPr>
            <w:tcW w:type="dxa" w:w="4608"/>
            <w:shd w:fill="183A5A"/>
            <w:tcMar>
              <w:top w:w="55" w:type="dxa"/>
              <w:start w:w="55" w:type="dxa"/>
              <w:bottom w:w="55" w:type="dxa"/>
              <w:end w:w="55" w:type="dxa"/>
            </w:tcMar>
            <w:vAlign w:val="center"/>
          </w:tcPr>
          <w:p>
            <w:pPr>
              <w:spacing w:after="0"/>
            </w:pPr>
            <w:r>
              <w:rPr>
                <w:rFonts w:ascii="Carlito" w:hAnsi="Carlito" w:eastAsia="Carlito"/>
                <w:b/>
                <w:color w:val="FFFFFF"/>
                <w:sz w:val="15"/>
              </w:rPr>
              <w:t>Current Status and Required Action</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Audience / Access</w:t>
            </w:r>
          </w:p>
        </w:tc>
        <w:tc>
          <w:tcPr>
            <w:tcW w:type="dxa" w:w="2232"/>
            <w:shd w:fill="183A5A"/>
            <w:tcMar>
              <w:top w:w="55" w:type="dxa"/>
              <w:start w:w="55" w:type="dxa"/>
              <w:bottom w:w="55" w:type="dxa"/>
              <w:end w:w="55" w:type="dxa"/>
            </w:tcMar>
            <w:vAlign w:val="center"/>
          </w:tcPr>
          <w:p>
            <w:pPr>
              <w:spacing w:after="0"/>
            </w:pPr>
            <w:r>
              <w:rPr>
                <w:rFonts w:ascii="Carlito" w:hAnsi="Carlito" w:eastAsia="Carlito"/>
                <w:b/>
                <w:color w:val="FFFFFF"/>
                <w:sz w:val="15"/>
              </w:rPr>
              <w:t>Authority / Dependency</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Priority / Owner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ARC-01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Current Generic WBL Home and Program Overview</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or REPLACE during migration. Preserve useful stakeholder language, but shift the center of gravity to the full Culinary Pathway. Archive the prior version after redirect verification.</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Public website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WEB-02 and WEB-03</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ARC-02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Current Student Pathway Page with Generic Stages</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REPLACE with the Six Gateways and Culinary Passport architecture. Do not present a parallel progression system.</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Public website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WEB-04</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ARC-03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Current Family Information Page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Preserve useful introductory content; add the full participant lifecycle, support, safety, Gateway, Passport, and resource-center links.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Public website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WEB-09 and WEB-16</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ARC-04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Current Employer Partners Page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Add training-station approval, mentor role, learning-before-labor, lifecycle, resource-center links, and status language.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Public website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WEB-10 and WEB-17</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ARC-05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Current Generic School-Based Enterprise Page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REPLACE with The Cottage. Archive the generic page after redirects are active.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Public website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WEB-06</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ARC-06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Current Evaluation and Impact Page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Separate student competency, training-station quality, and pathway quality; connect to annual public reporting.</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Public website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WEB-12</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ARC-07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Current Forms and Resources Page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REPLACE with role-based navigation and document-control metadata. Remove samples, future forms, and restricted records from undifferentiated public download.</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Public website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WEB-14 through WEB-22</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ARC-08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Introduction to School to Career Pathway Programming 25–26 Deck</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only as a district-wide pathways presentation. Update Culinary content and contacts, but do not turn it into the Culinary Pathway Board or public-information deck.</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District staff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Current district programming</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District Pathways Office</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ARC-09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Superseded Culinary Scope and Sequence Versions</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ARCHIVE after approved replacements are published. Mark dates and superseded status; preserve historical record.</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 archive</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GOV-09</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Curriculum Office</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ARC-10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CTE 566 Course PDFs and Raw Assignment Materials</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ARCHIVE as project sources. Do not publish as pathway documents or website downloads; adapt relevant requirements into current district materials.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Project team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Source-only materials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P0 / Pathway Lead</w:t>
            </w:r>
          </w:p>
        </w:tc>
      </w:tr>
    </w:tbl>
    <w:p>
      <w:pPr>
        <w:spacing w:after="40"/>
      </w:pPr>
    </w:p>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Website Migration Summary</w:t>
            </w:r>
          </w:p>
        </w:tc>
      </w:tr>
    </w:tbl>
    <w:p>
      <w:pPr>
        <w:spacing w:after="20"/>
      </w:pPr>
    </w:p>
    <w:tbl>
      <w:tblPr>
        <w:tblW w:type="auto" w:w="0"/>
        <w:jc w:val="center"/>
        <w:tblLayout w:type="fixed"/>
        <w:tblLook w:firstColumn="1" w:firstRow="1" w:lastColumn="0" w:lastRow="0" w:noHBand="0" w:noVBand="1" w:val="04A0"/>
      </w:tblPr>
      <w:tblGrid>
        <w:gridCol w:w="4848"/>
        <w:gridCol w:w="4848"/>
        <w:gridCol w:w="4848"/>
      </w:tblGrid>
      <w:tr>
        <w:trPr>
          <w:tblHeader w:val="true"/>
        </w:trPr>
        <w:tc>
          <w:tcPr>
            <w:tcW w:type="dxa" w:w="3312"/>
            <w:shd w:fill="183A5A"/>
            <w:tcMar>
              <w:top w:w="55" w:type="dxa"/>
              <w:start w:w="65" w:type="dxa"/>
              <w:bottom w:w="55" w:type="dxa"/>
              <w:end w:w="65" w:type="dxa"/>
            </w:tcMar>
          </w:tcPr>
          <w:p>
            <w:r>
              <w:rPr>
                <w:rFonts w:ascii="Carlito" w:hAnsi="Carlito" w:eastAsia="Carlito"/>
                <w:b/>
                <w:color w:val="FFFFFF"/>
                <w:sz w:val="16"/>
              </w:rPr>
              <w:t>Current Asset</w:t>
            </w:r>
          </w:p>
        </w:tc>
        <w:tc>
          <w:tcPr>
            <w:tcW w:type="dxa" w:w="3888"/>
            <w:shd w:fill="183A5A"/>
            <w:tcMar>
              <w:top w:w="55" w:type="dxa"/>
              <w:start w:w="65" w:type="dxa"/>
              <w:bottom w:w="55" w:type="dxa"/>
              <w:end w:w="65" w:type="dxa"/>
            </w:tcMar>
          </w:tcPr>
          <w:p>
            <w:r>
              <w:rPr>
                <w:rFonts w:ascii="Carlito" w:hAnsi="Carlito" w:eastAsia="Carlito"/>
                <w:b/>
                <w:color w:val="FFFFFF"/>
                <w:sz w:val="16"/>
              </w:rPr>
              <w:t>Target Structure</w:t>
            </w:r>
          </w:p>
        </w:tc>
        <w:tc>
          <w:tcPr>
            <w:tcW w:type="dxa" w:w="7776"/>
            <w:shd w:fill="183A5A"/>
            <w:tcMar>
              <w:top w:w="55" w:type="dxa"/>
              <w:start w:w="65" w:type="dxa"/>
              <w:bottom w:w="55" w:type="dxa"/>
              <w:end w:w="65" w:type="dxa"/>
            </w:tcMar>
          </w:tcPr>
          <w:p>
            <w:r>
              <w:rPr>
                <w:rFonts w:ascii="Carlito" w:hAnsi="Carlito" w:eastAsia="Carlito"/>
                <w:b/>
                <w:color w:val="FFFFFF"/>
                <w:sz w:val="16"/>
              </w:rPr>
              <w:t>Required Migration Action</w:t>
            </w:r>
          </w:p>
        </w:tc>
      </w:tr>
      <w:tr>
        <w:trPr>
          <w:cantSplit/>
        </w:trPr>
        <w:tc>
          <w:tcPr>
            <w:tcW w:type="dxa" w:w="3312"/>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6"/>
              </w:rPr>
              <w:t>Current Home / Program Overview</w:t>
            </w:r>
          </w:p>
        </w:tc>
        <w:tc>
          <w:tcPr>
            <w:tcW w:type="dxa" w:w="3888"/>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Home + Pathway at a Glance</w:t>
            </w:r>
          </w:p>
        </w:tc>
        <w:tc>
          <w:tcPr>
            <w:tcW w:type="dxa" w:w="7776"/>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Rebrand around the full Culinary Pathway; retain useful stakeholder language; show current authorization status.</w:t>
            </w:r>
          </w:p>
        </w:tc>
      </w:tr>
      <w:tr>
        <w:trPr>
          <w:cantSplit/>
        </w:trPr>
        <w:tc>
          <w:tcPr>
            <w:tcW w:type="dxa" w:w="3312"/>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6"/>
              </w:rPr>
              <w:t>Current Student Pathway</w:t>
            </w:r>
          </w:p>
        </w:tc>
        <w:tc>
          <w:tcPr>
            <w:tcW w:type="dxa" w:w="3888"/>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Six Gateways and Culinary Passport</w:t>
            </w:r>
          </w:p>
        </w:tc>
        <w:tc>
          <w:tcPr>
            <w:tcW w:type="dxa" w:w="7776"/>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Replace the parallel generic progression model.</w:t>
            </w:r>
          </w:p>
        </w:tc>
      </w:tr>
      <w:tr>
        <w:trPr>
          <w:cantSplit/>
        </w:trPr>
        <w:tc>
          <w:tcPr>
            <w:tcW w:type="dxa" w:w="3312"/>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6"/>
              </w:rPr>
              <w:t>Current Family Information</w:t>
            </w:r>
          </w:p>
        </w:tc>
        <w:tc>
          <w:tcPr>
            <w:tcW w:type="dxa" w:w="3888"/>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Students and Families + Family Resource Center</w:t>
            </w:r>
          </w:p>
        </w:tc>
        <w:tc>
          <w:tcPr>
            <w:tcW w:type="dxa" w:w="7776"/>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Retain introductory content; add progression, supports, participation lifecycle, and role-based resources.</w:t>
            </w:r>
          </w:p>
        </w:tc>
      </w:tr>
      <w:tr>
        <w:trPr>
          <w:cantSplit/>
        </w:trPr>
        <w:tc>
          <w:tcPr>
            <w:tcW w:type="dxa" w:w="3312"/>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6"/>
              </w:rPr>
              <w:t>Current Employer Partners</w:t>
            </w:r>
          </w:p>
        </w:tc>
        <w:tc>
          <w:tcPr>
            <w:tcW w:type="dxa" w:w="3888"/>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Employer and Community Partners + Mentor Resource Center</w:t>
            </w:r>
          </w:p>
        </w:tc>
        <w:tc>
          <w:tcPr>
            <w:tcW w:type="dxa" w:w="7776"/>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Add training-station lifecycle, mentor responsibilities, learning-before-labor, and approved resource access.</w:t>
            </w:r>
          </w:p>
        </w:tc>
      </w:tr>
      <w:tr>
        <w:trPr>
          <w:cantSplit/>
        </w:trPr>
        <w:tc>
          <w:tcPr>
            <w:tcW w:type="dxa" w:w="3312"/>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6"/>
              </w:rPr>
              <w:t>Current School-Based Enterprise</w:t>
            </w:r>
          </w:p>
        </w:tc>
        <w:tc>
          <w:tcPr>
            <w:tcW w:type="dxa" w:w="3888"/>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The Cottage</w:t>
            </w:r>
          </w:p>
        </w:tc>
        <w:tc>
          <w:tcPr>
            <w:tcW w:type="dxa" w:w="7776"/>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Name and explain the actual SBE; connect to Advanced Culinary, Kitchen Management, and Gateway 4.</w:t>
            </w:r>
          </w:p>
        </w:tc>
      </w:tr>
      <w:tr>
        <w:trPr>
          <w:cantSplit/>
        </w:trPr>
        <w:tc>
          <w:tcPr>
            <w:tcW w:type="dxa" w:w="3312"/>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6"/>
              </w:rPr>
              <w:t>Current Evaluation and Impact</w:t>
            </w:r>
          </w:p>
        </w:tc>
        <w:tc>
          <w:tcPr>
            <w:tcW w:type="dxa" w:w="3888"/>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Results and Accountability</w:t>
            </w:r>
          </w:p>
        </w:tc>
        <w:tc>
          <w:tcPr>
            <w:tcW w:type="dxa" w:w="7776"/>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Separate three evaluation objects and publish only approved aggregate outcomes.</w:t>
            </w:r>
          </w:p>
        </w:tc>
      </w:tr>
      <w:tr>
        <w:trPr>
          <w:cantSplit/>
        </w:trPr>
        <w:tc>
          <w:tcPr>
            <w:tcW w:type="dxa" w:w="3312"/>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6"/>
              </w:rPr>
              <w:t>Current Forms and Resources</w:t>
            </w:r>
          </w:p>
        </w:tc>
        <w:tc>
          <w:tcPr>
            <w:tcW w:type="dxa" w:w="3888"/>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Participant Resource Center + Versioned Download Index</w:t>
            </w:r>
          </w:p>
        </w:tc>
        <w:tc>
          <w:tcPr>
            <w:tcW w:type="dxa" w:w="7776"/>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Replace the undifferentiated list with role, access, status, version, and purpose.</w:t>
            </w:r>
          </w:p>
        </w:tc>
      </w:tr>
    </w:tbl>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Recommended Production Work Packages</w:t>
            </w:r>
          </w:p>
        </w:tc>
      </w:tr>
    </w:tbl>
    <w:p>
      <w:pPr>
        <w:spacing w:after="20"/>
      </w:pPr>
    </w:p>
    <w:tbl>
      <w:tblPr>
        <w:tblW w:type="auto" w:w="0"/>
        <w:jc w:val="center"/>
        <w:tblLayout w:type="fixed"/>
        <w:tblLook w:firstColumn="1" w:firstRow="1" w:lastColumn="0" w:lastRow="0" w:noHBand="0" w:noVBand="1" w:val="04A0"/>
      </w:tblPr>
      <w:tblGrid>
        <w:gridCol w:w="4848"/>
        <w:gridCol w:w="4848"/>
        <w:gridCol w:w="4848"/>
      </w:tblGrid>
      <w:tr>
        <w:trPr>
          <w:tblHeader w:val="true"/>
        </w:trPr>
        <w:tc>
          <w:tcPr>
            <w:tcW w:type="dxa" w:w="3528"/>
            <w:shd w:fill="183A5A"/>
            <w:tcMar>
              <w:top w:w="55" w:type="dxa"/>
              <w:start w:w="65" w:type="dxa"/>
              <w:bottom w:w="55" w:type="dxa"/>
              <w:end w:w="65" w:type="dxa"/>
            </w:tcMar>
          </w:tcPr>
          <w:p>
            <w:r>
              <w:rPr>
                <w:rFonts w:ascii="Carlito" w:hAnsi="Carlito" w:eastAsia="Carlito"/>
                <w:b/>
                <w:color w:val="FFFFFF"/>
                <w:sz w:val="16"/>
              </w:rPr>
              <w:t>Work Package</w:t>
            </w:r>
          </w:p>
        </w:tc>
        <w:tc>
          <w:tcPr>
            <w:tcW w:type="dxa" w:w="8640"/>
            <w:shd w:fill="183A5A"/>
            <w:tcMar>
              <w:top w:w="55" w:type="dxa"/>
              <w:start w:w="65" w:type="dxa"/>
              <w:bottom w:w="55" w:type="dxa"/>
              <w:end w:w="65" w:type="dxa"/>
            </w:tcMar>
          </w:tcPr>
          <w:p>
            <w:r>
              <w:rPr>
                <w:rFonts w:ascii="Carlito" w:hAnsi="Carlito" w:eastAsia="Carlito"/>
                <w:b/>
                <w:color w:val="FFFFFF"/>
                <w:sz w:val="16"/>
              </w:rPr>
              <w:t>Deliverables</w:t>
            </w:r>
          </w:p>
        </w:tc>
        <w:tc>
          <w:tcPr>
            <w:tcW w:type="dxa" w:w="2808"/>
            <w:shd w:fill="183A5A"/>
            <w:tcMar>
              <w:top w:w="55" w:type="dxa"/>
              <w:start w:w="65" w:type="dxa"/>
              <w:bottom w:w="55" w:type="dxa"/>
              <w:end w:w="65" w:type="dxa"/>
            </w:tcMar>
          </w:tcPr>
          <w:p>
            <w:r>
              <w:rPr>
                <w:rFonts w:ascii="Carlito" w:hAnsi="Carlito" w:eastAsia="Carlito"/>
                <w:b/>
                <w:color w:val="FFFFFF"/>
                <w:sz w:val="16"/>
              </w:rPr>
              <w:t>Dependency / Gate</w:t>
            </w:r>
          </w:p>
        </w:tc>
      </w:tr>
      <w:tr>
        <w:trPr>
          <w:cantSplit/>
        </w:trPr>
        <w:tc>
          <w:tcPr>
            <w:tcW w:type="dxa" w:w="3528"/>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6"/>
              </w:rPr>
              <w:t>Work Package 1: Governance and Control</w:t>
            </w:r>
          </w:p>
        </w:tc>
        <w:tc>
          <w:tcPr>
            <w:tcW w:type="dxa" w:w="8640"/>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Confirm Canon, Operating Principles, Four-Book final files, glossary, version procedure, authorization register, and document metadata standard.</w:t>
            </w:r>
          </w:p>
        </w:tc>
        <w:tc>
          <w:tcPr>
            <w:tcW w:type="dxa" w:w="2808"/>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P0; must finish first.</w:t>
            </w:r>
          </w:p>
        </w:tc>
      </w:tr>
      <w:tr>
        <w:trPr>
          <w:cantSplit/>
        </w:trPr>
        <w:tc>
          <w:tcPr>
            <w:tcW w:type="dxa" w:w="3528"/>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6"/>
              </w:rPr>
              <w:t>Work Package 2: Website Architecture and Public Content</w:t>
            </w:r>
          </w:p>
        </w:tc>
        <w:tc>
          <w:tcPr>
            <w:tcW w:type="dxa" w:w="8640"/>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Produce migration specification and public pages; replace generic WBL architecture; establish status labels, accessibility, privacy, and role-based navigation.</w:t>
            </w:r>
          </w:p>
        </w:tc>
        <w:tc>
          <w:tcPr>
            <w:tcW w:type="dxa" w:w="2808"/>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Depends on Work Package 1.</w:t>
            </w:r>
          </w:p>
        </w:tc>
      </w:tr>
      <w:tr>
        <w:trPr>
          <w:cantSplit/>
        </w:trPr>
        <w:tc>
          <w:tcPr>
            <w:tcW w:type="dxa" w:w="3528"/>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6"/>
              </w:rPr>
              <w:t>Work Package 3: Curriculum, Passport, and Gateways</w:t>
            </w:r>
          </w:p>
        </w:tc>
        <w:tc>
          <w:tcPr>
            <w:tcW w:type="dxa" w:w="8640"/>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Revise scope and sequence documents, Skills Map, Employability Profile, Passport, Gateway standards, evidence crosswalk, reassessment, and reverification.</w:t>
            </w:r>
          </w:p>
        </w:tc>
        <w:tc>
          <w:tcPr>
            <w:tcW w:type="dxa" w:w="2808"/>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Depends on governance; required before full pathway implementation.</w:t>
            </w:r>
          </w:p>
        </w:tc>
      </w:tr>
      <w:tr>
        <w:trPr>
          <w:cantSplit/>
        </w:trPr>
        <w:tc>
          <w:tcPr>
            <w:tcW w:type="dxa" w:w="3528"/>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6"/>
              </w:rPr>
              <w:t>Work Package 4: The Cottage and Kitchen Management</w:t>
            </w:r>
          </w:p>
        </w:tc>
        <w:tc>
          <w:tcPr>
            <w:tcW w:type="dxa" w:w="8640"/>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Build operating, event, leadership, evidence, finance, safety, and closeout materials.</w:t>
            </w:r>
          </w:p>
        </w:tc>
        <w:tc>
          <w:tcPr>
            <w:tcW w:type="dxa" w:w="2808"/>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Depends on Passport/Gateway definitions and Book Three.</w:t>
            </w:r>
          </w:p>
        </w:tc>
      </w:tr>
      <w:tr>
        <w:trPr>
          <w:cantSplit/>
        </w:trPr>
        <w:tc>
          <w:tcPr>
            <w:tcW w:type="dxa" w:w="3528"/>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6"/>
              </w:rPr>
              <w:t>Work Package 5: Student and Family Participant System</w:t>
            </w:r>
          </w:p>
        </w:tc>
        <w:tc>
          <w:tcPr>
            <w:tcW w:type="dxa" w:w="8640"/>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Build handbooks, orientation, support, progress, safety, portfolio, career-readiness, and participant resources.</w:t>
            </w:r>
          </w:p>
        </w:tc>
        <w:tc>
          <w:tcPr>
            <w:tcW w:type="dxa" w:w="2808"/>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Can proceed in parallel after governance.</w:t>
            </w:r>
          </w:p>
        </w:tc>
      </w:tr>
      <w:tr>
        <w:trPr>
          <w:cantSplit/>
        </w:trPr>
        <w:tc>
          <w:tcPr>
            <w:tcW w:type="dxa" w:w="3528"/>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6"/>
              </w:rPr>
              <w:t>Work Package 6: Employer, Mentor, and External WBL System</w:t>
            </w:r>
          </w:p>
        </w:tc>
        <w:tc>
          <w:tcPr>
            <w:tcW w:type="dxa" w:w="8640"/>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Build training-station lifecycle, agreements, orientation, training plan, logs, monitoring, evaluation, incidents, changes, closeout, and restricted trackers.</w:t>
            </w:r>
          </w:p>
        </w:tc>
        <w:tc>
          <w:tcPr>
            <w:tcW w:type="dxa" w:w="2808"/>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P3; requires district legal/policy verification before use.</w:t>
            </w:r>
          </w:p>
        </w:tc>
      </w:tr>
      <w:tr>
        <w:trPr>
          <w:cantSplit/>
        </w:trPr>
        <w:tc>
          <w:tcPr>
            <w:tcW w:type="dxa" w:w="3528"/>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6"/>
              </w:rPr>
              <w:t>Work Package 7: Evaluation, Board, and Public Accountability</w:t>
            </w:r>
          </w:p>
        </w:tc>
        <w:tc>
          <w:tcPr>
            <w:tcW w:type="dxa" w:w="8640"/>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Build evaluation templates, surveys, dashboards, improvement plan, Board brief/deck/script/resolution, implementation packages, and annual reports.</w:t>
            </w:r>
          </w:p>
        </w:tc>
        <w:tc>
          <w:tcPr>
            <w:tcW w:type="dxa" w:w="2808"/>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Use Books Two and Four; do not publish unapproved claims.</w:t>
            </w:r>
          </w:p>
        </w:tc>
      </w:tr>
      <w:tr>
        <w:trPr>
          <w:cantSplit/>
        </w:trPr>
        <w:tc>
          <w:tcPr>
            <w:tcW w:type="dxa" w:w="3528"/>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6"/>
              </w:rPr>
              <w:t>Work Package 8: Communications and Archive</w:t>
            </w:r>
          </w:p>
        </w:tc>
        <w:tc>
          <w:tcPr>
            <w:tcW w:type="dxa" w:w="8640"/>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Build flyers, event decks, social media, partner recruitment, media standards, recognition, redirects, and controlled archive.</w:t>
            </w:r>
          </w:p>
        </w:tc>
        <w:tc>
          <w:tcPr>
            <w:tcW w:type="dxa" w:w="2808"/>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Runs after public architecture is stable.</w:t>
            </w:r>
          </w:p>
        </w:tc>
      </w:tr>
    </w:tbl>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Acceptance Standard for Every New or Revised Document</w:t>
            </w:r>
          </w:p>
        </w:tc>
      </w:tr>
    </w:tbl>
    <w:p>
      <w:pPr>
        <w:spacing w:after="20"/>
      </w:pPr>
    </w:p>
    <w:tbl>
      <w:tblPr>
        <w:tblW w:type="auto" w:w="0"/>
        <w:jc w:val="center"/>
        <w:tblLayout w:type="fixed"/>
        <w:tblLook w:firstColumn="1" w:firstRow="1" w:lastColumn="0" w:lastRow="0" w:noHBand="0" w:noVBand="1" w:val="04A0"/>
      </w:tblPr>
      <w:tblGrid>
        <w:gridCol w:w="7272"/>
        <w:gridCol w:w="7272"/>
      </w:tblGrid>
      <w:tr>
        <w:tc>
          <w:tcPr>
            <w:tcW w:type="dxa" w:w="7488"/>
            <w:shd w:fill="FFFFFF"/>
            <w:tcMar>
              <w:top w:w="70" w:type="dxa"/>
              <w:start w:w="80" w:type="dxa"/>
              <w:bottom w:w="70" w:type="dxa"/>
              <w:end w:w="80" w:type="dxa"/>
            </w:tcMar>
            <w:tcBorders>
              <w:top w:val="single" w:sz="3" w:color="B8C5CC"/>
              <w:left w:val="single" w:sz="3" w:color="B8C5CC"/>
              <w:bottom w:val="single" w:sz="3" w:color="B8C5CC"/>
              <w:right w:val="single" w:sz="3" w:color="B8C5CC"/>
            </w:tcBorders>
          </w:tcPr>
          <w:p>
            <w:r>
              <w:rPr>
                <w:rFonts w:ascii="Carlito" w:hAnsi="Carlito" w:eastAsia="Carlito"/>
                <w:color w:val="24323D"/>
                <w:sz w:val="17"/>
              </w:rPr>
              <w:t>☐ Aligned to the Canon, Operating Principles, and correct source book.</w:t>
            </w:r>
          </w:p>
        </w:tc>
        <w:tc>
          <w:tcPr>
            <w:tcW w:type="dxa" w:w="7488"/>
            <w:shd w:fill="FFFFFF"/>
            <w:tcMar>
              <w:top w:w="70" w:type="dxa"/>
              <w:start w:w="80" w:type="dxa"/>
              <w:bottom w:w="70" w:type="dxa"/>
              <w:end w:w="80" w:type="dxa"/>
            </w:tcMar>
            <w:tcBorders>
              <w:top w:val="single" w:sz="3" w:color="B8C5CC"/>
              <w:left w:val="single" w:sz="3" w:color="B8C5CC"/>
              <w:bottom w:val="single" w:sz="3" w:color="B8C5CC"/>
              <w:right w:val="single" w:sz="3" w:color="B8C5CC"/>
            </w:tcBorders>
          </w:tcPr>
          <w:p>
            <w:r>
              <w:rPr>
                <w:rFonts w:ascii="Carlito" w:hAnsi="Carlito" w:eastAsia="Carlito"/>
                <w:color w:val="24323D"/>
                <w:sz w:val="17"/>
              </w:rPr>
              <w:t>☐ Uses existing evidence and records before adding new paperwork.</w:t>
            </w:r>
          </w:p>
        </w:tc>
      </w:tr>
      <w:tr>
        <w:tc>
          <w:tcPr>
            <w:tcW w:type="dxa" w:w="7488"/>
            <w:shd w:fill="F5F8F9"/>
            <w:tcMar>
              <w:top w:w="70" w:type="dxa"/>
              <w:start w:w="80" w:type="dxa"/>
              <w:bottom w:w="70" w:type="dxa"/>
              <w:end w:w="80" w:type="dxa"/>
            </w:tcMar>
            <w:tcBorders>
              <w:top w:val="single" w:sz="3" w:color="B8C5CC"/>
              <w:left w:val="single" w:sz="3" w:color="B8C5CC"/>
              <w:bottom w:val="single" w:sz="3" w:color="B8C5CC"/>
              <w:right w:val="single" w:sz="3" w:color="B8C5CC"/>
            </w:tcBorders>
          </w:tcPr>
          <w:p>
            <w:r>
              <w:rPr>
                <w:rFonts w:ascii="Carlito" w:hAnsi="Carlito" w:eastAsia="Carlito"/>
                <w:color w:val="24323D"/>
                <w:sz w:val="17"/>
              </w:rPr>
              <w:t>☐ Uses canonical terms and does not create a parallel system.</w:t>
            </w:r>
          </w:p>
        </w:tc>
        <w:tc>
          <w:tcPr>
            <w:tcW w:type="dxa" w:w="7488"/>
            <w:shd w:fill="F5F8F9"/>
            <w:tcMar>
              <w:top w:w="70" w:type="dxa"/>
              <w:start w:w="80" w:type="dxa"/>
              <w:bottom w:w="70" w:type="dxa"/>
              <w:end w:w="80" w:type="dxa"/>
            </w:tcMar>
            <w:tcBorders>
              <w:top w:val="single" w:sz="3" w:color="B8C5CC"/>
              <w:left w:val="single" w:sz="3" w:color="B8C5CC"/>
              <w:bottom w:val="single" w:sz="3" w:color="B8C5CC"/>
              <w:right w:val="single" w:sz="3" w:color="B8C5CC"/>
            </w:tcBorders>
          </w:tcPr>
          <w:p>
            <w:r>
              <w:rPr>
                <w:rFonts w:ascii="Carlito" w:hAnsi="Carlito" w:eastAsia="Carlito"/>
                <w:color w:val="24323D"/>
                <w:sz w:val="17"/>
              </w:rPr>
              <w:t>☐ Explains the required action, submission or storage location, and next step.</w:t>
            </w:r>
          </w:p>
        </w:tc>
      </w:tr>
      <w:tr>
        <w:tc>
          <w:tcPr>
            <w:tcW w:type="dxa" w:w="7488"/>
            <w:shd w:fill="FFFFFF"/>
            <w:tcMar>
              <w:top w:w="70" w:type="dxa"/>
              <w:start w:w="80" w:type="dxa"/>
              <w:bottom w:w="70" w:type="dxa"/>
              <w:end w:w="80" w:type="dxa"/>
            </w:tcMar>
            <w:tcBorders>
              <w:top w:val="single" w:sz="3" w:color="B8C5CC"/>
              <w:left w:val="single" w:sz="3" w:color="B8C5CC"/>
              <w:bottom w:val="single" w:sz="3" w:color="B8C5CC"/>
              <w:right w:val="single" w:sz="3" w:color="B8C5CC"/>
            </w:tcBorders>
          </w:tcPr>
          <w:p>
            <w:r>
              <w:rPr>
                <w:rFonts w:ascii="Carlito" w:hAnsi="Carlito" w:eastAsia="Carlito"/>
                <w:color w:val="24323D"/>
                <w:sz w:val="17"/>
              </w:rPr>
              <w:t>☐ Has one clear audience and purpose.</w:t>
            </w:r>
          </w:p>
        </w:tc>
        <w:tc>
          <w:tcPr>
            <w:tcW w:type="dxa" w:w="7488"/>
            <w:shd w:fill="FFFFFF"/>
            <w:tcMar>
              <w:top w:w="70" w:type="dxa"/>
              <w:start w:w="80" w:type="dxa"/>
              <w:bottom w:w="70" w:type="dxa"/>
              <w:end w:w="80" w:type="dxa"/>
            </w:tcMar>
            <w:tcBorders>
              <w:top w:val="single" w:sz="3" w:color="B8C5CC"/>
              <w:left w:val="single" w:sz="3" w:color="B8C5CC"/>
              <w:bottom w:val="single" w:sz="3" w:color="B8C5CC"/>
              <w:right w:val="single" w:sz="3" w:color="B8C5CC"/>
            </w:tcBorders>
          </w:tcPr>
          <w:p>
            <w:r>
              <w:rPr>
                <w:rFonts w:ascii="Carlito" w:hAnsi="Carlito" w:eastAsia="Carlito"/>
                <w:color w:val="24323D"/>
                <w:sz w:val="17"/>
              </w:rPr>
              <w:t>☐ Is accessible, readable, and usable in both digital and printed form where appropriate.</w:t>
            </w:r>
          </w:p>
        </w:tc>
      </w:tr>
      <w:tr>
        <w:tc>
          <w:tcPr>
            <w:tcW w:type="dxa" w:w="7488"/>
            <w:shd w:fill="F5F8F9"/>
            <w:tcMar>
              <w:top w:w="70" w:type="dxa"/>
              <w:start w:w="80" w:type="dxa"/>
              <w:bottom w:w="70" w:type="dxa"/>
              <w:end w:w="80" w:type="dxa"/>
            </w:tcMar>
            <w:tcBorders>
              <w:top w:val="single" w:sz="3" w:color="B8C5CC"/>
              <w:left w:val="single" w:sz="3" w:color="B8C5CC"/>
              <w:bottom w:val="single" w:sz="3" w:color="B8C5CC"/>
              <w:right w:val="single" w:sz="3" w:color="B8C5CC"/>
            </w:tcBorders>
          </w:tcPr>
          <w:p>
            <w:r>
              <w:rPr>
                <w:rFonts w:ascii="Carlito" w:hAnsi="Carlito" w:eastAsia="Carlito"/>
                <w:color w:val="24323D"/>
                <w:sz w:val="17"/>
              </w:rPr>
              <w:t>☐ States current approval or planning status accurately.</w:t>
            </w:r>
          </w:p>
        </w:tc>
        <w:tc>
          <w:tcPr>
            <w:tcW w:type="dxa" w:w="7488"/>
            <w:shd w:fill="F5F8F9"/>
            <w:tcMar>
              <w:top w:w="70" w:type="dxa"/>
              <w:start w:w="80" w:type="dxa"/>
              <w:bottom w:w="70" w:type="dxa"/>
              <w:end w:w="80" w:type="dxa"/>
            </w:tcMar>
            <w:tcBorders>
              <w:top w:val="single" w:sz="3" w:color="B8C5CC"/>
              <w:left w:val="single" w:sz="3" w:color="B8C5CC"/>
              <w:bottom w:val="single" w:sz="3" w:color="B8C5CC"/>
              <w:right w:val="single" w:sz="3" w:color="B8C5CC"/>
            </w:tcBorders>
          </w:tcPr>
          <w:p>
            <w:r>
              <w:rPr>
                <w:rFonts w:ascii="Carlito" w:hAnsi="Carlito" w:eastAsia="Carlito"/>
                <w:color w:val="24323D"/>
                <w:sz w:val="17"/>
              </w:rPr>
              <w:t>☐ Contains no student, partner, incident, or administrative data in a public location.</w:t>
            </w:r>
          </w:p>
        </w:tc>
      </w:tr>
      <w:tr>
        <w:tc>
          <w:tcPr>
            <w:tcW w:type="dxa" w:w="7488"/>
            <w:shd w:fill="FFFFFF"/>
            <w:tcMar>
              <w:top w:w="70" w:type="dxa"/>
              <w:start w:w="80" w:type="dxa"/>
              <w:bottom w:w="70" w:type="dxa"/>
              <w:end w:w="80" w:type="dxa"/>
            </w:tcMar>
            <w:tcBorders>
              <w:top w:val="single" w:sz="3" w:color="B8C5CC"/>
              <w:left w:val="single" w:sz="3" w:color="B8C5CC"/>
              <w:bottom w:val="single" w:sz="3" w:color="B8C5CC"/>
              <w:right w:val="single" w:sz="3" w:color="B8C5CC"/>
            </w:tcBorders>
          </w:tcPr>
          <w:p>
            <w:r>
              <w:rPr>
                <w:rFonts w:ascii="Carlito" w:hAnsi="Carlito" w:eastAsia="Carlito"/>
                <w:color w:val="24323D"/>
                <w:sz w:val="17"/>
              </w:rPr>
              <w:t>☐ Identifies owner, version, date, review date, and access classification.</w:t>
            </w:r>
          </w:p>
        </w:tc>
        <w:tc>
          <w:tcPr>
            <w:tcW w:type="dxa" w:w="7488"/>
            <w:shd w:fill="FFFFFF"/>
            <w:tcMar>
              <w:top w:w="70" w:type="dxa"/>
              <w:start w:w="80" w:type="dxa"/>
              <w:bottom w:w="70" w:type="dxa"/>
              <w:end w:w="80" w:type="dxa"/>
            </w:tcMar>
            <w:tcBorders>
              <w:top w:val="single" w:sz="3" w:color="B8C5CC"/>
              <w:left w:val="single" w:sz="3" w:color="B8C5CC"/>
              <w:bottom w:val="single" w:sz="3" w:color="B8C5CC"/>
              <w:right w:val="single" w:sz="3" w:color="B8C5CC"/>
            </w:tcBorders>
          </w:tcPr>
          <w:p>
            <w:r>
              <w:rPr>
                <w:rFonts w:ascii="Carlito" w:hAnsi="Carlito" w:eastAsia="Carlito"/>
                <w:color w:val="24323D"/>
                <w:sz w:val="17"/>
              </w:rPr>
              <w:t>☐ Has been reviewed for duplication, legal/policy dependencies, broken links, and superseded versions.</w:t>
            </w:r>
          </w:p>
        </w:tc>
      </w:tr>
    </w:tbl>
    <w:p>
      <w:pPr>
        <w:spacing w:before="200"/>
        <w:jc w:val="center"/>
      </w:pPr>
      <w:r>
        <w:rPr>
          <w:rFonts w:ascii="Carlito" w:hAnsi="Carlito" w:eastAsia="Carlito"/>
          <w:b/>
          <w:color w:val="183A5A"/>
          <w:sz w:val="20"/>
        </w:rPr>
        <w:t>The purpose of this register is not to generate paperwork. It is to ensure that every necessary document exists once, in the right form, for the right audience, at the right level of access.</w:t>
      </w:r>
    </w:p>
    <w:sectPr w:rsidR="00FC693F" w:rsidRPr="0006063C" w:rsidSect="00034616">
      <w:headerReference w:type="default" r:id="rId11"/>
      <w:footerReference w:type="default" r:id="rId12"/>
      <w:pgSz w:w="15840" w:h="12240" w:orient="landscape"/>
      <w:pgMar w:top="648" w:right="648" w:bottom="720" w:left="64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928" w:val="left"/>
      </w:tabs>
      <w:jc w:val="right"/>
    </w:pPr>
    <w:r>
      <w:rPr>
        <w:rFonts w:ascii="Carlito" w:hAnsi="Carlito" w:eastAsia="Carlito"/>
        <w:color w:val="5B6770"/>
        <w:sz w:val="15"/>
      </w:rPr>
      <w:t>Planning document; not adopted district policy  |  July 2026</w:t>
    </w:r>
    <w:r>
      <w:tab/>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2960" w:val="left"/>
      </w:tabs>
      <w:jc w:val="right"/>
    </w:pPr>
    <w:r>
      <w:rPr>
        <w:rFonts w:ascii="Carlito" w:hAnsi="Carlito" w:eastAsia="Carlito"/>
        <w:color w:val="5B6770"/>
        <w:sz w:val="15"/>
      </w:rPr>
      <w:t>Planning document; not adopted district policy  |  July 2026</w:t>
    </w:r>
    <w:r>
      <w:tab/>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rlito" w:hAnsi="Carlito" w:eastAsia="Carlito"/>
        <w:b/>
        <w:color w:val="183A5A"/>
        <w:sz w:val="16"/>
      </w:rPr>
      <w:t>GCSD CULINARY PATHWAY  |  MASTER DOCUMENT REGISTER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rlito" w:hAnsi="Carlito" w:eastAsia="Carlito"/>
        <w:b/>
        <w:color w:val="183A5A"/>
        <w:sz w:val="16"/>
      </w:rPr>
      <w:t>GCSD CULINARY PATHWAY  |  MASTER DOCUMENT REGISTER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rlito" w:hAnsi="Carlito" w:eastAsia="Carlito"/>
      <w:color w:val="2432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rlito" w:hAnsi="Carlito" w:eastAsia="Carlito"/>
      <w:b/>
      <w:bCs/>
      <w:color w:val="183A5A"/>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rlito" w:hAnsi="Carlito" w:eastAsia="Carlito"/>
      <w:b/>
      <w:bCs/>
      <w:color w:val="2E7D7A"/>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rlito" w:hAnsi="Carlito" w:eastAsia="Carlito"/>
      <w:b/>
      <w:bCs/>
      <w:color w:val="183A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rlito" w:hAnsi="Carlito" w:eastAsia="Carlito"/>
      <w:b/>
      <w:color w:val="183A5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rlito" w:hAnsi="Carlito" w:eastAsia="Carlito"/>
      <w:b/>
      <w:i/>
      <w:iCs/>
      <w:color w:val="2E7D7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Carlito" w:hAnsi="Carlito" w:eastAsia="Carlito"/>
      <w:color w:val="5B6770"/>
      <w:sz w:val="17"/>
    </w:rPr>
  </w:style>
  <w:style w:type="paragraph" w:customStyle="1" w:styleId="Commitment">
    <w:name w:val="Commitment"/>
    <w:pPr>
      <w:keepLines/>
      <w:spacing w:before="160" w:after="160"/>
    </w:pPr>
    <w:rPr>
      <w:rFonts w:ascii="Carlito" w:hAnsi="Carlito" w:eastAsia="Carlito"/>
      <w:b/>
      <w:color w:val="183A5A"/>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