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2A — Website Architecture</w:t>
      </w:r>
    </w:p>
    <w:p>
      <w:pPr>
        <w:spacing w:after="120"/>
      </w:pPr>
      <w:r>
        <w:rPr>
          <w:b/>
          <w:bCs/>
          <w:color w:val="1F3A5F"/>
          <w:sz w:val="52"/>
          <w:szCs w:val="52"/>
        </w:rPr>
        <w:t xml:space="preserve">Website Content Map and Migration Specification</w:t>
      </w:r>
    </w:p>
    <w:p>
      <w:pPr>
        <w:spacing w:after="400"/>
      </w:pPr>
      <w:r>
        <w:t>Current live page → staged destination → audience path → status → owner → access → migration action, with the legacy 13-page map retained as planning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Website Content Map and Migration Specification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team / RESTRICTED (internal planning and control document)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for every current and target public/participant page, the source book, audience, status, content owner, access level, and redirect/archive action governing the Work Package 2 website rebuild.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July 14,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Internal Review; 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GOV-07 v2.0; GOV-09 v1.1; GOV-10 v4.0; GOV-13 v2.0; WEB-19 v1.1; WEB-22 v2.0; WEB-24 v2.0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 the start of Work Package 2B, and immediately after any GOV-10 status change affecting a listed page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Prior version archived as pathway-documents/_archive/GCSD_CulinaryPathway_WEB-01_Website-Content-Map-Migration-Spec_v1.0_2026-07-12-ARCHIVED.docx.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 / Next Step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Review the staged two-path architecture and resource dispositions; do not deploy without explicit authorization under GOV-10 PA-16.</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1. Purpose and Scope</w:t>
      </w:r>
    </w:p>
    <w:p>
      <w:pPr>
        <w:spacing w:after="160"/>
      </w:pPr>
      <w:r>
        <w:t>This is the current website migration control. It inventories the unchanged live Greece Culinary Work-Based Learning site and defines the staged GCSD Culinary Pathway destination: a concise discovery experience and a role-based participant resource area. The earlier 13-page map remains below as a legacy content crosswalk, not the current primary-navigation model.</w:t>
      </w:r>
    </w:p>
    <w:p>
      <w:pPr>
        <w:spacing w:after="160"/>
      </w:pPr>
      <w:r>
        <w:t>The archived WP2A/WP3 Reconciliation Memo records earlier production decisions. Its useful terminology and dependency evidence is now carried by GOV-07 v2.0, GOV-10 v4.0, GOV-13 v2.0, this specification, the Master Execution Matrix, and the Production Control Log. The memo is no longer active authority.</w:t>
      </w:r>
    </w:p>
    <w:p>
      <w:pPr>
        <w:spacing w:after="160"/>
      </w:pPr>
      <w:r>
        <w:rPr>
          <w:sz w:val="21"/>
          <w:szCs w:val="21"/>
        </w:rPr>
        <w:t xml:space="preserve">Files referenced as "Produced WP2A" are staged as working HTML/Word/Excel files only. Nothing described in this document has been deployed, published, or linked from the live site. The live index.html and pages/*.html files, and the live assets/css/styles.css, are unmodified by this work package.</w:t>
      </w:r>
    </w:p>
    <w:p>
      <w:pPr>
        <w:pStyle w:val="Heading1"/>
        <w:spacing w:after="160" w:before="320"/>
      </w:pPr>
      <w:r>
        <w:rPr>
          <w:color w:val="1F3A5F"/>
        </w:rPr>
        <w:t xml:space="preserve">2. How to Read the Migration Tables</w:t>
      </w:r>
    </w:p>
    <w:p>
      <w:pPr>
        <w:pStyle w:val="ListParagraph"/>
        <w:numPr>
          <w:ilvl w:val="0"/>
          <w:numId w:val="1"/>
        </w:numPr>
        <w:spacing w:after="80"/>
      </w:pPr>
      <w:r>
        <w:t>"Target Page (Register ID)" in the legacy table identifies the registered content page. In the v2.0 staged architecture, those pages remain available beneath the Explore path rather than appearing as equally weighted primary-navigation items.</w:t>
      </w:r>
    </w:p>
    <w:p>
      <w:pPr>
        <w:pStyle w:val="ListParagraph"/>
        <w:numPr>
          <w:ilvl w:val="0"/>
          <w:numId w:val="1"/>
        </w:numPr>
        <w:spacing w:after="80"/>
      </w:pPr>
      <w:r>
        <w:rPr>
          <w:sz w:val="21"/>
          <w:szCs w:val="21"/>
        </w:rPr>
        <w:t xml:space="preserve">"Current Page(s)" is the existing live file(s) this content migrates from, or "(none — net-new)" where no current equivalent exists.</w:t>
      </w:r>
    </w:p>
    <w:p>
      <w:pPr>
        <w:pStyle w:val="ListParagraph"/>
        <w:numPr>
          <w:ilvl w:val="0"/>
          <w:numId w:val="1"/>
        </w:numPr>
        <w:spacing w:after="80"/>
      </w:pPr>
      <w:r>
        <w:t>"Status" in the legacy table records the production stage at the time of the earlier pass. Current authorization must be read from GOV-10 v4.0; current file production is recorded in GOV-07 v2.0 and the Matrix.</w:t>
      </w:r>
    </w:p>
    <w:p>
      <w:pPr>
        <w:pStyle w:val="ListParagraph"/>
        <w:numPr>
          <w:ilvl w:val="0"/>
          <w:numId w:val="1"/>
        </w:numPr>
        <w:spacing w:after="80"/>
      </w:pPr>
      <w:r>
        <w:rPr>
          <w:sz w:val="21"/>
          <w:szCs w:val="21"/>
        </w:rPr>
        <w:t xml:space="preserve">"Redirect / Archive Action" carries forward the corresponding ARC-01 through ARC-07 finding from the Master Document Register where one exists.</w:t>
      </w:r>
    </w:p>
    <w:p>
      <w:pPr>
        <w:pStyle w:val="Heading1"/>
        <w:spacing w:after="160" w:before="320"/>
      </w:pPr>
      <w:r>
        <w:rPr>
          <w:color w:val="1F3A5F"/>
        </w:rPr>
        <w:t xml:space="preserve">3. Current Site Inventory (Baseline)</w:t>
      </w:r>
    </w:p>
    <w:p>
      <w:pPr>
        <w:spacing w:after="160"/>
      </w:pPr>
      <w:r>
        <w:rPr>
          <w:sz w:val="21"/>
          <w:szCs w:val="21"/>
        </w:rPr>
        <w:t xml:space="preserve">The live site currently consists of 10 files: index.html plus 9 interior pages. All 10 remain live and unmodified throughout Work Package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File</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Role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index.html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Home / generic WBL program overview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pages/what-is-wbl.html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Is WBL?" — generic explanation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pages/student-pathway.html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Generic staged WBL journey model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pages/family-information.html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Family-facing introduction and FAQ</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pages/employer-partners.html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partnership introduction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pages/school-based-enterprise.html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Generic School-Based Enterprise explanation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pages/forms-resources.html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53 undifferentiated resource cards, 46 placeholder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pages/evaluation-impact.html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Framework-only evaluation page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pages/media-gallery.html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Entirely placeholder photo/video tiles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pages/contact.html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Single undifferentiated contact/interest form</w:t>
            </w:r>
          </w:p>
        </w:tc>
      </w:tr>
    </w:tbl>
    <w:p>
      <w:pPr>
        <w:pStyle w:val="Heading1"/>
        <w:spacing w:after="160" w:before="320"/>
      </w:pPr>
      <w:r>
        <w:t>4. Legacy 13-Page Content Crosswalk — Retained for Migration History</w:t>
      </w:r>
    </w:p>
    <w:p>
      <w:pPr>
        <w:spacing w:after="160"/>
      </w:pPr>
      <w:r>
        <w:t>This table preserves the earlier content-to-page mapping. It does not define the v2.0 primary navigation. The staged preview uses Home, Explore the Culinary Pathway, Program Resources / I’m Participating, and Contact as its four primary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 Home
(WEB-02)</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index.html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One; Book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 — general public</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
Approved for
Planning Use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Communications</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and rebrand around the full Pathway, not a generic WBL program. Live index.html stays in place until Kevin McCann authorizes replacement (ARC-01).</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2. Pathway at a
Glance
(WEB-03)</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index.html (partial)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One; Canon</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 — general public</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CREATE/REPLACE the broad overview section of the current home page with the three-year sequence, environments, progression, outcomes (ARC-01).</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3. Six Gateways
and Culinary
Passport
(WEB-04)</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pages/student-pathway.html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 Two</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families, partners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 entirely. The current page uses a generic staged WBL journey model; the Register prohibits a parallel progression system (ARC-02).</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4. Courses and
Learning
Environments
(WEB-05)</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pages/what-is-wbl.html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One; current curriculum</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CREATE/REVISE to cover Culinary 1/2, Advanced Culinary, Kitchen Management, The Cottage, SkillsUSA, and the proposed senior WBL course with accurate GOV-10 status labels on each.</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 The Cottage
(WEB-06)</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pages/school-based-enterprise.html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Books One and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Community, clients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 (needs Gateway 4 language)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SBE Lead</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 the generic SBE page. Name The Cottage explicitly; connect to Advanced Culinary, Kitchen Management, and Gateway 4 (ARC-05).</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6. Leadership,
Kitchen
Management, and
SkillsUSA
(WEB-07)</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Canon; Book One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 community</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 (needs Gateway 5 + SkillsUSA exploratory-language decision)</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No current page exists. Kitchen Management must be framed as leadership development, never additional cooking instruction; SkillsUSA content must use exploratory/interest-development language per PA-13, never an active-chapter claim.</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7. External
Work-Based
Learning
(WEB-08)</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pages/what-is-wbl.html (partial)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Books One and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families, employers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 — CONDITIONAL content (PA-06)</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Present WBL as the Grade 12 culmination, not the whole pathway. Must carry the boxed PA-06 status statement verbatim, prominently placed, not in a footnote.</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8. Students and
Families
(WEB-09)</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pages/family-information.html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One and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REVISE and combine discovery information with links into the Family Resource Center (WEB-16). 5 of 11 current FAQ answers defer to unresolved policy and need resolution (ARC-03).</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9. Employer and
Community
Partners
(WEB-10)</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pages/employer-partners.html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One and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Employers, community</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Add training-station lifecycle, mentor role, learning-before-labor framing, and a link into the Employer and Mentor Resource Center (WEB-17) (ARC-04).</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10. Credentials
and Recognition
(WEB-11)</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One–Two</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No current page exists. Must accurately distinguish credentials, technical assessments, CDOS evidence, CTE endorsement, potential 4+1, awards, and postsecondary opportunities.</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11. Results and
Accountability
(WEB-12)</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pages/evaluation-impact.html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Two; Book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Community, Board</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Current page is framework-only with no real instruments/data (appropriate for this stage) but does not yet separate student competency, training-station quality, and program quality as three distinct evaluation objects (ARC-06).</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12. Contact,
Help, and
Concerns
(WEB-13)</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pages/contact.html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
Approved for
Planning Use</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Separated general inquiry, student/family support, employer interest, accessibility help, and urgent concern routes. No named coordinator exists yet — every contact point is a labeled placeholder, flagged on the page itself.</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13. Frequently
Asked Questions
(WEB-23)</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Inline across pages/family-information.html, pages/employer-partners.html, and others</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One–Four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REVISE/CONSOLIDATE. FAQ content currently lives inline on other pages; needs to become its own audience-organized standalone page using canonical terms and current authorization status.</w:t>
            </w:r>
          </w:p>
        </w:tc>
      </w:tr>
    </w:tbl>
    <w:p>
      <w:pPr>
        <w:pStyle w:val="Heading1"/>
        <w:spacing w:after="160" w:before="320"/>
      </w:pPr>
      <w:r>
        <w:rPr>
          <w:color w:val="1F3A5F"/>
        </w:rPr>
        <w:t xml:space="preserve">5. Participant Resource Center — Migration Table</w:t>
      </w:r>
    </w:p>
    <w:p>
      <w:pPr>
        <w:spacing w:after="160"/>
      </w:pPr>
      <w:r>
        <w:t>WEB-14 through WEB-18 now exist as staged role-based planning pages. They are not deployed, are not an active district portal, and do not expose completed records or restricted content. Authentication and the permanent participant delivery channel remain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 Resource Center — Landing
(WEB-14)</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Participants (students, families, mentors, staff)</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a role-based entry page for current students, families, mentors, and staff, distinct from public recruitment content.</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 Resource Center
(WEB-15)</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Two–Three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Pathway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Organize handbooks, Gateway guidance, portfolio, career readiness, WBL forms, check-ins, and help routes by stage.</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Family Resource Center
(WEB-16)</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pages/family-information.html (partial)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Families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Program Administration</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Organize handbook, permissions, safety, transportation, supports, progress communication, and concern routes (ARC-03 partial source).</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Employer and Mentor
Resource Center
(WEB-17)</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pages/employer-partners.html (partial)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Employers, mentors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WBL Coordinator</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Organize overview, approval, orientation, agreements, training plan, evaluations, changes, concerns, and closeout (ARC-04 partial source).</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Staff and Coordinator
Portal Structure
(WEB-18)</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Two–Three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Authorized staff</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IT and Program Administration</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only within an approved restricted platform. Organize operations, records, trackers, partner files, incidents, evaluation, and archives.</w:t>
            </w:r>
          </w:p>
        </w:tc>
      </w:tr>
    </w:tbl>
    <w:p>
      <w:pPr>
        <w:pStyle w:val="Heading1"/>
        <w:spacing w:after="160" w:before="320"/>
      </w:pPr>
      <w:r>
        <w:rPr>
          <w:color w:val="1F3A5F"/>
        </w:rPr>
        <w:t xml:space="preserve">6. Supporting Content (Not a Numbered Target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Media Gallery (supporting content, not a numbered target page)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pages/media-gallery.html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gated on real events and signed consent, not on document production</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 Every photo/video slot is currently placeholder. Revisit once real, consented media exists — not blocked by Work Package 2 document production.</w:t>
            </w:r>
          </w:p>
        </w:tc>
      </w:tr>
    </w:tbl>
    <w:p>
      <w:pPr>
        <w:pStyle w:val="Heading1"/>
        <w:spacing w:after="160" w:before="320"/>
      </w:pPr>
      <w:r>
        <w:rPr>
          <w:color w:val="1F3A5F"/>
        </w:rPr>
        <w:t xml:space="preserve">7. Work Package 2A Cross-Cutting Deliverables Produced in This Pass</w:t>
      </w:r>
    </w:p>
    <w:p>
      <w:pPr>
        <w:spacing w:after="160"/>
      </w:pPr>
      <w:r>
        <w:t>These are cross-cutting website controls and utility deliverables. Their current versions govern the staged preview and remain outside the Pages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700"/>
        <w:gridCol w:w="900"/>
        <w:gridCol w:w="1460"/>
        <w:gridCol w:w="1100"/>
      </w:tblGrid>
      <w:tr>
        <w:trPr>
          <w:tblHeader/>
        </w:trPr>
        <w:tc>
          <w:tcPr>
            <w:tcW w:type="dxa" w:w="1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Deliverable</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Form</w:t>
            </w:r>
          </w:p>
        </w:tc>
        <w:tc>
          <w:tcPr>
            <w:tcW w:type="dxa" w:w="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File Type</w:t>
            </w:r>
          </w:p>
        </w:tc>
        <w:tc>
          <w:tcPr>
            <w:tcW w:type="dxa" w:w="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1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Website Content Map and Migration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This document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Home Page — status-safe refresh</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Communications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WEB-13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Contact, Help, and Concerns Page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WEB-19</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Program Status and Approval Labels (Status-Label System)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Companion Word doc</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RESTRICTED / referenced on PUBLIC pages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WEB-20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Accessibility Statement and Digital Accessibility Audit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Staging HTML (includes review checklist appendix)</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Accessibility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WEB-21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Privacy and Records Notice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IT and Administration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WEB-22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Document Download Index and Version Display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Structure-only Word doc (no page content — most underlying documents don't exist yet)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 (structure); PUBLIC/PARTICIPANT when implemented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WEB-24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Website Content Ownership and Update Schedule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Excel tracker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Excel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RESTRICTED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GOV-13 (relocated to governance, see UD-06)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 Participant Page Template Set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Companion Word doc</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r>
    </w:tbl>
    <w:p>
      <w:pPr>
        <w:pStyle w:val="Heading1"/>
        <w:spacing w:after="160" w:before="320"/>
      </w:pPr>
      <w:r>
        <w:rPr>
          <w:color w:val="1F3A5F"/>
        </w:rPr>
        <w:t xml:space="preserve">8. Register Gaps and Judgment Calls Logged for the Lead Editor</w:t>
      </w:r>
    </w:p>
    <w:p>
      <w:pPr>
        <w:spacing w:after="140"/>
      </w:pPr>
      <w:r>
        <w:t>GOV-13 is established — GOV-13 is the current Website Page Template and Content Standards document in the governance work package. The earlier provisional WEB-25 file is archived. No ID decision remains open.</w:t>
      </w:r>
    </w:p>
    <w:p>
      <w:pPr>
        <w:spacing w:after="140"/>
      </w:pPr>
      <w:r>
        <w:rPr>
          <w:b/>
          <w:bCs/>
          <w:color w:val="1F3A5F"/>
          <w:sz w:val="21"/>
          <w:szCs w:val="21"/>
        </w:rPr>
        <w:t xml:space="preserve">Duplicate "5." numbering in the prior Website Audit — </w:t>
      </w:r>
      <w:r>
        <w:rPr>
          <w:sz w:val="21"/>
          <w:szCs w:val="21"/>
        </w:rPr>
        <w:t xml:space="preserve">Corrected locally in Section 4 above by using the unambiguous WEB-ID sequence as the authoritative page order. This is a numbering-typo correction, not a re-litigation of any CREATE/CONSOLIDATE/DEFER decision.</w:t>
      </w:r>
    </w:p>
    <w:p>
      <w:pPr>
        <w:spacing w:after="140"/>
      </w:pPr>
      <w:r>
        <w:rPr>
          <w:b/>
          <w:bCs/>
          <w:color w:val="1F3A5F"/>
          <w:sz w:val="21"/>
          <w:szCs w:val="21"/>
        </w:rPr>
        <w:t xml:space="preserve">No content-authorization (GOV-10) column added to the migration table — </w:t>
      </w:r>
      <w:r>
        <w:rPr>
          <w:sz w:val="21"/>
          <w:szCs w:val="21"/>
        </w:rPr>
        <w:t xml:space="preserve">This table tracks document/page production status only, per GOV-09. It intentionally does not restate each page's underlying GOV-10 program-component status (e.g., PA-06, PA-07, PA-13) — that status lives in GOV-10 itself and must be read from there directly at the time each Work Package 2B page is authored, so it can never go stale inside this document.</w:t>
      </w:r>
    </w:p>
    <w:p>
      <w:pPr>
        <w:pStyle w:val="Heading1"/>
        <w:spacing w:after="160" w:before="320"/>
      </w:pPr>
      <w:r>
        <w:rPr>
          <w:color w:val="1F3A5F"/>
        </w:rPr>
        <w:t xml:space="preserve">9. Required Action</w:t>
      </w:r>
    </w:p>
    <w:p>
      <w:pPr>
        <w:spacing w:after="160"/>
      </w:pPr>
      <w:r>
        <w:t>Kevin McCann, Jason Carlson, and Corey Skinner should review the staged two-path information architecture, audience separation, and resource availability before any live-site replacement is considered. No item in this document authorizes deployment; PA-16 in GOV-10 remains the deployment authority control.</w:t>
      </w:r>
    </w:p>
    <w:p>
      <w:r>
        <w:rPr>
          <w:b/>
          <w:color w:val="18392B"/>
          <w:sz w:val="28"/>
        </w:rPr>
        <w:t>Current Control Note</w:t>
      </w:r>
    </w:p>
    <w:p>
      <w:r>
        <w:t>The v2.0 staged target separates discovery from action. Home presents two primary choices: Explore the Culinary Pathway and Program Resources / I’m Participating. Explore routes to WEB-03 and the current explanatory pages. Program Resources routes to WEB-14 and role pages WEB-15 through WEB-18. The 37 Module 2 prototype links on the live Forms &amp; Resources page are not carried forward; current planning-safe information is linked and unresolved forms are labeled In Development without a link. Live index.html, pages/, and assets/ remain unchanged.</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Website Content Map and Migration Specification</dc:title>
  <dc:creator>Kevin McCann</dc:creator>
  <cp:lastModifiedBy>Un-named</cp:lastModifiedBy>
  <cp:revision>1</cp:revision>
  <dcterms:created xsi:type="dcterms:W3CDTF">2026-07-13T01:06:58.465Z</dcterms:created>
  <dcterms:modified xsi:type="dcterms:W3CDTF">2026-07-13T01:06:58.467Z</dcterms:modified>
</cp:coreProperties>
</file>

<file path=docProps/custom.xml><?xml version="1.0" encoding="utf-8"?>
<Properties xmlns="http://schemas.openxmlformats.org/officeDocument/2006/custom-properties" xmlns:vt="http://schemas.openxmlformats.org/officeDocument/2006/docPropsVTypes"/>
</file>