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A64F25"/>
          <w:sz w:val="18"/>
        </w:rPr>
        <w:t>PUBLIC BLANK RESOURCE</w:t>
      </w:r>
    </w:p>
    <w:p>
      <w:pPr>
        <w:pStyle w:val="Title"/>
      </w:pPr>
      <w:r>
        <w:t>Family Student-Support Checklist</w:t>
      </w:r>
    </w:p>
    <w:p>
      <w:pPr>
        <w:pStyle w:val="Subtitle"/>
      </w:pPr>
      <w:r>
        <w:t>Intended user: Students and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Purpose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Help families support attendance, preparation, professional habits, communication, planning, transportation questions, and appropriate records boundaries.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0EB"/>
          </w:tcPr>
          <w:p>
            <w:r>
              <w:rPr>
                <w:rFonts w:ascii="Calibri" w:hAnsi="Calibri"/>
                <w:b/>
                <w:color w:val="18392B"/>
                <w:sz w:val="19"/>
              </w:rPr>
              <w:t>When to use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E2722"/>
                <w:sz w:val="19"/>
              </w:rPr>
              <w:t>Use at the start of a course, before a major project or Cottage event, or during a family discussion about progress and next steps.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Student name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Current course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Discussion date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Next review date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</w:pPr>
      <w:r>
        <w:t>Attendance and preparation</w:t>
      </w:r>
    </w:p>
    <w:p>
      <w:pPr>
        <w:pStyle w:val="ListBullet"/>
      </w:pPr>
      <w:r>
        <w:t xml:space="preserve">[ ] </w:t>
      </w:r>
      <w:r>
        <w:t>We know the current attendance, punctuality, and make-up expectations communicated by the teacher.</w:t>
      </w:r>
    </w:p>
    <w:p>
      <w:pPr>
        <w:pStyle w:val="ListBullet"/>
      </w:pPr>
      <w:r>
        <w:t xml:space="preserve">[ ] </w:t>
      </w:r>
      <w:r>
        <w:t>The student plans enough time to arrive prepared for class, lab, or an approved event.</w:t>
      </w:r>
    </w:p>
    <w:p>
      <w:pPr>
        <w:pStyle w:val="ListBullet"/>
      </w:pPr>
      <w:r>
        <w:t xml:space="preserve">[ ] </w:t>
      </w:r>
      <w:r>
        <w:t>We have reviewed the current course requirements for clothing, footwear, hygiene, equipment, and materials.</w:t>
      </w:r>
    </w:p>
    <w:p>
      <w:pPr>
        <w:pStyle w:val="ListBullet"/>
      </w:pPr>
      <w:r>
        <w:t xml:space="preserve">[ ] </w:t>
      </w:r>
      <w:r>
        <w:t>The student communicates an absence, delay, or preparation problem through the expected school route.</w:t>
      </w:r>
    </w:p>
    <w:p>
      <w:pPr>
        <w:pStyle w:val="Heading1"/>
      </w:pPr>
      <w:r>
        <w:t>Professional habits</w:t>
      </w:r>
    </w:p>
    <w:p>
      <w:pPr>
        <w:pStyle w:val="ListBullet"/>
      </w:pPr>
      <w:r>
        <w:t xml:space="preserve">[ ] </w:t>
      </w:r>
      <w:r>
        <w:t>The student can explain the assigned role, deadline, safety expectations, and definition of done.</w:t>
      </w:r>
    </w:p>
    <w:p>
      <w:pPr>
        <w:pStyle w:val="ListBullet"/>
      </w:pPr>
      <w:r>
        <w:t xml:space="preserve">[ ] </w:t>
      </w:r>
      <w:r>
        <w:t>The student practices reliable communication, teamwork, organization, cleanup, and response to feedback.</w:t>
      </w:r>
    </w:p>
    <w:p>
      <w:pPr>
        <w:pStyle w:val="ListBullet"/>
      </w:pPr>
      <w:r>
        <w:t xml:space="preserve">[ ] </w:t>
      </w:r>
      <w:r>
        <w:t>The student asks for help when a task, safety condition, or responsibility is unclear.</w:t>
      </w:r>
    </w:p>
    <w:p>
      <w:pPr>
        <w:pStyle w:val="ListBullet"/>
      </w:pPr>
      <w:r>
        <w:t xml:space="preserve">[ ] </w:t>
      </w:r>
      <w:r>
        <w:t>We discuss specific evidence of growth rather than relying only on attendance or interest.</w:t>
      </w:r>
    </w:p>
    <w:p>
      <w:pPr>
        <w:pStyle w:val="Heading1"/>
      </w:pPr>
      <w:r>
        <w:t>Planning and next steps</w:t>
      </w:r>
    </w:p>
    <w:p>
      <w:pPr>
        <w:pStyle w:val="ListBullet"/>
      </w:pPr>
      <w:r>
        <w:t xml:space="preserve">[ ] </w:t>
      </w:r>
      <w:r>
        <w:t>We have confirmed the official course title, credit, prerequisite, and schedule through school channels.</w:t>
      </w:r>
    </w:p>
    <w:p>
      <w:pPr>
        <w:pStyle w:val="ListBullet"/>
      </w:pPr>
      <w:r>
        <w:t xml:space="preserve">[ ] </w:t>
      </w:r>
      <w:r>
        <w:t>Any credential or college-credit plan uses verified names, eligibility, registration, credit, and transcript information.</w:t>
      </w:r>
    </w:p>
    <w:p>
      <w:pPr>
        <w:pStyle w:val="ListBullet"/>
      </w:pPr>
      <w:r>
        <w:t xml:space="preserve">[ ] </w:t>
      </w:r>
      <w:r>
        <w:t>The student has one realistic short-term action and knows who can help.</w:t>
      </w:r>
    </w:p>
    <w:p>
      <w:pPr>
        <w:pStyle w:val="ListBullet"/>
      </w:pPr>
      <w:r>
        <w:t xml:space="preserve">[ ] </w:t>
      </w:r>
      <w:r>
        <w:t>Resume, reflection, costing, schedule, or event-planning tools are completed only when directed and stored through approved systems.</w:t>
      </w:r>
    </w:p>
    <w:p>
      <w:pPr>
        <w:pStyle w:val="Heading1"/>
      </w:pPr>
      <w:r>
        <w:t>Transportation and communication</w:t>
      </w:r>
    </w:p>
    <w:p>
      <w:pPr>
        <w:pStyle w:val="ListBullet"/>
      </w:pPr>
      <w:r>
        <w:t xml:space="preserve">[ ] </w:t>
      </w:r>
      <w:r>
        <w:t>We follow the transportation instructions for the specific approved school activity and do not assume an arrangement.</w:t>
      </w:r>
    </w:p>
    <w:p>
      <w:pPr>
        <w:pStyle w:val="ListBullet"/>
      </w:pPr>
      <w:r>
        <w:t xml:space="preserve">[ ] </w:t>
      </w:r>
      <w:r>
        <w:t>Questions use the teacher, counseling, administrative, or monitored pathway contact route.</w:t>
      </w:r>
    </w:p>
    <w:p>
      <w:pPr>
        <w:pStyle w:val="ListBullet"/>
      </w:pPr>
      <w:r>
        <w:t xml:space="preserve">[ ] </w:t>
      </w:r>
      <w:r>
        <w:t>Private student, medical, dietary, accommodation, incident, hours, evaluation, or agreement information is never posted or sent through a public page.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E6"/>
          </w:tcPr>
          <w:p>
            <w:r/>
            <w:r>
              <w:rPr>
                <w:rFonts w:ascii="Calibri" w:hAnsi="Calibri"/>
                <w:b/>
                <w:color w:val="A64F25"/>
                <w:sz w:val="21"/>
              </w:rPr>
              <w:t>Proposed senior external work-based learning</w:t>
            </w:r>
          </w:p>
          <w:p>
            <w:r>
              <w:rPr>
                <w:rFonts w:ascii="Calibri" w:hAnsi="Calibri"/>
                <w:color w:val="1E2722"/>
                <w:sz w:val="20"/>
              </w:rPr>
              <w:t>The proposed senior course and 300-hour structure are not active. This checklist is not an application, transportation agreement, family acknowledgment, or placement request.</w:t>
            </w:r>
          </w:p>
        </w:tc>
      </w:tr>
    </w:tbl>
    <w:p>
      <w:pPr>
        <w:spacing w:after="40"/>
      </w:pPr>
    </w:p>
    <w:p>
      <w:r>
        <w:t>Record one practical next step and one question or family support action below.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Student next step: action, support, date, and evidence</w:t>
            </w:r>
          </w:p>
          <w:p>
            <w:pPr>
              <w:spacing w:after="120"/>
            </w:pPr>
            <w:r>
              <w:t xml:space="preserve"> 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100"/>
            </w:pPr>
            <w:r/>
            <w:r>
              <w:rPr>
                <w:rFonts w:ascii="Calibri" w:hAnsi="Calibri"/>
                <w:b/>
                <w:color w:val="18392B"/>
                <w:sz w:val="18"/>
              </w:rPr>
              <w:t>Family question or support action</w:t>
            </w:r>
          </w:p>
          <w:p>
            <w:pPr>
              <w:spacing w:after="120"/>
            </w:pPr>
            <w: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000"/>
      <w:gridCol w:w="2360"/>
    </w:tblGrid>
    <w:tr>
      <w:tc>
        <w:tcPr>
          <w:tcW w:type="dxa" w:w="700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/>
              <w:color w:val="5F6B64"/>
              <w:sz w:val="16"/>
            </w:rPr>
            <w:t>Family Student-Support Checklist | Version 1.0 | July 2026</w:t>
          </w:r>
        </w:p>
        <w:p>
          <w:pPr>
            <w:spacing w:before="0" w:after="0" w:line="240" w:lineRule="auto"/>
          </w:pPr>
          <w:r>
            <w:rPr>
              <w:rFonts w:ascii="Calibri" w:hAnsi="Calibri"/>
              <w:i/>
              <w:color w:val="5F6B64"/>
              <w:sz w:val="14"/>
            </w:rPr>
            <w:t>Public blank resource. Store completed work only in approved school systems.</w:t>
          </w:r>
        </w:p>
      </w:tc>
      <w:tc>
        <w:tcPr>
          <w:tcW w:type="dxa" w:w="236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/>
              <w:color w:val="5F6B64"/>
              <w:sz w:val="17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64"/>
        <w:sz w:val="17"/>
      </w:rPr>
      <w:t>GCSD Culinary Pathway |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7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39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9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B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