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4 | Kitchen Management</w:t>
      </w:r>
    </w:p>
    <w:p>
      <w:pPr>
        <w:spacing w:after="120"/>
      </w:pPr>
      <w:r>
        <w:rPr>
          <w:b/>
          <w:bCs/>
          <w:color w:val="1F3A5F"/>
          <w:sz w:val="52"/>
          <w:szCs w:val="52"/>
        </w:rPr>
        <w:t xml:space="preserve">Kitchen Management Scope and Sequence</w:t>
      </w:r>
    </w:p>
    <w:p>
      <w:pPr>
        <w:spacing w:after="400"/>
      </w:pPr>
      <w:r>
        <w:rPr>
          <w:i/>
          <w:iCs/>
          <w:color w:val="666666"/>
          <w:sz w:val="26"/>
          <w:szCs w:val="26"/>
        </w:rPr>
        <w:t xml:space="preserve">A year of leadership, supervision, resource management, event coordination, and career readiness — not additional cooking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CUR-03</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Scope and Sequence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teacher, students (course-planning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the year-long unit structure, leadership focus, evidence, and Gateway 5 alignment for the Kitchen Management course, deferred here from Work Package 3 per the WP2A/WP3 Reconciliation Memo.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Teacher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PARTICIPANT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Canon v3.0; Operating Principles v1.0; Books One-Three; CMP-03-07 Gateway 5 Standard and Rubric</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 or after any curricular or scheduling change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 Resolves the deferral noted in CMP-03-07's Gateway 5 "Course Evidence Source — Status Note."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Kitchen Management teacher uses this scope and sequence to plan units, leadership assignments, and Gateway 5 evidence collection for Grade 11 Kitchen Management.</w:t>
            </w:r>
          </w:p>
        </w:tc>
      </w:tr>
    </w:tbl>
    <w:p>
      <w:pPr>
        <w:pBdr>
          <w:top w:val="single" w:color="B08D57" w:sz="6" w:space="8"/>
        </w:pBdr>
        <w:spacing w:after="0" w:before="400"/>
      </w:pPr>
      <w:r>
        <w:rPr>
          <w:i/>
          <w:iCs/>
          <w:color w:val="666666"/>
          <w:sz w:val="20"/>
          <w:szCs w:val="20"/>
        </w:rPr>
        <w:t xml:space="preserve">Build Leaders, Not Just Cooks.</w:t>
      </w:r>
    </w:p>
    <w:p>
      <w:r>
        <w:br w:type="page"/>
      </w:r>
    </w:p>
    <w:p>
      <w:pPr>
        <w:pStyle w:val="Heading1"/>
        <w:spacing w:after="160" w:before="320"/>
      </w:pPr>
      <w:r>
        <w:rPr>
          <w:color w:val="1F3A5F"/>
        </w:rPr>
        <w:t xml:space="preserve">1. What This Course Is — and Is Not</w:t>
      </w:r>
    </w:p>
    <w:p>
      <w:pPr>
        <w:spacing w:after="160"/>
      </w:pPr>
      <w:r>
        <w:rPr>
          <w:sz w:val="21"/>
          <w:szCs w:val="21"/>
        </w:rPr>
        <w:t xml:space="preserve">Kitchen Management is the leadership bridge between culinary production and professional employment. Its purpose is not additional cooking instruction. Its purpose is developing leaders (Canon v3.0). Students in Kitchen Management have already demonstrated foundational and client-centered culinary competence through Culinary 1, Culinary 2, and Advanced Culinary — this course does not reteach technique.</w:t>
      </w:r>
    </w:p>
    <w:p>
      <w:pPr>
        <w:spacing w:after="160"/>
      </w:pPr>
      <w:r>
        <w:rPr>
          <w:sz w:val="21"/>
          <w:szCs w:val="21"/>
        </w:rPr>
        <w:t xml:space="preserve">Kitchen Management centers leadership, supervision, resource management, event coordination, employment preparation, portfolio development, and Gateway 5 (Professional, Leadership, and Career Readiness). Students practice these skills using authentic Cottage production as the setting, but the evaluated outcome is the student's ability to plan, coordinate, supervise, communicate, protect quality and safety, and improve the work — not the dish itself (Book Three, Chapter 14).</w:t>
      </w:r>
    </w:p>
    <w:p>
      <w:pPr>
        <w:spacing w:after="140"/>
      </w:pPr>
      <w:r>
        <w:rPr>
          <w:b/>
          <w:bCs/>
          <w:color w:val="1F3A5F"/>
          <w:sz w:val="21"/>
          <w:szCs w:val="21"/>
        </w:rPr>
        <w:t xml:space="preserve">Student Leadership Boundary — </w:t>
      </w:r>
      <w:r>
        <w:rPr>
          <w:sz w:val="21"/>
          <w:szCs w:val="21"/>
        </w:rPr>
        <w:t xml:space="preserve">Students practice leadership; they do not replace staff authority. Students do not make final decisions about safety, discipline, grades, accommodations, legal requirements, confidential information, finances, or emergency response (Book Three, Chapter 14).</w:t>
      </w:r>
    </w:p>
    <w:p>
      <w:pPr>
        <w:pStyle w:val="Heading1"/>
        <w:spacing w:after="160" w:before="320"/>
      </w:pPr>
      <w:r>
        <w:rPr>
          <w:color w:val="1F3A5F"/>
        </w:rPr>
        <w:t xml:space="preserve">2. Course Outcomes</w:t>
      </w:r>
    </w:p>
    <w:p>
      <w:pPr>
        <w:spacing w:after="160"/>
      </w:pPr>
      <w:r>
        <w:rPr>
          <w:sz w:val="21"/>
          <w:szCs w:val="21"/>
        </w:rPr>
        <w:t xml:space="preserve">By the end of Kitchen Management, a student who reaches Gateway 5 Completion or Completion with Distinction has demonstrated:</w:t>
      </w:r>
    </w:p>
    <w:p>
      <w:pPr>
        <w:pStyle w:val="ListParagraph"/>
        <w:numPr>
          <w:ilvl w:val="0"/>
          <w:numId w:val="1"/>
        </w:numPr>
        <w:spacing w:after="80"/>
      </w:pPr>
      <w:r>
        <w:rPr>
          <w:sz w:val="21"/>
          <w:szCs w:val="21"/>
        </w:rPr>
        <w:t xml:space="preserve">At least two distinct leadership assignments, including one complete planning-execution-closeout cycle.</w:t>
      </w:r>
    </w:p>
    <w:p>
      <w:pPr>
        <w:pStyle w:val="ListParagraph"/>
        <w:numPr>
          <w:ilvl w:val="0"/>
          <w:numId w:val="1"/>
        </w:numPr>
        <w:spacing w:after="80"/>
      </w:pPr>
      <w:r>
        <w:rPr>
          <w:sz w:val="21"/>
          <w:szCs w:val="21"/>
        </w:rPr>
        <w:t xml:space="preserve">Directly observed delegation, supervision, feedback, and accountability.</w:t>
      </w:r>
    </w:p>
    <w:p>
      <w:pPr>
        <w:pStyle w:val="ListParagraph"/>
        <w:numPr>
          <w:ilvl w:val="0"/>
          <w:numId w:val="1"/>
        </w:numPr>
        <w:spacing w:after="80"/>
      </w:pPr>
      <w:r>
        <w:rPr>
          <w:sz w:val="21"/>
          <w:szCs w:val="21"/>
        </w:rPr>
        <w:t xml:space="preserve">Management of time, resources, quality, safety, and communication in an authentic operational setting.</w:t>
      </w:r>
    </w:p>
    <w:p>
      <w:pPr>
        <w:pStyle w:val="ListParagraph"/>
        <w:numPr>
          <w:ilvl w:val="0"/>
          <w:numId w:val="1"/>
        </w:numPr>
        <w:spacing w:after="80"/>
      </w:pPr>
      <w:r>
        <w:rPr>
          <w:sz w:val="21"/>
          <w:szCs w:val="21"/>
        </w:rPr>
        <w:t xml:space="preserve">Judgment under pressure on at least one authentic operational problem, with a documented response.</w:t>
      </w:r>
    </w:p>
    <w:p>
      <w:pPr>
        <w:pStyle w:val="ListParagraph"/>
        <w:numPr>
          <w:ilvl w:val="0"/>
          <w:numId w:val="1"/>
        </w:numPr>
        <w:spacing w:after="80"/>
      </w:pPr>
      <w:r>
        <w:rPr>
          <w:sz w:val="21"/>
          <w:szCs w:val="21"/>
        </w:rPr>
        <w:t xml:space="preserve">Completed résumé, portfolio preparation, interview evidence, and a transition plan.</w:t>
      </w:r>
    </w:p>
    <w:p>
      <w:pPr>
        <w:pStyle w:val="ListParagraph"/>
        <w:numPr>
          <w:ilvl w:val="0"/>
          <w:numId w:val="1"/>
        </w:numPr>
        <w:spacing w:after="80"/>
      </w:pPr>
      <w:r>
        <w:rPr>
          <w:sz w:val="21"/>
          <w:szCs w:val="21"/>
        </w:rPr>
        <w:t xml:space="preserve">Completion in every Kitchen Management reporting category, with safety and professional conduct never averaged away.</w:t>
      </w:r>
    </w:p>
    <w:p>
      <w:pPr>
        <w:spacing w:after="160"/>
      </w:pPr>
      <w:r>
        <w:rPr>
          <w:sz w:val="21"/>
          <w:szCs w:val="21"/>
        </w:rPr>
        <w:t xml:space="preserve">These are the Required Gateway 5 Evidence items defined in CMP-03-07 (Gateway 1-5 Standards and Rubrics). This scope and sequence maps them to specific units and evidence sources; CMP-03-07 remains the authoritative statement of the standard itself.</w:t>
      </w:r>
    </w:p>
    <w:p>
      <w:pPr>
        <w:pStyle w:val="Heading1"/>
        <w:spacing w:after="160" w:before="320"/>
      </w:pPr>
      <w:r>
        <w:rPr>
          <w:color w:val="1F3A5F"/>
        </w:rPr>
        <w:t xml:space="preserve">3. Assessment Domain Alignment</w:t>
      </w:r>
    </w:p>
    <w:p>
      <w:pPr>
        <w:spacing w:after="160"/>
      </w:pPr>
      <w:r>
        <w:rPr>
          <w:sz w:val="21"/>
          <w:szCs w:val="21"/>
        </w:rPr>
        <w:t xml:space="preserve">Every unit below is organized around the five Gateway 5 assessment domains (CMP-03-07, Book Two Ch.13):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Domain</w:t>
            </w:r>
          </w:p>
        </w:tc>
        <w:tc>
          <w:tcPr>
            <w:tcW w:type="dxa" w:w="6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Completion Standard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Leadership and supervision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Gives clear direction, delegates appropriately, monitors work, coaches respectfully, and holds the team accountable.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Planning and resource management</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Builds a workable plan, establishes priorities, uses time and resources responsibly, and adjusts when conditions change.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Quality, safety, and operations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Protects safety and sanitation, monitors standards, identifies problems, and completes closeout.</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Professional judgment and communication</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Solves problems, communicates under pressure, acts ethically, recognizes limits, and seeks help when needed.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Employment and career readiness</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Presents a professional résumé, prepares portfolio evidence, demonstrates interview readiness, and identifies a realistic transition plan.</w:t>
            </w:r>
          </w:p>
        </w:tc>
      </w:tr>
    </w:tbl>
    <w:p>
      <w:r>
        <w:br w:type="page"/>
      </w:r>
    </w:p>
    <w:p>
      <w:pPr>
        <w:pStyle w:val="Heading1"/>
        <w:spacing w:after="160" w:before="320"/>
      </w:pPr>
      <w:r>
        <w:rPr>
          <w:color w:val="1F3A5F"/>
        </w:rPr>
        <w:t xml:space="preserve">4. Unit Sequence</w:t>
      </w:r>
    </w:p>
    <w:p>
      <w:pPr>
        <w:spacing w:after="160"/>
      </w:pPr>
      <w:r>
        <w:rPr>
          <w:sz w:val="21"/>
          <w:szCs w:val="21"/>
        </w:rPr>
        <w:t xml:space="preserve">Seven units span the Grade 11 year, sequenced to build leadership readiness before students take on Cottage event leadership, and to place career-readiness work in the second half of the year once students have authentic leadership evidence to draw on.</w:t>
      </w:r>
    </w:p>
    <w:p>
      <w:pPr>
        <w:pStyle w:val="Heading2"/>
        <w:spacing w:after="120" w:before="240"/>
      </w:pPr>
      <w:r>
        <w:rPr>
          <w:color w:val="1F3A5F"/>
        </w:rPr>
        <w:t xml:space="preserve">Unit 1 (September) — Foundations of Kitchen Leadership</w:t>
      </w:r>
    </w:p>
    <w:p>
      <w:pPr>
        <w:pStyle w:val="ListParagraph"/>
        <w:numPr>
          <w:ilvl w:val="0"/>
          <w:numId w:val="1"/>
        </w:numPr>
        <w:spacing w:after="80"/>
      </w:pPr>
      <w:r>
        <w:rPr>
          <w:sz w:val="21"/>
          <w:szCs w:val="21"/>
        </w:rPr>
        <w:t xml:space="preserve">Focus: leadership vs. management, professional communication, the Student Leadership Boundary, safety and kitchen-systems reverification required before supervisory responsibility (Book Two Ch.9).</w:t>
      </w:r>
    </w:p>
    <w:p>
      <w:pPr>
        <w:pStyle w:val="ListParagraph"/>
        <w:numPr>
          <w:ilvl w:val="0"/>
          <w:numId w:val="1"/>
        </w:numPr>
        <w:spacing w:after="80"/>
      </w:pPr>
      <w:r>
        <w:rPr>
          <w:sz w:val="21"/>
          <w:szCs w:val="21"/>
        </w:rPr>
        <w:t xml:space="preserve">Primary domain: Leadership and supervision.</w:t>
      </w:r>
    </w:p>
    <w:p>
      <w:pPr>
        <w:pStyle w:val="ListParagraph"/>
        <w:numPr>
          <w:ilvl w:val="0"/>
          <w:numId w:val="1"/>
        </w:numPr>
        <w:spacing w:after="80"/>
      </w:pPr>
      <w:r>
        <w:rPr>
          <w:sz w:val="21"/>
          <w:szCs w:val="21"/>
        </w:rPr>
        <w:t xml:space="preserve">Evidence source: classroom leadership-scenario practice; safety/systems reverification record; initial Leadership Assignment Brief (Student Leadership Handbook, Appendix A).</w:t>
      </w:r>
    </w:p>
    <w:p>
      <w:pPr>
        <w:pStyle w:val="Heading2"/>
        <w:spacing w:after="120" w:before="240"/>
      </w:pPr>
      <w:r>
        <w:rPr>
          <w:color w:val="1F3A5F"/>
        </w:rPr>
        <w:t xml:space="preserve">Unit 2 (October) — Planning and Resource Management</w:t>
      </w:r>
    </w:p>
    <w:p>
      <w:pPr>
        <w:pStyle w:val="ListParagraph"/>
        <w:numPr>
          <w:ilvl w:val="0"/>
          <w:numId w:val="1"/>
        </w:numPr>
        <w:spacing w:after="80"/>
      </w:pPr>
      <w:r>
        <w:rPr>
          <w:sz w:val="21"/>
          <w:szCs w:val="21"/>
        </w:rPr>
        <w:t xml:space="preserve">Focus: building a workable plan; time, ingredient, equipment, and space allocation; contingency planning.</w:t>
      </w:r>
    </w:p>
    <w:p>
      <w:pPr>
        <w:pStyle w:val="ListParagraph"/>
        <w:numPr>
          <w:ilvl w:val="0"/>
          <w:numId w:val="1"/>
        </w:numPr>
        <w:spacing w:after="80"/>
      </w:pPr>
      <w:r>
        <w:rPr>
          <w:sz w:val="21"/>
          <w:szCs w:val="21"/>
        </w:rPr>
        <w:t xml:space="preserve">Primary domain: Planning and resource management.</w:t>
      </w:r>
    </w:p>
    <w:p>
      <w:pPr>
        <w:pStyle w:val="ListParagraph"/>
        <w:numPr>
          <w:ilvl w:val="0"/>
          <w:numId w:val="1"/>
        </w:numPr>
        <w:spacing w:after="80"/>
      </w:pPr>
      <w:r>
        <w:rPr>
          <w:sz w:val="21"/>
          <w:szCs w:val="21"/>
        </w:rPr>
        <w:t xml:space="preserve">Evidence source: Resource Management Plan (Student Leadership Handbook, Appendix B), applied to an upcoming Cottage event from the Event Planning Packet.</w:t>
      </w:r>
    </w:p>
    <w:p>
      <w:pPr>
        <w:pStyle w:val="Heading2"/>
        <w:spacing w:after="120" w:before="240"/>
      </w:pPr>
      <w:r>
        <w:rPr>
          <w:color w:val="1F3A5F"/>
        </w:rPr>
        <w:t xml:space="preserve">Unit 3 (November/December) — First Leadership Assignment: Briefing and Delegation</w:t>
      </w:r>
    </w:p>
    <w:p>
      <w:pPr>
        <w:pStyle w:val="ListParagraph"/>
        <w:numPr>
          <w:ilvl w:val="0"/>
          <w:numId w:val="1"/>
        </w:numPr>
        <w:spacing w:after="80"/>
      </w:pPr>
      <w:r>
        <w:rPr>
          <w:sz w:val="21"/>
          <w:szCs w:val="21"/>
        </w:rPr>
        <w:t xml:space="preserve">Focus: crew briefing, clear direction, task delegation, monitoring progress under direct teacher supervision.</w:t>
      </w:r>
    </w:p>
    <w:p>
      <w:pPr>
        <w:pStyle w:val="ListParagraph"/>
        <w:numPr>
          <w:ilvl w:val="0"/>
          <w:numId w:val="1"/>
        </w:numPr>
        <w:spacing w:after="80"/>
      </w:pPr>
      <w:r>
        <w:rPr>
          <w:sz w:val="21"/>
          <w:szCs w:val="21"/>
        </w:rPr>
        <w:t xml:space="preserve">Primary domain: Leadership and supervision; Professional judgment and communication.</w:t>
      </w:r>
    </w:p>
    <w:p>
      <w:pPr>
        <w:pStyle w:val="ListParagraph"/>
        <w:numPr>
          <w:ilvl w:val="0"/>
          <w:numId w:val="1"/>
        </w:numPr>
        <w:spacing w:after="80"/>
      </w:pPr>
      <w:r>
        <w:rPr>
          <w:sz w:val="21"/>
          <w:szCs w:val="21"/>
        </w:rPr>
        <w:t xml:space="preserve">Evidence source: first of two required leadership assignments, documented in the Kitchen Management Event Leadership Packet (Event Leadership Record).</w:t>
      </w:r>
    </w:p>
    <w:p>
      <w:pPr>
        <w:pStyle w:val="Heading2"/>
        <w:spacing w:after="120" w:before="240"/>
      </w:pPr>
      <w:r>
        <w:rPr>
          <w:color w:val="1F3A5F"/>
        </w:rPr>
        <w:t xml:space="preserve">Unit 4 (January) — Quality, Safety, and Operations</w:t>
      </w:r>
    </w:p>
    <w:p>
      <w:pPr>
        <w:pStyle w:val="ListParagraph"/>
        <w:numPr>
          <w:ilvl w:val="0"/>
          <w:numId w:val="1"/>
        </w:numPr>
        <w:spacing w:after="80"/>
      </w:pPr>
      <w:r>
        <w:rPr>
          <w:sz w:val="21"/>
          <w:szCs w:val="21"/>
        </w:rPr>
        <w:t xml:space="preserve">Focus: monitoring standards during production and service, identifying and correcting problems, leading closeout.</w:t>
      </w:r>
    </w:p>
    <w:p>
      <w:pPr>
        <w:pStyle w:val="ListParagraph"/>
        <w:numPr>
          <w:ilvl w:val="0"/>
          <w:numId w:val="1"/>
        </w:numPr>
        <w:spacing w:after="80"/>
      </w:pPr>
      <w:r>
        <w:rPr>
          <w:sz w:val="21"/>
          <w:szCs w:val="21"/>
        </w:rPr>
        <w:t xml:space="preserve">Primary domain: Quality, safety, and operations.</w:t>
      </w:r>
    </w:p>
    <w:p>
      <w:pPr>
        <w:pStyle w:val="ListParagraph"/>
        <w:numPr>
          <w:ilvl w:val="0"/>
          <w:numId w:val="1"/>
        </w:numPr>
        <w:spacing w:after="80"/>
      </w:pPr>
      <w:r>
        <w:rPr>
          <w:sz w:val="21"/>
          <w:szCs w:val="21"/>
        </w:rPr>
        <w:t xml:space="preserve">Evidence source: quality/closeout leadership function observed and rated using the Kitchen Management Leadership Observation Rubric during a Cottage event.</w:t>
      </w:r>
    </w:p>
    <w:p>
      <w:pPr>
        <w:pStyle w:val="Heading2"/>
        <w:spacing w:after="120" w:before="240"/>
      </w:pPr>
      <w:r>
        <w:rPr>
          <w:color w:val="1F3A5F"/>
        </w:rPr>
        <w:t xml:space="preserve">Unit 5 (February/March) — Second Leadership Assignment: Full Planning-Execution-Closeout Cycle</w:t>
      </w:r>
    </w:p>
    <w:p>
      <w:pPr>
        <w:pStyle w:val="ListParagraph"/>
        <w:numPr>
          <w:ilvl w:val="0"/>
          <w:numId w:val="1"/>
        </w:numPr>
        <w:spacing w:after="80"/>
      </w:pPr>
      <w:r>
        <w:rPr>
          <w:sz w:val="21"/>
          <w:szCs w:val="21"/>
        </w:rPr>
        <w:t xml:space="preserve">Focus: complete leadership cycle on a single Cottage event — planning, briefing, delegation, coaching, resource management, and closeout, all under direct teacher supervision.</w:t>
      </w:r>
    </w:p>
    <w:p>
      <w:pPr>
        <w:pStyle w:val="ListParagraph"/>
        <w:numPr>
          <w:ilvl w:val="0"/>
          <w:numId w:val="1"/>
        </w:numPr>
        <w:spacing w:after="80"/>
      </w:pPr>
      <w:r>
        <w:rPr>
          <w:sz w:val="21"/>
          <w:szCs w:val="21"/>
        </w:rPr>
        <w:t xml:space="preserve">Primary domain: all five domains; this is the required "one complete planning-execution-closeout cycle" evidence item.</w:t>
      </w:r>
    </w:p>
    <w:p>
      <w:pPr>
        <w:pStyle w:val="ListParagraph"/>
        <w:numPr>
          <w:ilvl w:val="0"/>
          <w:numId w:val="1"/>
        </w:numPr>
        <w:spacing w:after="80"/>
      </w:pPr>
      <w:r>
        <w:rPr>
          <w:sz w:val="21"/>
          <w:szCs w:val="21"/>
        </w:rPr>
        <w:t xml:space="preserve">Evidence source: Kitchen Management Event Leadership Packet (Event Leadership Record and Post-Event Leadership Debrief), Leadership Observation Rubric.</w:t>
      </w:r>
    </w:p>
    <w:p>
      <w:pPr>
        <w:pStyle w:val="Heading2"/>
        <w:spacing w:after="120" w:before="240"/>
      </w:pPr>
      <w:r>
        <w:rPr>
          <w:color w:val="1F3A5F"/>
        </w:rPr>
        <w:t xml:space="preserve">Unit 6 (April) — Judgment Under Pressure</w:t>
      </w:r>
    </w:p>
    <w:p>
      <w:pPr>
        <w:pStyle w:val="ListParagraph"/>
        <w:numPr>
          <w:ilvl w:val="0"/>
          <w:numId w:val="1"/>
        </w:numPr>
        <w:spacing w:after="80"/>
      </w:pPr>
      <w:r>
        <w:rPr>
          <w:sz w:val="21"/>
          <w:szCs w:val="21"/>
        </w:rPr>
        <w:t xml:space="preserve">Focus: identifying and responding to an authentic operational problem (equipment failure, supply shortfall, schedule conflict, client change) in real time.</w:t>
      </w:r>
    </w:p>
    <w:p>
      <w:pPr>
        <w:pStyle w:val="ListParagraph"/>
        <w:numPr>
          <w:ilvl w:val="0"/>
          <w:numId w:val="1"/>
        </w:numPr>
        <w:spacing w:after="80"/>
      </w:pPr>
      <w:r>
        <w:rPr>
          <w:sz w:val="21"/>
          <w:szCs w:val="21"/>
        </w:rPr>
        <w:t xml:space="preserve">Primary domain: Professional judgment and communication.</w:t>
      </w:r>
    </w:p>
    <w:p>
      <w:pPr>
        <w:pStyle w:val="ListParagraph"/>
        <w:numPr>
          <w:ilvl w:val="0"/>
          <w:numId w:val="1"/>
        </w:numPr>
        <w:spacing w:after="80"/>
      </w:pPr>
      <w:r>
        <w:rPr>
          <w:sz w:val="21"/>
          <w:szCs w:val="21"/>
        </w:rPr>
        <w:t xml:space="preserve">Evidence source: documented incident and response captured in the Event Leadership Record or Post-Event Leadership Debrief; teacher observation notes.</w:t>
      </w:r>
    </w:p>
    <w:p>
      <w:pPr>
        <w:pStyle w:val="Heading2"/>
        <w:spacing w:after="120" w:before="240"/>
      </w:pPr>
      <w:r>
        <w:rPr>
          <w:color w:val="1F3A5F"/>
        </w:rPr>
        <w:t xml:space="preserve">Unit 7 (May/June) — Employment and Career Readiness; Gateway 5 Decision</w:t>
      </w:r>
    </w:p>
    <w:p>
      <w:pPr>
        <w:pStyle w:val="ListParagraph"/>
        <w:numPr>
          <w:ilvl w:val="0"/>
          <w:numId w:val="1"/>
        </w:numPr>
        <w:spacing w:after="80"/>
      </w:pPr>
      <w:r>
        <w:rPr>
          <w:sz w:val="21"/>
          <w:szCs w:val="21"/>
        </w:rPr>
        <w:t xml:space="preserve">Focus: résumé, portfolio assembly, interview practice, employer research, professional communication, transition plan.</w:t>
      </w:r>
    </w:p>
    <w:p>
      <w:pPr>
        <w:pStyle w:val="ListParagraph"/>
        <w:numPr>
          <w:ilvl w:val="0"/>
          <w:numId w:val="1"/>
        </w:numPr>
        <w:spacing w:after="80"/>
      </w:pPr>
      <w:r>
        <w:rPr>
          <w:sz w:val="21"/>
          <w:szCs w:val="21"/>
        </w:rPr>
        <w:t xml:space="preserve">Primary domain: Employment and career readiness.</w:t>
      </w:r>
    </w:p>
    <w:p>
      <w:pPr>
        <w:pStyle w:val="ListParagraph"/>
        <w:numPr>
          <w:ilvl w:val="0"/>
          <w:numId w:val="1"/>
        </w:numPr>
        <w:spacing w:after="80"/>
      </w:pPr>
      <w:r>
        <w:rPr>
          <w:sz w:val="21"/>
          <w:szCs w:val="21"/>
        </w:rPr>
        <w:t xml:space="preserve">Evidence source: Career Readiness Completion Checklist (KM-10); credential/recognition review per the Credential and Recognition Crosswalk (CUR-07); final Gateway 5 decision entered in the Culinary Passport.</w:t>
      </w:r>
    </w:p>
    <w:p>
      <w:pPr>
        <w:pStyle w:val="Heading1"/>
        <w:spacing w:after="160" w:before="320"/>
      </w:pPr>
      <w:r>
        <w:rPr>
          <w:color w:val="1F3A5F"/>
        </w:rPr>
        <w:t xml:space="preserve">5. Gateway 5 and Culinary Passport Cross-Reference</w:t>
      </w:r>
    </w:p>
    <w:p>
      <w:pPr>
        <w:spacing w:after="160"/>
      </w:pPr>
      <w:r>
        <w:rPr>
          <w:sz w:val="21"/>
          <w:szCs w:val="21"/>
        </w:rPr>
        <w:t xml:space="preserve">Gateway 5 evidence generated throughout this course does not create a separate KM-09 evidence file. It is recorded directly in the Culinary Passport (CMP-02) Evidence Log and Gateway Status (1-6) tabs by the Kitchen Management teacher, following the same cross-reference procedure described in the Kitchen Management Student Leadership Handbook, Section 7.</w:t>
      </w:r>
    </w:p>
    <w:p>
      <w:pPr>
        <w:spacing w:after="160"/>
      </w:pPr>
      <w:r>
        <w:rPr>
          <w:sz w:val="21"/>
          <w:szCs w:val="21"/>
        </w:rPr>
        <w:t xml:space="preserve">Completion of Gateway 5 earns External WBL Educational Readiness. Student-facing terminology: Travel Rights. Gateway 5 confirms educational readiness only — it does not guarantee a specific employer, schedule, transportation arrangement, support plan, or placement (CMP-03-07).</w:t>
      </w:r>
    </w:p>
    <w:p>
      <w:pPr>
        <w:pStyle w:val="Heading1"/>
        <w:spacing w:after="160" w:before="320"/>
      </w:pPr>
      <w:r>
        <w:rPr>
          <w:color w:val="1F3A5F"/>
        </w:rPr>
        <w:t xml:space="preserve">6. Status Note</w:t>
      </w:r>
    </w:p>
    <w:p>
      <w:pPr>
        <w:spacing w:after="160"/>
      </w:pPr>
      <w:r>
        <w:rPr>
          <w:sz w:val="21"/>
          <w:szCs w:val="21"/>
        </w:rPr>
        <w:t xml:space="preserve">This scope and sequence is Approved for Planning Use and does not depend on authorization of the Senior External Work-Based Learning course. Once this document exists, CMP-03-07's Gateway 5 rubric should be revised to add the same unit-by-unit evidence-source citations used for Gateways 1-4 — that revision is a Work Package 3 follow-up action, flagged here rather than performed by this document, since CMP-03-07 belongs to Work Package 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Kitchen Management Scope and Sequence</dc:title>
  <dc:creator>Kevin McCann</dc:creator>
  <cp:lastModifiedBy>Un-named</cp:lastModifiedBy>
  <cp:revision>1</cp:revision>
  <dcterms:created xsi:type="dcterms:W3CDTF">2026-07-13T01:46:31.666Z</dcterms:created>
  <dcterms:modified xsi:type="dcterms:W3CDTF">2026-07-13T01:46:31.668Z</dcterms:modified>
</cp:coreProperties>
</file>

<file path=docProps/custom.xml><?xml version="1.0" encoding="utf-8"?>
<Properties xmlns="http://schemas.openxmlformats.org/officeDocument/2006/custom-properties" xmlns:vt="http://schemas.openxmlformats.org/officeDocument/2006/docPropsVTypes"/>
</file>