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Assessment Document</w:t>
      </w:r>
    </w:p>
    <w:p>
      <w:pPr>
        <w:spacing w:after="120"/>
      </w:pPr>
      <w:r>
        <w:rPr>
          <w:b/>
          <w:bCs/>
          <w:color w:val="1F3A5F"/>
          <w:sz w:val="52"/>
          <w:szCs w:val="52"/>
        </w:rPr>
        <w:t xml:space="preserve">Gateway 1-5 Performance Standards and Rubrics</w:t>
      </w:r>
    </w:p>
    <w:p>
      <w:pPr>
        <w:spacing w:after="400"/>
      </w:pPr>
      <w:r>
        <w:rPr>
          <w:i/>
          <w:iCs/>
          <w:color w:val="666666"/>
          <w:sz w:val="26"/>
          <w:szCs w:val="26"/>
        </w:rPr>
        <w:t xml:space="preserve">One standard per Gateway, in sequence — the criteria every teacher uses to verify the same competency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CMP-03 / CMP-04 / CMP-05 / CMP-06 / CMP-07 (combined per WP2A/WP3 Reconciliation Memo)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Gateway 1-5 Performance Standards and Rubrics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Teachers, Kitchen Management Teacher (future), Pathway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the performance standard, completion levels, and evidence requirements for each of Gateways 1 through 5, so every teacher verifies the same competency the same way.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Teachers / Pathway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1.1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document; not adopted district policy — 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 — Staff evaluation reference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Pathway Canon v3.0 (Six Gateway Model, Completion Levels); Book Two Ch.4, Ch.7, Ch.8, Ch.9, Ch.11, Ch.12, Ch.13, Appendix A, Appendix B</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Canon or Gateway revision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None — first issue | v1.0 (2026-07-12) superseded same day: Gateway 5 stale CUR-03 note corrected per Kevin McCann QC pass, 2026-07-12.</w:t>
            </w:r>
          </w:p>
        </w:tc>
      </w:tr>
    </w:tbl>
    <w:p>
      <w:pPr>
        <w:pBdr>
          <w:top w:val="single" w:color="B08D57" w:sz="6" w:space="8"/>
        </w:pBdr>
        <w:spacing w:after="0" w:before="400"/>
      </w:pPr>
      <w:r>
        <w:rPr>
          <w:i/>
          <w:iCs/>
          <w:color w:val="666666"/>
          <w:sz w:val="20"/>
          <w:szCs w:val="20"/>
        </w:rPr>
        <w:t xml:space="preserve">Provide clear direction. Inspect what you expect. Prepare students. Verify competence. Increase responsibility.</w:t>
      </w:r>
    </w:p>
    <w:p>
      <w:r>
        <w:br w:type="page"/>
      </w:r>
    </w:p>
    <w:p>
      <w:pPr>
        <w:pStyle w:val="Heading1"/>
        <w:spacing w:after="160" w:before="320"/>
      </w:pPr>
      <w:r>
        <w:rPr>
          <w:color w:val="1F3A5F"/>
        </w:rPr>
        <w:t xml:space="preserve">How to Use This Document</w:t>
      </w:r>
    </w:p>
    <w:p>
      <w:pPr>
        <w:spacing w:after="160"/>
      </w:pPr>
      <w:r>
        <w:rPr>
          <w:sz w:val="21"/>
          <w:szCs w:val="21"/>
        </w:rPr>
        <w:t xml:space="preserve">This document combines Register items CMP-03 through CMP-07 into one file with five clearly labeled sections, one per Gateway, per the WP2A/WP3 Production Reconciliation Memo: all five share the same approval status and the same audience (teachers), and are reviewed as a set. Combining them avoids five near-identical cover pages and keeps the progression visibly sequential.</w:t>
      </w:r>
    </w:p>
    <w:p>
      <w:pPr>
        <w:spacing w:after="160"/>
      </w:pPr>
      <w:r>
        <w:rPr>
          <w:sz w:val="21"/>
          <w:szCs w:val="21"/>
        </w:rPr>
        <w:t xml:space="preserve">Every Gateway decision uses the Canon's three completion levels, not a percentage average across unrelated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00"/>
        <w:gridCol w:w="404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Completion Level</w:t>
            </w:r>
          </w:p>
        </w:tc>
        <w:tc>
          <w:tcPr>
            <w:tcW w:type="dxa" w:w="5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Meaning</w:t>
            </w:r>
          </w:p>
        </w:tc>
        <w:tc>
          <w:tcPr>
            <w:tcW w:type="dxa" w:w="404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Response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Completion with Distinction</w:t>
            </w:r>
          </w:p>
        </w:tc>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The body of evidence consistently exceeds pathway expectations, with no critical standard below Completion.</w:t>
            </w:r>
          </w:p>
        </w:tc>
        <w:tc>
          <w:tcPr>
            <w:tcW w:type="dxa" w:w="4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Record the completed Gateway and preserve evidence supporting the distinction.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Completion</w:t>
            </w:r>
          </w:p>
        </w:tc>
        <w:tc>
          <w:tcPr>
            <w:tcW w:type="dxa" w:w="5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The body of evidence meets pathway expectations, including every critical standard.</w:t>
            </w:r>
          </w:p>
        </w:tc>
        <w:tc>
          <w:tcPr>
            <w:tcW w:type="dxa" w:w="4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Record the completed Gateway and identify the next stage or transition.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Not Yet Completed</w:t>
            </w:r>
          </w:p>
        </w:tc>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The required competency has not yet been demonstrated or essential evidence is incomplete.</w:t>
            </w:r>
          </w:p>
        </w:tc>
        <w:tc>
          <w:tcPr>
            <w:tcW w:type="dxa" w:w="4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Identify the unmet criterion, provide instruction and practice, and establish an appropriate reassessment path.</w:t>
            </w:r>
          </w:p>
        </w:tc>
      </w:tr>
    </w:tbl>
    <w:p>
      <w:pPr>
        <w:spacing w:after="160"/>
      </w:pPr>
      <w:r>
        <w:rPr>
          <w:sz w:val="21"/>
          <w:szCs w:val="21"/>
        </w:rPr>
        <w:t xml:space="preserve"/>
      </w:r>
    </w:p>
    <w:p>
      <w:pPr>
        <w:spacing w:after="160"/>
      </w:pPr>
      <w:r>
        <w:rPr>
          <w:sz w:val="21"/>
          <w:szCs w:val="21"/>
        </w:rPr>
        <w:t xml:space="preserve">Critical Threshold Rule (Book Two Ch.4): Safety, required hours, required portfolio completion, required final presentation, and other Canon-defined completion conditions cannot be averaged away by strength in another category. A Gateway decision may draw from more than one task, unit, course, or authentic experience. The authorized teacher verifies Gateways 1 through 5; the credentialed Work-Based Learning Coordinator determines the final External Work-Based Learning evaluation and Gateway 6 (covered separately in the Gateway 6 conditional planning draft, CMP-08).</w:t>
      </w:r>
    </w:p>
    <w:p>
      <w:pPr>
        <w:spacing w:after="160"/>
      </w:pPr>
      <w:r>
        <w:rPr>
          <w:sz w:val="21"/>
          <w:szCs w:val="21"/>
        </w:rPr>
        <w:t xml:space="preserve">Reassessment: students may reassess after feedback, reflection, additional practice, or remediation. Immediate retesting is not permitted — an equivalent assessment measuring the same competency through a fresh but comparable task must be used, and the new evidence is recorded without erasing the history of support and growth (Book Two Ch.9).</w:t>
      </w:r>
    </w:p>
    <w:p>
      <w:pPr>
        <w:pStyle w:val="Heading1"/>
        <w:spacing w:after="160" w:before="320"/>
      </w:pPr>
      <w:r>
        <w:rPr>
          <w:color w:val="1F3A5F"/>
        </w:rPr>
        <w:t xml:space="preserve">Gateway 1 — Cleared for Supervised Kitchen Participation</w:t>
      </w:r>
    </w:p>
    <w:p>
      <w:pPr>
        <w:spacing w:after="160"/>
      </w:pPr>
      <w:r>
        <w:rPr>
          <w:b/>
          <w:bCs/>
          <w:sz w:val="21"/>
          <w:szCs w:val="21"/>
        </w:rPr>
        <w:t xml:space="preserve">Earned through: Culinary 1</w:t>
      </w:r>
    </w:p>
    <w:p>
      <w:pPr>
        <w:spacing w:after="160"/>
      </w:pPr>
      <w:r>
        <w:rPr>
          <w:b/>
          <w:bCs/>
          <w:sz w:val="21"/>
          <w:szCs w:val="21"/>
        </w:rPr>
        <w:t xml:space="preserve">Verified by: Culinary 1 teacher</w:t>
      </w:r>
    </w:p>
    <w:p>
      <w:pPr>
        <w:spacing w:after="160"/>
      </w:pPr>
      <w:r>
        <w:rPr>
          <w:sz w:val="21"/>
          <w:szCs w:val="21"/>
        </w:rPr>
        <w:t xml:space="preserve">Official meaning: the student has demonstrated the safety, sanitation, and professional-expectations competencies required before participating in supervised kitchen instruction under established controls.</w:t>
      </w:r>
    </w:p>
    <w:p>
      <w:pPr>
        <w:pStyle w:val="Heading2"/>
        <w:spacing w:after="120" w:before="240"/>
      </w:pPr>
      <w:r>
        <w:rPr>
          <w:color w:val="1F3A5F"/>
        </w:rPr>
        <w:t xml:space="preserve">Competency Focus</w:t>
      </w:r>
    </w:p>
    <w:p>
      <w:pPr>
        <w:pStyle w:val="ListParagraph"/>
        <w:numPr>
          <w:ilvl w:val="0"/>
          <w:numId w:val="1"/>
        </w:numPr>
        <w:spacing w:after="80"/>
      </w:pPr>
      <w:r>
        <w:rPr>
          <w:sz w:val="21"/>
          <w:szCs w:val="21"/>
        </w:rPr>
        <w:t xml:space="preserve">Safety</w:t>
      </w:r>
    </w:p>
    <w:p>
      <w:pPr>
        <w:pStyle w:val="ListParagraph"/>
        <w:numPr>
          <w:ilvl w:val="0"/>
          <w:numId w:val="1"/>
        </w:numPr>
        <w:spacing w:after="80"/>
      </w:pPr>
      <w:r>
        <w:rPr>
          <w:sz w:val="21"/>
          <w:szCs w:val="21"/>
        </w:rPr>
        <w:t xml:space="preserve">Sanitation</w:t>
      </w:r>
    </w:p>
    <w:p>
      <w:pPr>
        <w:pStyle w:val="ListParagraph"/>
        <w:numPr>
          <w:ilvl w:val="0"/>
          <w:numId w:val="1"/>
        </w:numPr>
        <w:spacing w:after="80"/>
      </w:pPr>
      <w:r>
        <w:rPr>
          <w:sz w:val="21"/>
          <w:szCs w:val="21"/>
        </w:rPr>
        <w:t xml:space="preserve">Food safety</w:t>
      </w:r>
    </w:p>
    <w:p>
      <w:pPr>
        <w:pStyle w:val="ListParagraph"/>
        <w:numPr>
          <w:ilvl w:val="0"/>
          <w:numId w:val="1"/>
        </w:numPr>
        <w:spacing w:after="80"/>
      </w:pPr>
      <w:r>
        <w:rPr>
          <w:sz w:val="21"/>
          <w:szCs w:val="21"/>
        </w:rPr>
        <w:t xml:space="preserve">Personal hygiene</w:t>
      </w:r>
    </w:p>
    <w:p>
      <w:pPr>
        <w:pStyle w:val="ListParagraph"/>
        <w:numPr>
          <w:ilvl w:val="0"/>
          <w:numId w:val="1"/>
        </w:numPr>
        <w:spacing w:after="80"/>
      </w:pPr>
      <w:r>
        <w:rPr>
          <w:sz w:val="21"/>
          <w:szCs w:val="21"/>
        </w:rPr>
        <w:t xml:space="preserve">Emergency procedures</w:t>
      </w:r>
    </w:p>
    <w:p>
      <w:pPr>
        <w:pStyle w:val="ListParagraph"/>
        <w:numPr>
          <w:ilvl w:val="0"/>
          <w:numId w:val="1"/>
        </w:numPr>
        <w:spacing w:after="80"/>
      </w:pPr>
      <w:r>
        <w:rPr>
          <w:sz w:val="21"/>
          <w:szCs w:val="21"/>
        </w:rPr>
        <w:t xml:space="preserve">Basic equipment safety</w:t>
      </w:r>
    </w:p>
    <w:p>
      <w:pPr>
        <w:pStyle w:val="ListParagraph"/>
        <w:numPr>
          <w:ilvl w:val="0"/>
          <w:numId w:val="1"/>
        </w:numPr>
        <w:spacing w:after="80"/>
      </w:pPr>
      <w:r>
        <w:rPr>
          <w:sz w:val="21"/>
          <w:szCs w:val="21"/>
        </w:rPr>
        <w:t xml:space="preserve">Professional expectations</w:t>
      </w:r>
    </w:p>
    <w:p>
      <w:pPr>
        <w:pStyle w:val="Heading2"/>
        <w:spacing w:after="120" w:before="240"/>
      </w:pPr>
      <w:r>
        <w:rPr>
          <w:color w:val="1F3A5F"/>
        </w:rPr>
        <w:t xml:space="preserve">Required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940"/>
      </w:tblGrid>
      <w:tr>
        <w:trPr>
          <w:tblHeader/>
        </w:trPr>
        <w:tc>
          <w:tcPr>
            <w:tcW w:type="dxa" w:w="3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Domain</w:t>
            </w:r>
          </w:p>
        </w:tc>
        <w:tc>
          <w:tcPr>
            <w:tcW w:type="dxa" w:w="894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Evidence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Knowledge checks</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Direct demonstration and knowledge-check evidence covering safety, sanitation, hygiene, emergency response, allergen awareness, and basic equipment practice (Book Two Ch.11).</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Direct observation</w:t>
            </w:r>
          </w:p>
        </w:tc>
        <w:tc>
          <w:tcPr>
            <w:tcW w:type="dxa" w:w="89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Every critical safety criterion demonstrated before supervised kitchen participation begins — this is a critical threshold and cannot be averaged away by strong performance elsewhere (Book Two Ch.4, Ch.11).</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Course evidence source</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Culinary 1, Unit 1, Weeks 1-3 (Overview of Kitchen Safety &amp; Hygiene; Personal Hygiene and Workplace Behavior; Food Flow &amp; Temperature Control; Preventing Contamination &amp; Safe Storage; Knife Identification &amp; Safety; Kitchen Tools, Measuring &amp; Mise en Place) — see CUR-01/02 Course Alignment Memo.</w:t>
            </w:r>
          </w:p>
        </w:tc>
      </w:tr>
    </w:tbl>
    <w:p>
      <w:pPr>
        <w:pStyle w:val="Heading2"/>
        <w:spacing w:after="120" w:before="240"/>
      </w:pPr>
      <w:r>
        <w:rPr>
          <w:color w:val="1F3A5F"/>
        </w:rPr>
        <w:t xml:space="preserve">External Alignment</w:t>
      </w:r>
    </w:p>
    <w:p>
      <w:pPr>
        <w:spacing w:after="160"/>
      </w:pPr>
      <w:r>
        <w:rPr>
          <w:sz w:val="21"/>
          <w:szCs w:val="21"/>
        </w:rPr>
        <w:t xml:space="preserve">YouScience: Service Equipment; Sanitation &amp; Food Safety. ProStart: Keeping Food Safe; Workplace Safety; Kitchen Essentials. CDOS: Safety, Appearance, Ethical/Legal, Foundation (Book Two Appendix B).</w:t>
      </w:r>
    </w:p>
    <w:p>
      <w:pPr>
        <w:pStyle w:val="Heading2"/>
        <w:spacing w:after="120" w:before="240"/>
      </w:pPr>
      <w:r>
        <w:rPr>
          <w:color w:val="1F3A5F"/>
        </w:rPr>
        <w:t xml:space="preserve">Decision Standard</w:t>
      </w:r>
    </w:p>
    <w:p>
      <w:pPr>
        <w:spacing w:after="160"/>
      </w:pPr>
      <w:r>
        <w:rPr>
          <w:sz w:val="21"/>
          <w:szCs w:val="21"/>
        </w:rPr>
        <w:t xml:space="preserve">Every critical safety criterion is demonstrated before supervised kitchen participation. A student may complete Culinary 1 for course-credit purposes under district grading rules while a specific Gateway 1 competency remains Not Yet Completed — course grade and Passport status remain separate records (Book Two Ch.11).</w:t>
      </w:r>
    </w:p>
    <w:p>
      <w:pPr>
        <w:pStyle w:val="Heading2"/>
        <w:spacing w:after="120" w:before="240"/>
      </w:pPr>
      <w:r>
        <w:rPr>
          <w:color w:val="1F3A5F"/>
        </w:rPr>
        <w:t xml:space="preserve">Reverification Trigger</w:t>
      </w:r>
    </w:p>
    <w:p>
      <w:pPr>
        <w:spacing w:after="160"/>
      </w:pPr>
      <w:r>
        <w:rPr>
          <w:sz w:val="21"/>
          <w:szCs w:val="21"/>
        </w:rPr>
        <w:t xml:space="preserve">After a significant safety incident, extended absence, or other condition that creates a reasonable question about current readiness; before any new high-risk duty or unfamiliar equipment set (Book Two Ch.9).</w:t>
      </w:r>
    </w:p>
    <w:p>
      <w:pPr>
        <w:pStyle w:val="Heading2"/>
        <w:spacing w:after="120" w:before="240"/>
      </w:pPr>
      <w:r>
        <w:rPr>
          <w:color w:val="1F3A5F"/>
        </w:rPr>
        <w:t xml:space="preserve">Not Yet Completed — Required Response</w:t>
      </w:r>
    </w:p>
    <w:p>
      <w:pPr>
        <w:spacing w:after="160"/>
      </w:pPr>
      <w:r>
        <w:rPr>
          <w:sz w:val="21"/>
          <w:szCs w:val="21"/>
        </w:rPr>
        <w:t xml:space="preserve">Identify the specific unmet safety criterion, provide feedback and require reflection on the gap, provide additional instruction/modeling/guided practice, allow adequate time before reassessment (immediate retesting is not permitted), and use an equivalent assessment measuring the same competency.</w:t>
      </w:r>
    </w:p>
    <w:p>
      <w:pPr>
        <w:pStyle w:val="Heading1"/>
        <w:spacing w:after="160" w:before="320"/>
      </w:pPr>
      <w:r>
        <w:rPr>
          <w:color w:val="1F3A5F"/>
        </w:rPr>
        <w:t xml:space="preserve">Gateway 2 — Demonstrated Kitchen-Work Readiness</w:t>
      </w:r>
    </w:p>
    <w:p>
      <w:pPr>
        <w:spacing w:after="160"/>
      </w:pPr>
      <w:r>
        <w:rPr>
          <w:b/>
          <w:bCs/>
          <w:sz w:val="21"/>
          <w:szCs w:val="21"/>
        </w:rPr>
        <w:t xml:space="preserve">Earned through: Culinary 1 and Culinary 2</w:t>
      </w:r>
    </w:p>
    <w:p>
      <w:pPr>
        <w:spacing w:after="160"/>
      </w:pPr>
      <w:r>
        <w:rPr>
          <w:b/>
          <w:bCs/>
          <w:sz w:val="21"/>
          <w:szCs w:val="21"/>
        </w:rPr>
        <w:t xml:space="preserve">Verified by: Culinary 1-2 teacher</w:t>
      </w:r>
    </w:p>
    <w:p>
      <w:pPr>
        <w:spacing w:after="160"/>
      </w:pPr>
      <w:r>
        <w:rPr>
          <w:sz w:val="21"/>
          <w:szCs w:val="21"/>
        </w:rPr>
        <w:t xml:space="preserve">Official meaning: the student functions dependably within established kitchen routines across more than one task, ready for sustained kitchen work and integrated lab responsibility.</w:t>
      </w:r>
    </w:p>
    <w:p>
      <w:pPr>
        <w:pStyle w:val="Heading2"/>
        <w:spacing w:after="120" w:before="240"/>
      </w:pPr>
      <w:r>
        <w:rPr>
          <w:color w:val="1F3A5F"/>
        </w:rPr>
        <w:t xml:space="preserve">Competency Focus</w:t>
      </w:r>
    </w:p>
    <w:p>
      <w:pPr>
        <w:pStyle w:val="ListParagraph"/>
        <w:numPr>
          <w:ilvl w:val="0"/>
          <w:numId w:val="1"/>
        </w:numPr>
        <w:spacing w:after="80"/>
      </w:pPr>
      <w:r>
        <w:rPr>
          <w:sz w:val="21"/>
          <w:szCs w:val="21"/>
        </w:rPr>
        <w:t xml:space="preserve">Mise en place</w:t>
      </w:r>
    </w:p>
    <w:p>
      <w:pPr>
        <w:pStyle w:val="ListParagraph"/>
        <w:numPr>
          <w:ilvl w:val="0"/>
          <w:numId w:val="1"/>
        </w:numPr>
        <w:spacing w:after="80"/>
      </w:pPr>
      <w:r>
        <w:rPr>
          <w:sz w:val="21"/>
          <w:szCs w:val="21"/>
        </w:rPr>
        <w:t xml:space="preserve">Station organization</w:t>
      </w:r>
    </w:p>
    <w:p>
      <w:pPr>
        <w:pStyle w:val="ListParagraph"/>
        <w:numPr>
          <w:ilvl w:val="0"/>
          <w:numId w:val="1"/>
        </w:numPr>
        <w:spacing w:after="80"/>
      </w:pPr>
      <w:r>
        <w:rPr>
          <w:sz w:val="21"/>
          <w:szCs w:val="21"/>
        </w:rPr>
        <w:t xml:space="preserve">Recipe interpretation</w:t>
      </w:r>
    </w:p>
    <w:p>
      <w:pPr>
        <w:pStyle w:val="ListParagraph"/>
        <w:numPr>
          <w:ilvl w:val="0"/>
          <w:numId w:val="1"/>
        </w:numPr>
        <w:spacing w:after="80"/>
      </w:pPr>
      <w:r>
        <w:rPr>
          <w:sz w:val="21"/>
          <w:szCs w:val="21"/>
        </w:rPr>
        <w:t xml:space="preserve">Measuring and scaling</w:t>
      </w:r>
    </w:p>
    <w:p>
      <w:pPr>
        <w:pStyle w:val="ListParagraph"/>
        <w:numPr>
          <w:ilvl w:val="0"/>
          <w:numId w:val="1"/>
        </w:numPr>
        <w:spacing w:after="80"/>
      </w:pPr>
      <w:r>
        <w:rPr>
          <w:sz w:val="21"/>
          <w:szCs w:val="21"/>
        </w:rPr>
        <w:t xml:space="preserve">Knife skills</w:t>
      </w:r>
    </w:p>
    <w:p>
      <w:pPr>
        <w:pStyle w:val="ListParagraph"/>
        <w:numPr>
          <w:ilvl w:val="0"/>
          <w:numId w:val="1"/>
        </w:numPr>
        <w:spacing w:after="80"/>
      </w:pPr>
      <w:r>
        <w:rPr>
          <w:sz w:val="21"/>
          <w:szCs w:val="21"/>
        </w:rPr>
        <w:t xml:space="preserve">Time management</w:t>
      </w:r>
    </w:p>
    <w:p>
      <w:pPr>
        <w:pStyle w:val="ListParagraph"/>
        <w:numPr>
          <w:ilvl w:val="0"/>
          <w:numId w:val="1"/>
        </w:numPr>
        <w:spacing w:after="80"/>
      </w:pPr>
      <w:r>
        <w:rPr>
          <w:sz w:val="21"/>
          <w:szCs w:val="21"/>
        </w:rPr>
        <w:t xml:space="preserve">Team communication</w:t>
      </w:r>
    </w:p>
    <w:p>
      <w:pPr>
        <w:pStyle w:val="ListParagraph"/>
        <w:numPr>
          <w:ilvl w:val="0"/>
          <w:numId w:val="1"/>
        </w:numPr>
        <w:spacing w:after="80"/>
      </w:pPr>
      <w:r>
        <w:rPr>
          <w:sz w:val="21"/>
          <w:szCs w:val="21"/>
        </w:rPr>
        <w:t xml:space="preserve">Kitchen systems</w:t>
      </w:r>
    </w:p>
    <w:p>
      <w:pPr>
        <w:pStyle w:val="ListParagraph"/>
        <w:numPr>
          <w:ilvl w:val="0"/>
          <w:numId w:val="1"/>
        </w:numPr>
        <w:spacing w:after="80"/>
      </w:pPr>
      <w:r>
        <w:rPr>
          <w:sz w:val="21"/>
          <w:szCs w:val="21"/>
        </w:rPr>
        <w:t xml:space="preserve">Cleanup and closing procedures</w:t>
      </w:r>
    </w:p>
    <w:p>
      <w:pPr>
        <w:pStyle w:val="Heading2"/>
        <w:spacing w:after="120" w:before="240"/>
      </w:pPr>
      <w:r>
        <w:rPr>
          <w:color w:val="1F3A5F"/>
        </w:rPr>
        <w:t xml:space="preserve">Required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940"/>
      </w:tblGrid>
      <w:tr>
        <w:trPr>
          <w:tblHeader/>
        </w:trPr>
        <w:tc>
          <w:tcPr>
            <w:tcW w:type="dxa" w:w="3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Domain</w:t>
            </w:r>
          </w:p>
        </w:tc>
        <w:tc>
          <w:tcPr>
            <w:tcW w:type="dxa" w:w="894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Evidence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Repeated lab evidence</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Repeated lab and station evidence showing mise en place, recipe use, measuring, knife skills, time management, communication, kitchen systems, cleanup, and closing (Book Two Ch.11).</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Multi-task demonstration</w:t>
            </w:r>
          </w:p>
        </w:tc>
        <w:tc>
          <w:tcPr>
            <w:tcW w:type="dxa" w:w="89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The student functions dependably within established kitchen routines across more than one task — a single strong lab is not sufficient evidence by itself.</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Course evidence source</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Culinary 1-2, every 3-day lab cycle (Day 1 recipe/technique, Day 2 mise en place, Day 3 execution and evaluation), across Units 2-8 — see CUR-01/02 Course Alignment Memo.</w:t>
            </w:r>
          </w:p>
        </w:tc>
      </w:tr>
    </w:tbl>
    <w:p>
      <w:pPr>
        <w:pStyle w:val="Heading2"/>
        <w:spacing w:after="120" w:before="240"/>
      </w:pPr>
      <w:r>
        <w:rPr>
          <w:color w:val="1F3A5F"/>
        </w:rPr>
        <w:t xml:space="preserve">External Alignment</w:t>
      </w:r>
    </w:p>
    <w:p>
      <w:pPr>
        <w:spacing w:after="160"/>
      </w:pPr>
      <w:r>
        <w:rPr>
          <w:sz w:val="21"/>
          <w:szCs w:val="21"/>
        </w:rPr>
        <w:t xml:space="preserve">YouScience: Service Equipment; Math Concepts. ProStart: Kitchen Essentials 1-2; Communication. CDOS: Attendance, Punctuality, Quality, Resource Management, Communication, Interpersonal Dynamics (Book Two Appendix B).</w:t>
      </w:r>
    </w:p>
    <w:p>
      <w:pPr>
        <w:pStyle w:val="Heading2"/>
        <w:spacing w:after="120" w:before="240"/>
      </w:pPr>
      <w:r>
        <w:rPr>
          <w:color w:val="1F3A5F"/>
        </w:rPr>
        <w:t xml:space="preserve">Decision Standard</w:t>
      </w:r>
    </w:p>
    <w:p>
      <w:pPr>
        <w:spacing w:after="160"/>
      </w:pPr>
      <w:r>
        <w:rPr>
          <w:sz w:val="21"/>
          <w:szCs w:val="21"/>
        </w:rPr>
        <w:t xml:space="preserve">The student functions dependably within established kitchen routines across more than one task, not a single successful lab.</w:t>
      </w:r>
    </w:p>
    <w:p>
      <w:pPr>
        <w:pStyle w:val="Heading2"/>
        <w:spacing w:after="120" w:before="240"/>
      </w:pPr>
      <w:r>
        <w:rPr>
          <w:color w:val="1F3A5F"/>
        </w:rPr>
        <w:t xml:space="preserve">Reverification Trigger</w:t>
      </w:r>
    </w:p>
    <w:p>
      <w:pPr>
        <w:spacing w:after="160"/>
      </w:pPr>
      <w:r>
        <w:rPr>
          <w:sz w:val="21"/>
          <w:szCs w:val="21"/>
        </w:rPr>
        <w:t xml:space="preserve">N/A for routine progression — Gateway 2 is reassessed through normal course progression rather than a separate reverification point; the general triggers (safety incident, extended absence, unfamiliar equipment) in Book Two Ch.9 still apply.</w:t>
      </w:r>
    </w:p>
    <w:p>
      <w:pPr>
        <w:pStyle w:val="Heading2"/>
        <w:spacing w:after="120" w:before="240"/>
      </w:pPr>
      <w:r>
        <w:rPr>
          <w:color w:val="1F3A5F"/>
        </w:rPr>
        <w:t xml:space="preserve">Not Yet Completed — Required Response</w:t>
      </w:r>
    </w:p>
    <w:p>
      <w:pPr>
        <w:spacing w:after="160"/>
      </w:pPr>
      <w:r>
        <w:rPr>
          <w:sz w:val="21"/>
          <w:szCs w:val="21"/>
        </w:rPr>
        <w:t xml:space="preserve">Identify the specific unmet criterion (e.g., inconsistent mise en place, unreliable time management), provide targeted practice across additional labs, and reassess using a comparable task once adequate time has passed.</w:t>
      </w:r>
    </w:p>
    <w:p>
      <w:pPr>
        <w:pStyle w:val="Heading1"/>
        <w:spacing w:after="160" w:before="320"/>
      </w:pPr>
      <w:r>
        <w:rPr>
          <w:color w:val="1F3A5F"/>
        </w:rPr>
        <w:t xml:space="preserve">Gateway 3 — Demonstrated Foundational Culinary Competence</w:t>
      </w:r>
    </w:p>
    <w:p>
      <w:pPr>
        <w:spacing w:after="160"/>
      </w:pPr>
      <w:r>
        <w:rPr>
          <w:b/>
          <w:bCs/>
          <w:sz w:val="21"/>
          <w:szCs w:val="21"/>
        </w:rPr>
        <w:t xml:space="preserve">Earned through: Culinary 1 and Culinary 2 (cumulative)</w:t>
      </w:r>
    </w:p>
    <w:p>
      <w:pPr>
        <w:spacing w:after="160"/>
      </w:pPr>
      <w:r>
        <w:rPr>
          <w:b/>
          <w:bCs/>
          <w:sz w:val="21"/>
          <w:szCs w:val="21"/>
        </w:rPr>
        <w:t xml:space="preserve">Verified by: Culinary 1-2 teacher</w:t>
      </w:r>
    </w:p>
    <w:p>
      <w:pPr>
        <w:spacing w:after="160"/>
      </w:pPr>
      <w:r>
        <w:rPr>
          <w:sz w:val="21"/>
          <w:szCs w:val="21"/>
        </w:rPr>
        <w:t xml:space="preserve">Official meaning: readiness to enter Advanced Culinary. Earned throughout Culinary 1 and Culinary 2, not from a single assessment event.</w:t>
      </w:r>
    </w:p>
    <w:p>
      <w:pPr>
        <w:pStyle w:val="Heading2"/>
        <w:spacing w:after="120" w:before="240"/>
      </w:pPr>
      <w:r>
        <w:rPr>
          <w:color w:val="1F3A5F"/>
        </w:rPr>
        <w:t xml:space="preserve">Competency Focus</w:t>
      </w:r>
    </w:p>
    <w:p>
      <w:pPr>
        <w:pStyle w:val="ListParagraph"/>
        <w:numPr>
          <w:ilvl w:val="0"/>
          <w:numId w:val="1"/>
        </w:numPr>
        <w:spacing w:after="80"/>
      </w:pPr>
      <w:r>
        <w:rPr>
          <w:sz w:val="21"/>
          <w:szCs w:val="21"/>
        </w:rPr>
        <w:t xml:space="preserve">Culinary techniques</w:t>
      </w:r>
    </w:p>
    <w:p>
      <w:pPr>
        <w:pStyle w:val="ListParagraph"/>
        <w:numPr>
          <w:ilvl w:val="0"/>
          <w:numId w:val="1"/>
        </w:numPr>
        <w:spacing w:after="80"/>
      </w:pPr>
      <w:r>
        <w:rPr>
          <w:sz w:val="21"/>
          <w:szCs w:val="21"/>
        </w:rPr>
        <w:t xml:space="preserve">Ingredient knowledge</w:t>
      </w:r>
    </w:p>
    <w:p>
      <w:pPr>
        <w:pStyle w:val="ListParagraph"/>
        <w:numPr>
          <w:ilvl w:val="0"/>
          <w:numId w:val="1"/>
        </w:numPr>
        <w:spacing w:after="80"/>
      </w:pPr>
      <w:r>
        <w:rPr>
          <w:sz w:val="21"/>
          <w:szCs w:val="21"/>
        </w:rPr>
        <w:t xml:space="preserve">Product quality</w:t>
      </w:r>
    </w:p>
    <w:p>
      <w:pPr>
        <w:pStyle w:val="ListParagraph"/>
        <w:numPr>
          <w:ilvl w:val="0"/>
          <w:numId w:val="1"/>
        </w:numPr>
        <w:spacing w:after="80"/>
      </w:pPr>
      <w:r>
        <w:rPr>
          <w:sz w:val="21"/>
          <w:szCs w:val="21"/>
        </w:rPr>
        <w:t xml:space="preserve">Consistent instructional performance</w:t>
      </w:r>
    </w:p>
    <w:p>
      <w:pPr>
        <w:pStyle w:val="Heading2"/>
        <w:spacing w:after="120" w:before="240"/>
      </w:pPr>
      <w:r>
        <w:rPr>
          <w:color w:val="1F3A5F"/>
        </w:rPr>
        <w:t xml:space="preserve">Required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940"/>
      </w:tblGrid>
      <w:tr>
        <w:trPr>
          <w:tblHeader/>
        </w:trPr>
        <w:tc>
          <w:tcPr>
            <w:tcW w:type="dxa" w:w="3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Domain</w:t>
            </w:r>
          </w:p>
        </w:tc>
        <w:tc>
          <w:tcPr>
            <w:tcW w:type="dxa" w:w="894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Evidence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Written and practical assessment</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Written and scenario-based assessments, practical work, products, teacher observation, course standards, quarterly assessments, and relevant Employability Profile patterns (Book Two Ch.11).</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Final Project and Finals</w:t>
            </w:r>
          </w:p>
        </w:tc>
        <w:tc>
          <w:tcPr>
            <w:tcW w:type="dxa" w:w="89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Weeks 26-35 Final Project (research, plan, prepare, present); Written Final Exam; Practical Final Exam / Skills Demonstration — see CUR-01/02 Course Alignment Memo.</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Body-of-evidence standard</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The body of evidence demonstrates foundational technique, ingredient knowledge, product quality, and consistent performance sufficient for Advanced Culinary — no single task decides Gateway 3.</w:t>
            </w:r>
          </w:p>
        </w:tc>
      </w:tr>
    </w:tbl>
    <w:p>
      <w:pPr>
        <w:pStyle w:val="Heading2"/>
        <w:spacing w:after="120" w:before="240"/>
      </w:pPr>
      <w:r>
        <w:rPr>
          <w:color w:val="1F3A5F"/>
        </w:rPr>
        <w:t xml:space="preserve">External Alignment</w:t>
      </w:r>
    </w:p>
    <w:p>
      <w:pPr>
        <w:spacing w:after="160"/>
      </w:pPr>
      <w:r>
        <w:rPr>
          <w:sz w:val="21"/>
          <w:szCs w:val="21"/>
        </w:rPr>
        <w:t xml:space="preserve">YouScience: foundational food and production domains (Standards 1, 6-8, 10-11). ProStart Level 1 and selected Level 2 production. Culinary 1 and 2 course outcomes (Book Two Appendix B).</w:t>
      </w:r>
    </w:p>
    <w:p>
      <w:pPr>
        <w:pStyle w:val="Heading3"/>
        <w:spacing w:after="100" w:before="200"/>
      </w:pPr>
      <w:r>
        <w:rPr>
          <w:color w:val="B08D57"/>
        </w:rPr>
        <w:t xml:space="preserve">Gateway 3 Technical-Assessment Readiness Review</w:t>
      </w:r>
    </w:p>
    <w:p>
      <w:pPr>
        <w:spacing w:after="160"/>
      </w:pPr>
      <w:r>
        <w:rPr>
          <w:sz w:val="21"/>
          <w:szCs w:val="21"/>
        </w:rPr>
        <w:t xml:space="preserve">At the end of Culinary 1 and 2, the department confirms that the assigned portion of the YouScience and ProStart blueprint has been taught and assessed. This is a curriculum-coverage and foundational-readiness review, not the terminal pathway technical assessment (Book Two Ch.11).</w:t>
      </w:r>
    </w:p>
    <w:p>
      <w:pPr>
        <w:pStyle w:val="Heading2"/>
        <w:spacing w:after="120" w:before="240"/>
      </w:pPr>
      <w:r>
        <w:rPr>
          <w:color w:val="1F3A5F"/>
        </w:rPr>
        <w:t xml:space="preserve">Decision Standard</w:t>
      </w:r>
    </w:p>
    <w:p>
      <w:pPr>
        <w:spacing w:after="160"/>
      </w:pPr>
      <w:r>
        <w:rPr>
          <w:sz w:val="21"/>
          <w:szCs w:val="21"/>
        </w:rPr>
        <w:t xml:space="preserve">The body of evidence demonstrates foundational technique, ingredient knowledge, product quality, and consistent instructional performance sufficient for Advanced Culinary.</w:t>
      </w:r>
    </w:p>
    <w:p>
      <w:pPr>
        <w:pStyle w:val="Heading2"/>
        <w:spacing w:after="120" w:before="240"/>
      </w:pPr>
      <w:r>
        <w:rPr>
          <w:color w:val="1F3A5F"/>
        </w:rPr>
        <w:t xml:space="preserve">Reverification Trigger</w:t>
      </w:r>
    </w:p>
    <w:p>
      <w:pPr>
        <w:spacing w:after="160"/>
      </w:pPr>
      <w:r>
        <w:rPr>
          <w:sz w:val="21"/>
          <w:szCs w:val="21"/>
        </w:rPr>
        <w:t xml:space="preserve">Before client-centered production through The Cottage: relevant safety, sanitation, emergency, allergen, and equipment requirements are reverified as part of the Gateway 4 transition (Book Two Ch.9).</w:t>
      </w:r>
    </w:p>
    <w:p>
      <w:pPr>
        <w:pStyle w:val="Heading2"/>
        <w:spacing w:after="120" w:before="240"/>
      </w:pPr>
      <w:r>
        <w:rPr>
          <w:color w:val="1F3A5F"/>
        </w:rPr>
        <w:t xml:space="preserve">Not Yet Completed — Required Response</w:t>
      </w:r>
    </w:p>
    <w:p>
      <w:pPr>
        <w:spacing w:after="160"/>
      </w:pPr>
      <w:r>
        <w:rPr>
          <w:sz w:val="21"/>
          <w:szCs w:val="21"/>
        </w:rPr>
        <w:t xml:space="preserve">Identify the specific unmet technique, knowledge, or quality criterion; provide additional instruction and practice opportunities within or beyond the standard course sequence; reassess with an equivalent task.</w:t>
      </w:r>
    </w:p>
    <w:p>
      <w:pPr>
        <w:pStyle w:val="Heading1"/>
        <w:spacing w:after="160" w:before="320"/>
      </w:pPr>
      <w:r>
        <w:rPr>
          <w:color w:val="1F3A5F"/>
        </w:rPr>
        <w:t xml:space="preserve">Gateway 4 — Demonstrated Client-Centered Culinary Performance</w:t>
      </w:r>
    </w:p>
    <w:p>
      <w:pPr>
        <w:spacing w:after="160"/>
      </w:pPr>
      <w:r>
        <w:rPr>
          <w:b/>
          <w:bCs/>
          <w:sz w:val="21"/>
          <w:szCs w:val="21"/>
        </w:rPr>
        <w:t xml:space="preserve">Earned through: Advanced Culinary and The Cottage</w:t>
      </w:r>
    </w:p>
    <w:p>
      <w:pPr>
        <w:spacing w:after="160"/>
      </w:pPr>
      <w:r>
        <w:rPr>
          <w:b/>
          <w:bCs/>
          <w:sz w:val="21"/>
          <w:szCs w:val="21"/>
        </w:rPr>
        <w:t xml:space="preserve">Verified by: Advanced Culinary teacher</w:t>
      </w:r>
    </w:p>
    <w:p>
      <w:pPr>
        <w:spacing w:after="160"/>
      </w:pPr>
      <w:r>
        <w:rPr>
          <w:sz w:val="21"/>
          <w:szCs w:val="21"/>
        </w:rPr>
        <w:t xml:space="preserve">Official meaning: the student can plan, execute, communicate, control quality, serve, and close work when a real client, audience, deadline, or consequence is present.</w:t>
      </w:r>
    </w:p>
    <w:p>
      <w:pPr>
        <w:pStyle w:val="Heading2"/>
        <w:spacing w:after="120" w:before="240"/>
      </w:pPr>
      <w:r>
        <w:rPr>
          <w:color w:val="1F3A5F"/>
        </w:rPr>
        <w:t xml:space="preserve">Competency Focus</w:t>
      </w:r>
    </w:p>
    <w:p>
      <w:pPr>
        <w:pStyle w:val="ListParagraph"/>
        <w:numPr>
          <w:ilvl w:val="0"/>
          <w:numId w:val="1"/>
        </w:numPr>
        <w:spacing w:after="80"/>
      </w:pPr>
      <w:r>
        <w:rPr>
          <w:sz w:val="21"/>
          <w:szCs w:val="21"/>
        </w:rPr>
        <w:t xml:space="preserve">Authentic production</w:t>
      </w:r>
    </w:p>
    <w:p>
      <w:pPr>
        <w:pStyle w:val="ListParagraph"/>
        <w:numPr>
          <w:ilvl w:val="0"/>
          <w:numId w:val="1"/>
        </w:numPr>
        <w:spacing w:after="80"/>
      </w:pPr>
      <w:r>
        <w:rPr>
          <w:sz w:val="21"/>
          <w:szCs w:val="21"/>
        </w:rPr>
        <w:t xml:space="preserve">Catering</w:t>
      </w:r>
    </w:p>
    <w:p>
      <w:pPr>
        <w:pStyle w:val="ListParagraph"/>
        <w:numPr>
          <w:ilvl w:val="0"/>
          <w:numId w:val="1"/>
        </w:numPr>
        <w:spacing w:after="80"/>
      </w:pPr>
      <w:r>
        <w:rPr>
          <w:sz w:val="21"/>
          <w:szCs w:val="21"/>
        </w:rPr>
        <w:t xml:space="preserve">Client expectations</w:t>
      </w:r>
    </w:p>
    <w:p>
      <w:pPr>
        <w:pStyle w:val="ListParagraph"/>
        <w:numPr>
          <w:ilvl w:val="0"/>
          <w:numId w:val="1"/>
        </w:numPr>
        <w:spacing w:after="80"/>
      </w:pPr>
      <w:r>
        <w:rPr>
          <w:sz w:val="21"/>
          <w:szCs w:val="21"/>
        </w:rPr>
        <w:t xml:space="preserve">Event execution</w:t>
      </w:r>
    </w:p>
    <w:p>
      <w:pPr>
        <w:pStyle w:val="ListParagraph"/>
        <w:numPr>
          <w:ilvl w:val="0"/>
          <w:numId w:val="1"/>
        </w:numPr>
        <w:spacing w:after="80"/>
      </w:pPr>
      <w:r>
        <w:rPr>
          <w:sz w:val="21"/>
          <w:szCs w:val="21"/>
        </w:rPr>
        <w:t xml:space="preserve">Quality control</w:t>
      </w:r>
    </w:p>
    <w:p>
      <w:pPr>
        <w:pStyle w:val="ListParagraph"/>
        <w:numPr>
          <w:ilvl w:val="0"/>
          <w:numId w:val="1"/>
        </w:numPr>
        <w:spacing w:after="80"/>
      </w:pPr>
      <w:r>
        <w:rPr>
          <w:sz w:val="21"/>
          <w:szCs w:val="21"/>
        </w:rPr>
        <w:t xml:space="preserve">Professional service</w:t>
      </w:r>
    </w:p>
    <w:p>
      <w:pPr>
        <w:pStyle w:val="Heading2"/>
        <w:spacing w:after="120" w:before="240"/>
      </w:pPr>
      <w:r>
        <w:rPr>
          <w:color w:val="1F3A5F"/>
        </w:rPr>
        <w:t xml:space="preserve">Required Evidence — Five Assessment Domains (Book Two Ch.12)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940"/>
      </w:tblGrid>
      <w:tr>
        <w:trPr>
          <w:tblHeader/>
        </w:trPr>
        <w:tc>
          <w:tcPr>
            <w:tcW w:type="dxa" w:w="3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Domain</w:t>
            </w:r>
          </w:p>
        </w:tc>
        <w:tc>
          <w:tcPr>
            <w:tcW w:type="dxa" w:w="894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Evidence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Client planning</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Request clarification, audience and dietary needs, menu or product plan, quantity, costing, timeline, assigned role, and communication.</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Production and service</w:t>
            </w:r>
          </w:p>
        </w:tc>
        <w:tc>
          <w:tcPr>
            <w:tcW w:type="dxa" w:w="89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Mise en place, safe execution, timing, station coordination, service, delivery, cleanup, and closing.</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Quality control</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Product and service standards, checking, correction, consistency, and response to feedback.</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Professional performance</w:t>
            </w:r>
          </w:p>
        </w:tc>
        <w:tc>
          <w:tcPr>
            <w:tcW w:type="dxa" w:w="89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Attendance, communication, teamwork, accountability, composure, resource use, and follow-through.</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Reflection and improvement</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Explanation of results, challenges, correction, learning, and next responsibility.</w:t>
            </w:r>
          </w:p>
        </w:tc>
      </w:tr>
    </w:tbl>
    <w:p>
      <w:pPr>
        <w:pStyle w:val="Heading2"/>
        <w:spacing w:after="120" w:before="240"/>
      </w:pPr>
      <w:r>
        <w:rPr>
          <w:color w:val="1F3A5F"/>
        </w:rPr>
        <w:t xml:space="preserve">Course Evidence Source</w:t>
      </w:r>
    </w:p>
    <w:p>
      <w:pPr>
        <w:spacing w:after="160"/>
      </w:pPr>
      <w:r>
        <w:rPr>
          <w:sz w:val="21"/>
          <w:szCs w:val="21"/>
        </w:rPr>
        <w:t xml:space="preserve">Advanced Culinary Units 1-7 and the current pop-up-event calendar (CTE Night, Titan Bake Sale, and other Cottage-realized events) — see CUR-01/02 Course Alignment Memo for the full unit-by-unit mapping, including which events remain Planned/Unconfirmed in the source document.</w:t>
      </w:r>
    </w:p>
    <w:p>
      <w:pPr>
        <w:pStyle w:val="Heading2"/>
        <w:spacing w:after="120" w:before="240"/>
      </w:pPr>
      <w:r>
        <w:rPr>
          <w:color w:val="1F3A5F"/>
        </w:rPr>
        <w:t xml:space="preserve">Preserve Individual Evidence Inside Team Production</w:t>
      </w:r>
    </w:p>
    <w:p>
      <w:pPr>
        <w:spacing w:after="160"/>
      </w:pPr>
      <w:r>
        <w:rPr>
          <w:sz w:val="21"/>
          <w:szCs w:val="21"/>
        </w:rPr>
        <w:t xml:space="preserve">A successful event does not prove that every student completed Gateway 4. Client satisfaction matters but does not replace safety, quality, professional conduct, teacher judgment, or evidence of learning. Revenue, event count, customer praise, and public visibility may describe The Cottage; none independently proves student learning or program quality (Book Two Ch.12). When evidence is incomplete, assign targeted practice and a later equivalent client-centered task.</w:t>
      </w:r>
    </w:p>
    <w:p>
      <w:pPr>
        <w:pStyle w:val="Heading2"/>
        <w:spacing w:after="120" w:before="240"/>
      </w:pPr>
      <w:r>
        <w:rPr>
          <w:color w:val="1F3A5F"/>
        </w:rPr>
        <w:t xml:space="preserve">External Alignment</w:t>
      </w:r>
    </w:p>
    <w:p>
      <w:pPr>
        <w:spacing w:after="160"/>
      </w:pPr>
      <w:r>
        <w:rPr>
          <w:sz w:val="21"/>
          <w:szCs w:val="21"/>
        </w:rPr>
        <w:t xml:space="preserve">ProStart: serving guests, management, cost control, purchasing, marketing, nutrition, production. YouScience performance expectations. CDOS work-related skills (Book Two Appendix B). ServSafe preparation and credential results may be used as food-safety evidence where the approved course sequence places them here, while continuing to observe actual safe practice — see the Credential and Recognition Crosswalk (CUR-07) for how a ServSafe result relates to, but does not replace, this evidence.</w:t>
      </w:r>
    </w:p>
    <w:p>
      <w:pPr>
        <w:pStyle w:val="Heading2"/>
        <w:spacing w:after="120" w:before="240"/>
      </w:pPr>
      <w:r>
        <w:rPr>
          <w:color w:val="1F3A5F"/>
        </w:rPr>
        <w:t xml:space="preserve">Decision Standard</w:t>
      </w:r>
    </w:p>
    <w:p>
      <w:pPr>
        <w:spacing w:after="160"/>
      </w:pPr>
      <w:r>
        <w:rPr>
          <w:sz w:val="21"/>
          <w:szCs w:val="21"/>
        </w:rPr>
        <w:t xml:space="preserve">Demonstrates professional performance for real clients under school supervision, across all five assessment domains, with no critical safety or quality standard averaged away.</w:t>
      </w:r>
    </w:p>
    <w:p>
      <w:pPr>
        <w:pStyle w:val="Heading2"/>
        <w:spacing w:after="120" w:before="240"/>
      </w:pPr>
      <w:r>
        <w:rPr>
          <w:color w:val="1F3A5F"/>
        </w:rPr>
        <w:t xml:space="preserve">Reverification Trigger</w:t>
      </w:r>
    </w:p>
    <w:p>
      <w:pPr>
        <w:spacing w:after="160"/>
      </w:pPr>
      <w:r>
        <w:rPr>
          <w:sz w:val="21"/>
          <w:szCs w:val="21"/>
        </w:rPr>
        <w:t xml:space="preserve">Before client-centered production through The Cottage: relevant safety, sanitation, emergency, allergen, and equipment requirements (Book Two Ch.9).</w:t>
      </w:r>
    </w:p>
    <w:p>
      <w:pPr>
        <w:pStyle w:val="Heading2"/>
        <w:spacing w:after="120" w:before="240"/>
      </w:pPr>
      <w:r>
        <w:rPr>
          <w:color w:val="1F3A5F"/>
        </w:rPr>
        <w:t xml:space="preserve">Not Yet Completed — Required Response</w:t>
      </w:r>
    </w:p>
    <w:p>
      <w:pPr>
        <w:spacing w:after="160"/>
      </w:pPr>
      <w:r>
        <w:rPr>
          <w:sz w:val="21"/>
          <w:szCs w:val="21"/>
        </w:rPr>
        <w:t xml:space="preserve">Identify the specific unmet domain (client planning, production/service, quality control, professional performance, or reflection); assign targeted practice; provide a later equivalent client-centered task rather than retesting the same event.</w:t>
      </w:r>
    </w:p>
    <w:p>
      <w:pPr>
        <w:pStyle w:val="Heading1"/>
        <w:spacing w:after="160" w:before="320"/>
      </w:pPr>
      <w:r>
        <w:rPr>
          <w:color w:val="1F3A5F"/>
        </w:rPr>
        <w:t xml:space="preserve">Gateway 5 — Professional, Leadership, and Career Readiness</w:t>
      </w:r>
    </w:p>
    <w:p>
      <w:pPr>
        <w:spacing w:after="160"/>
      </w:pPr>
      <w:r>
        <w:rPr>
          <w:b/>
          <w:bCs/>
          <w:sz w:val="21"/>
          <w:szCs w:val="21"/>
        </w:rPr>
        <w:t xml:space="preserve">Earned through: Kitchen Management</w:t>
      </w:r>
    </w:p>
    <w:p>
      <w:pPr>
        <w:spacing w:after="160"/>
      </w:pPr>
      <w:r>
        <w:rPr>
          <w:b/>
          <w:bCs/>
          <w:sz w:val="21"/>
          <w:szCs w:val="21"/>
        </w:rPr>
        <w:t xml:space="preserve">Verified by: Kitchen Management teacher</w:t>
      </w:r>
    </w:p>
    <w:p>
      <w:pPr>
        <w:spacing w:after="160"/>
      </w:pPr>
      <w:r>
        <w:rPr>
          <w:sz w:val="21"/>
          <w:szCs w:val="21"/>
        </w:rPr>
        <w:t xml:space="preserve">Official meaning: completion earns External WBL Educational Readiness. Student-facing terminology: Travel Rights.</w:t>
      </w:r>
    </w:p>
    <w:p>
      <w:pPr>
        <w:pStyle w:val="Heading2"/>
        <w:spacing w:after="120" w:before="240"/>
      </w:pPr>
      <w:r>
        <w:rPr>
          <w:color w:val="1F3A5F"/>
        </w:rPr>
        <w:t xml:space="preserve">Competency Focus</w:t>
      </w:r>
    </w:p>
    <w:p>
      <w:pPr>
        <w:pStyle w:val="ListParagraph"/>
        <w:numPr>
          <w:ilvl w:val="0"/>
          <w:numId w:val="1"/>
        </w:numPr>
        <w:spacing w:after="80"/>
      </w:pPr>
      <w:r>
        <w:rPr>
          <w:sz w:val="21"/>
          <w:szCs w:val="21"/>
        </w:rPr>
        <w:t xml:space="preserve">Leadership</w:t>
      </w:r>
    </w:p>
    <w:p>
      <w:pPr>
        <w:pStyle w:val="ListParagraph"/>
        <w:numPr>
          <w:ilvl w:val="0"/>
          <w:numId w:val="1"/>
        </w:numPr>
        <w:spacing w:after="80"/>
      </w:pPr>
      <w:r>
        <w:rPr>
          <w:sz w:val="21"/>
          <w:szCs w:val="21"/>
        </w:rPr>
        <w:t xml:space="preserve">Kitchen management</w:t>
      </w:r>
    </w:p>
    <w:p>
      <w:pPr>
        <w:pStyle w:val="ListParagraph"/>
        <w:numPr>
          <w:ilvl w:val="0"/>
          <w:numId w:val="1"/>
        </w:numPr>
        <w:spacing w:after="80"/>
      </w:pPr>
      <w:r>
        <w:rPr>
          <w:sz w:val="21"/>
          <w:szCs w:val="21"/>
        </w:rPr>
        <w:t xml:space="preserve">Supervision</w:t>
      </w:r>
    </w:p>
    <w:p>
      <w:pPr>
        <w:pStyle w:val="ListParagraph"/>
        <w:numPr>
          <w:ilvl w:val="0"/>
          <w:numId w:val="1"/>
        </w:numPr>
        <w:spacing w:after="80"/>
      </w:pPr>
      <w:r>
        <w:rPr>
          <w:sz w:val="21"/>
          <w:szCs w:val="21"/>
        </w:rPr>
        <w:t xml:space="preserve">Employment preparation</w:t>
      </w:r>
    </w:p>
    <w:p>
      <w:pPr>
        <w:pStyle w:val="ListParagraph"/>
        <w:numPr>
          <w:ilvl w:val="0"/>
          <w:numId w:val="1"/>
        </w:numPr>
        <w:spacing w:after="80"/>
      </w:pPr>
      <w:r>
        <w:rPr>
          <w:sz w:val="21"/>
          <w:szCs w:val="21"/>
        </w:rPr>
        <w:t xml:space="preserve">Résumé</w:t>
      </w:r>
    </w:p>
    <w:p>
      <w:pPr>
        <w:pStyle w:val="ListParagraph"/>
        <w:numPr>
          <w:ilvl w:val="0"/>
          <w:numId w:val="1"/>
        </w:numPr>
        <w:spacing w:after="80"/>
      </w:pPr>
      <w:r>
        <w:rPr>
          <w:sz w:val="21"/>
          <w:szCs w:val="21"/>
        </w:rPr>
        <w:t xml:space="preserve">Portfolio</w:t>
      </w:r>
    </w:p>
    <w:p>
      <w:pPr>
        <w:pStyle w:val="ListParagraph"/>
        <w:numPr>
          <w:ilvl w:val="0"/>
          <w:numId w:val="1"/>
        </w:numPr>
        <w:spacing w:after="80"/>
      </w:pPr>
      <w:r>
        <w:rPr>
          <w:sz w:val="21"/>
          <w:szCs w:val="21"/>
        </w:rPr>
        <w:t xml:space="preserve">Interview skills</w:t>
      </w:r>
    </w:p>
    <w:p>
      <w:pPr>
        <w:pStyle w:val="ListParagraph"/>
        <w:numPr>
          <w:ilvl w:val="0"/>
          <w:numId w:val="1"/>
        </w:numPr>
        <w:spacing w:after="80"/>
      </w:pPr>
      <w:r>
        <w:rPr>
          <w:sz w:val="21"/>
          <w:szCs w:val="21"/>
        </w:rPr>
        <w:t xml:space="preserve">Career readiness</w:t>
      </w:r>
    </w:p>
    <w:p>
      <w:pPr>
        <w:pStyle w:val="Heading2"/>
        <w:spacing w:after="120" w:before="240"/>
      </w:pPr>
      <w:r>
        <w:rPr>
          <w:color w:val="1F3A5F"/>
        </w:rPr>
        <w:t xml:space="preserve">Required Evidence (Book Two Ch.13)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940"/>
      </w:tblGrid>
      <w:tr>
        <w:trPr>
          <w:tblHeader/>
        </w:trPr>
        <w:tc>
          <w:tcPr>
            <w:tcW w:type="dxa" w:w="3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Domain</w:t>
            </w:r>
          </w:p>
        </w:tc>
        <w:tc>
          <w:tcPr>
            <w:tcW w:type="dxa" w:w="894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Evidence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Leadership assignments</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At least two distinct leadership assignments, including one complete planning-execution-closeout cycle.</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Direct observation</w:t>
            </w:r>
          </w:p>
        </w:tc>
        <w:tc>
          <w:tcPr>
            <w:tcW w:type="dxa" w:w="89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Direct observation of delegation, supervision, feedback, and accountability.</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Operational management</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Evidence of managing time, resources, quality, safety, and communication.</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Judgment under pressure</w:t>
            </w:r>
          </w:p>
        </w:tc>
        <w:tc>
          <w:tcPr>
            <w:tcW w:type="dxa" w:w="89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One authentic operational problem requiring judgment and a documented response.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Career-readiness artifacts</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Completed resume, portfolio preparation, interview evidence, and transition plan.</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Category completion</w:t>
            </w:r>
          </w:p>
        </w:tc>
        <w:tc>
          <w:tcPr>
            <w:tcW w:type="dxa" w:w="89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Completion in every Kitchen Management reporting category; safety and professional conduct cannot be averaged away.</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Credential/recognition review</w:t>
            </w:r>
          </w:p>
        </w:tc>
        <w:tc>
          <w:tcPr>
            <w:tcW w:type="dxa" w:w="89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Current technical-assessment, credential, and pathway-recognition records reviewed and directed to the appropriate completion process — see the Credential and Recognition Crosswalk (CUR-07).</w:t>
            </w:r>
          </w:p>
        </w:tc>
      </w:tr>
    </w:tbl>
    <w:p>
      <w:pPr>
        <w:pStyle w:val="Heading2"/>
        <w:spacing w:after="120" w:before="240"/>
      </w:pPr>
      <w:r>
        <w:rPr>
          <w:color w:val="1F3A5F"/>
        </w:rPr>
        <w:t xml:space="preserve">Assessment Domains (Book Two Ch.13)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gridCol w:w="334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Domain</w:t>
            </w:r>
          </w:p>
        </w:tc>
        <w:tc>
          <w:tcPr>
            <w:tcW w:type="dxa" w:w="5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Completion Standard</w:t>
            </w:r>
          </w:p>
        </w:tc>
        <w:tc>
          <w:tcPr>
            <w:tcW w:type="dxa" w:w="334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External Anchor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Leadership and supervision</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Gives clear direction, delegates appropriately, monitors work, coaches respectfully, and holds the team accountable.</w:t>
            </w:r>
          </w:p>
        </w:tc>
        <w:tc>
          <w:tcPr>
            <w:tcW w:type="dxa" w:w="3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CDOS communication, interpersonal dynamics, ethical/legal responsibility; ProStart management.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Planning and resource management</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Builds a workable plan, establishes priorities, uses time and resources responsibly, and adjusts when conditions change.</w:t>
            </w:r>
          </w:p>
        </w:tc>
        <w:tc>
          <w:tcPr>
            <w:tcW w:type="dxa" w:w="3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YouScience culinary math and menu planning; ProStart cost control, purchasing, inventory.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Quality, safety, and operations</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Protects safety and sanitation, monitors standards, identifies problems, and completes closeout.</w:t>
            </w:r>
          </w:p>
        </w:tc>
        <w:tc>
          <w:tcPr>
            <w:tcW w:type="dxa" w:w="3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YouScience sanitation and performance standards; ProStart safety and operations.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Professional judgment and communication</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Solves problems, communicates under pressure, acts ethically, recognizes limits, and seeks help when needed.</w:t>
            </w:r>
          </w:p>
        </w:tc>
        <w:tc>
          <w:tcPr>
            <w:tcW w:type="dxa" w:w="3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CDOS thinking/problem solving, communication, foundation development.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Employment and career readiness</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Presents a professional resume, prepares portfolio evidence, demonstrates interview readiness, and identifies a realistic transition plan.</w:t>
            </w:r>
          </w:p>
        </w:tc>
        <w:tc>
          <w:tcPr>
            <w:tcW w:type="dxa" w:w="3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CDOS career development; ProStart Building a Successful Career; Employability Profile.</w:t>
            </w:r>
          </w:p>
        </w:tc>
      </w:tr>
    </w:tbl>
    <w:p>
      <w:pPr>
        <w:pStyle w:val="Heading2"/>
        <w:spacing w:after="120" w:before="240"/>
      </w:pPr>
      <w:r>
        <w:rPr>
          <w:color w:val="1F3A5F"/>
        </w:rPr>
        <w:t xml:space="preserve">Course Evidence Source — Status Note</w:t>
      </w:r>
    </w:p>
    <w:p>
      <w:pPr>
        <w:spacing w:after="160"/>
      </w:pPr>
      <w:r>
        <w:rPr>
          <w:sz w:val="21"/>
          <w:szCs w:val="21"/>
        </w:rPr>
        <w:t>Kitchen Management's Scope and Sequence (CUR-03) was produced by Work Package 4 on 2026-07-12 as a PROPOSED PLANNING DOCUMENT. Its existence resolves the earlier deferral note but does NOT establish that Kitchen Management is an active, authorized, or currently offered GCSD course — course title, sequence, credit, staffing, and implementation status all still require district confirmation (see GOV-10 PA-05). This rubric states the required evidence domains from Book Two Ch.13 and CUR-03's unit structure; apply it using the Required Gateway 5 Evidence list above as the standard, understanding that no student may be evaluated against it until Kitchen Management is district-authorized.</w:t>
      </w:r>
    </w:p>
    <w:p>
      <w:pPr>
        <w:pStyle w:val="Heading2"/>
        <w:spacing w:after="120" w:before="240"/>
      </w:pPr>
      <w:r>
        <w:rPr>
          <w:color w:val="1F3A5F"/>
        </w:rPr>
        <w:t xml:space="preserve">Travel Rights Are Earned</w:t>
      </w:r>
    </w:p>
    <w:p>
      <w:pPr>
        <w:spacing w:after="160"/>
      </w:pPr>
      <w:r>
        <w:rPr>
          <w:sz w:val="21"/>
          <w:szCs w:val="21"/>
        </w:rPr>
        <w:t xml:space="preserve">Gateway 5 confirms educational readiness for External Work-Based Learning. It does not guarantee a specific employer, schedule, transportation arrangement, support plan, or placement. Technical-assessment and credential status are reviewed at the same stage but remain separate decisions (Book Two Ch.8).</w:t>
      </w:r>
    </w:p>
    <w:p>
      <w:pPr>
        <w:pStyle w:val="Heading2"/>
        <w:spacing w:after="120" w:before="240"/>
      </w:pPr>
      <w:r>
        <w:rPr>
          <w:color w:val="1F3A5F"/>
        </w:rPr>
        <w:t xml:space="preserve">Decision Standard</w:t>
      </w:r>
    </w:p>
    <w:p>
      <w:pPr>
        <w:spacing w:after="160"/>
      </w:pPr>
      <w:r>
        <w:rPr>
          <w:sz w:val="21"/>
          <w:szCs w:val="21"/>
        </w:rPr>
        <w:t xml:space="preserve">Completion in every Kitchen Management reporting category (leadership/supervision; planning/resource management; quality/safety/operations; professional judgment/communication; employment/career readiness). Safety and professional conduct cannot be averaged away.</w:t>
      </w:r>
    </w:p>
    <w:p>
      <w:pPr>
        <w:pStyle w:val="Heading2"/>
        <w:spacing w:after="120" w:before="240"/>
      </w:pPr>
      <w:r>
        <w:rPr>
          <w:color w:val="1F3A5F"/>
        </w:rPr>
        <w:t xml:space="preserve">Reverification Trigger</w:t>
      </w:r>
    </w:p>
    <w:p>
      <w:pPr>
        <w:spacing w:after="160"/>
      </w:pPr>
      <w:r>
        <w:rPr>
          <w:sz w:val="21"/>
          <w:szCs w:val="21"/>
        </w:rPr>
        <w:t xml:space="preserve">Before Kitchen Management leadership or supervisory responsibility: safety, kitchen systems, communication, emergency response, and the process being supervised. Before External Work-Based Learning begins: current safety and sanitation practice, concern reporting, professional conduct, and readiness for approved duties and equipment (Book Two Ch.9).</w:t>
      </w:r>
    </w:p>
    <w:p>
      <w:pPr>
        <w:pStyle w:val="Heading2"/>
        <w:spacing w:after="120" w:before="240"/>
      </w:pPr>
      <w:r>
        <w:rPr>
          <w:color w:val="1F3A5F"/>
        </w:rPr>
        <w:t xml:space="preserve">Not Yet Completed — Required Response</w:t>
      </w:r>
    </w:p>
    <w:p>
      <w:pPr>
        <w:spacing w:after="160"/>
      </w:pPr>
      <w:r>
        <w:rPr>
          <w:sz w:val="21"/>
          <w:szCs w:val="21"/>
        </w:rPr>
        <w:t xml:space="preserve">Identify the specific unmet reporting category; provide additional leadership opportunity, coaching, or career-readiness support; reassess using an equivalent leadership assignment or artifact. A student cannot proceed to External Work-Based Learning (Gateway 6) until Gateway 5 reaches Completion or Completion with Distinction (Book Two Ch.15, Gateway 6 Completion Thresholds).</w:t>
      </w:r>
    </w:p>
    <w:p>
      <w:pPr>
        <w:pStyle w:val="Heading1"/>
        <w:spacing w:after="160" w:before="320"/>
      </w:pPr>
      <w:r>
        <w:rPr>
          <w:color w:val="1F3A5F"/>
        </w:rPr>
        <w:t xml:space="preserve">Cross-Reference</w:t>
      </w:r>
    </w:p>
    <w:p>
      <w:pPr>
        <w:spacing w:after="160"/>
      </w:pPr>
      <w:r>
        <w:rPr>
          <w:sz w:val="21"/>
          <w:szCs w:val="21"/>
        </w:rPr>
        <w:t xml:space="preserve">Gateway 6 (Completed Authentic Workplace Learning) is documented separately as a CONDITIONAL PLANNING DRAFT — see GCSD_CulinaryPathway_CMP-08_Gateway-6-Standard-Rubric_v1.0_2026-07-12.docx — because its approval status differs from Gateways 1-5 (Conditional Planning Draft vs. Approved for Planning Use). Mixing statuses inside one document is not acceptable per GOV-09.</w:t>
      </w:r>
    </w:p>
    <w:p>
      <w:pPr>
        <w:spacing w:after="160"/>
      </w:pPr>
      <w:r>
        <w:rPr>
          <w:sz w:val="21"/>
          <w:szCs w:val="21"/>
        </w:rPr>
        <w:t xml:space="preserve">All Gateway decisions are recorded in the Culinary Passport (CMP-02), using the Minimum Passport Record fields specified in Book Two Appendix 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Gateway 1-5 Performance Standards and Rubrics</dc:title>
  <dc:creator>Kevin McCann</dc:creator>
  <cp:lastModifiedBy>Un-named</cp:lastModifiedBy>
  <cp:revision>1</cp:revision>
  <dcterms:created xsi:type="dcterms:W3CDTF">2026-07-13T01:09:51.989Z</dcterms:created>
  <dcterms:modified xsi:type="dcterms:W3CDTF">2026-07-13T01:09:51.990Z</dcterms:modified>
</cp:coreProperties>
</file>

<file path=docProps/custom.xml><?xml version="1.0" encoding="utf-8"?>
<Properties xmlns="http://schemas.openxmlformats.org/officeDocument/2006/custom-properties" xmlns:vt="http://schemas.openxmlformats.org/officeDocument/2006/docPropsVTypes"/>
</file>