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The Cottage</w:t>
      </w:r>
    </w:p>
    <w:p>
      <w:pPr>
        <w:spacing w:after="120"/>
      </w:pPr>
      <w:r>
        <w:rPr>
          <w:b/>
          <w:bCs/>
          <w:color w:val="1F3A5F"/>
          <w:sz w:val="52"/>
          <w:szCs w:val="52"/>
        </w:rPr>
        <w:t xml:space="preserve">The Cottage Operations and Instructional Guide</w:t>
      </w:r>
    </w:p>
    <w:p>
      <w:pPr>
        <w:spacing w:after="400"/>
      </w:pPr>
      <w:r>
        <w:rPr>
          <w:i/>
          <w:iCs/>
          <w:color w:val="666666"/>
          <w:sz w:val="26"/>
          <w:szCs w:val="26"/>
        </w:rPr>
        <w:t xml:space="preserve">The master reference manual for requesting, planning, producing, servicing, and closing out Cottage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SBE-02-04-08-09-10-12-13-17 (consolidated — see Section 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Cottage Operations and Instructional Guide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Pathway staff (Advanced Culinary teacher, Kitchen Management teacher, SBE Lead, building administration)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Serve as the master working manual for requesting, approving, planning, purchasing, safety-reviewing, staffing, producing, servicing, and closing out every Cottage event, and to state how Cottage evidence reaches the Culinary Passport.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SBE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Pathway Canon v3.0; Operating Principles v1.0; Book Three: Operations Manual, Chapters 11-15 and Appendix 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change to Cottage procedure, staffing, or building alignment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Consolidates and supersedes the separate SBE-02, SBE-04, SBE-08, SBE-09, SBE-10, SBE-12, and SBE-13 items as originally scoped in the Master Document Register, plus the procedural (non-form) portion of SBE-17.</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Staff use this guide at every stage of a Cottage event. Do not create separate stand-alone versions of the consolidated sections below.</w:t>
            </w:r>
          </w:p>
        </w:tc>
      </w:tr>
    </w:tbl>
    <w:p>
      <w:pPr>
        <w:pBdr>
          <w:top w:val="single" w:color="B08D57" w:sz="6" w:space="8"/>
        </w:pBdr>
        <w:spacing w:after="0" w:before="400"/>
      </w:pPr>
      <w:r>
        <w:rPr>
          <w:i/>
          <w:iCs/>
          <w:color w:val="666666"/>
          <w:sz w:val="20"/>
          <w:szCs w:val="20"/>
        </w:rPr>
        <w:t xml:space="preserve">Learning Before Labor. Every authentic work experience remains an educational experience.</w:t>
      </w:r>
    </w:p>
    <w:p>
      <w:r>
        <w:br w:type="page"/>
      </w:r>
    </w:p>
    <w:p>
      <w:pPr>
        <w:pStyle w:val="Heading1"/>
        <w:spacing w:after="160" w:before="320"/>
      </w:pPr>
      <w:r>
        <w:rPr>
          <w:color w:val="1F3A5F"/>
        </w:rPr>
        <w:t xml:space="preserve">1. Purpose, Scope, and Consolidation Map</w:t>
      </w:r>
    </w:p>
    <w:p>
      <w:pPr>
        <w:pStyle w:val="Heading2"/>
        <w:spacing w:after="120" w:before="240"/>
      </w:pPr>
      <w:r>
        <w:rPr>
          <w:color w:val="1F3A5F"/>
        </w:rPr>
        <w:t xml:space="preserve">1.1 Purpose</w:t>
      </w:r>
    </w:p>
    <w:p>
      <w:pPr>
        <w:spacing w:after="160"/>
      </w:pPr>
      <w:r>
        <w:rPr>
          <w:sz w:val="21"/>
          <w:szCs w:val="21"/>
        </w:rPr>
        <w:t xml:space="preserve">This guide is the single working manual Culinary Pathway staff use to run The Cottage — the Culinary Pathway's School-Based Enterprise (SBE). It walks staff through every stage of a Cottage event: request and approval, purchasing and receiving, allergen and food-safety review, facilities and equipment planning, event timeline and communication, production and service, and closeout. It exists so that no stage of a Cottage event depends on institutional memory alone.</w:t>
      </w:r>
    </w:p>
    <w:p>
      <w:pPr>
        <w:spacing w:after="160"/>
      </w:pPr>
      <w:r>
        <w:rPr>
          <w:sz w:val="21"/>
          <w:szCs w:val="21"/>
        </w:rPr>
        <w:t xml:space="preserve">The Cottage is the Culinary Pathway's School-Based Enterprise. Its educational purpose is to provide authentic client-centered learning experiences where students demonstrate professional culinary performance. It is not simply a catering business — every Cottage event is first and foremost an instructional event, evaluated first for instructional value and only then for operational feasibility (Book Three, Chapter 12).</w:t>
      </w:r>
    </w:p>
    <w:p>
      <w:pPr>
        <w:spacing w:after="160"/>
      </w:pPr>
      <w:r>
        <w:rPr>
          <w:sz w:val="21"/>
          <w:szCs w:val="21"/>
        </w:rPr>
        <w:t xml:space="preserve">The underlying activity is not new. Greece Central School District culinary students already participate in in-house catering and general School-Based Enterprise activity. The Cottage is the proposed name and instructional framework that formalizes that existing activity under the Canon's Gateway 4 structure — it does not describe a program starting from zero (Program Status and Authorization Register, PA-08 and PA-09).</w:t>
      </w:r>
    </w:p>
    <w:p>
      <w:pPr>
        <w:pStyle w:val="Heading2"/>
        <w:spacing w:after="120" w:before="240"/>
      </w:pPr>
      <w:r>
        <w:rPr>
          <w:color w:val="1F3A5F"/>
        </w:rPr>
        <w:t xml:space="preserve">1.2 Consolidation Map</w:t>
      </w:r>
    </w:p>
    <w:p>
      <w:pPr>
        <w:spacing w:after="160"/>
      </w:pPr>
      <w:r>
        <w:rPr>
          <w:sz w:val="21"/>
          <w:szCs w:val="21"/>
        </w:rPr>
        <w:t xml:space="preserve">This document consolidates eight Master Document Register items into one manual, organized as labeled sections and appendices used by the same staff audience at different stages of the same workflow. Nothing described below was silently dropped or renamed without a trace — the mapping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ID</w:t>
            </w:r>
          </w:p>
        </w:tc>
        <w:tc>
          <w:tcPr>
            <w:tcW w:type="dxa" w:w="4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Original Item</w:t>
            </w:r>
          </w:p>
        </w:tc>
        <w:tc>
          <w:tcPr>
            <w:tcW w:type="dxa" w:w="3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Where It Lives in This Guide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SBE-02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The Cottage Operations and Instructional Guide (core guide)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Sections 1-3, 11-13 — the guide itself</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SBE-04</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Event Feasibility and Approval Checklist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Section 4 and Appendix 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SBE-08</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Purchasing and Receiving Plan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Section 5 and Appendix B</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SBE-09</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Allergen and Food-Safety Review</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Section 6 and Appendix C</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SBE-10</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Facilities and Equipment Plan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Section 7 and Appendix D</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SBE-12</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Event Timeline and Communication Plan</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Section 8 and Appendix 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SBE-13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Production and Service Checklist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Section 9 and Appendix F</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SBE-17 (procedural portion)</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Event Closeout and Instructional Review — process guidance only</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Section 10 (the closeout form itself is the separate Event Closeout and Financial Reconciliation Record)</w:t>
            </w:r>
          </w:p>
        </w:tc>
      </w:tr>
    </w:tbl>
    <w:p>
      <w:pPr>
        <w:spacing w:after="160"/>
      </w:pPr>
      <w:r>
        <w:rPr>
          <w:sz w:val="21"/>
          <w:szCs w:val="21"/>
        </w:rPr>
        <w:t xml:space="preserve">Three related items remain separate documents and are cross-referenced, not folded in here: the Event Planning Packet (SBE-03, SBE-06, SBE-07, SBE-11), the Client Agreement (SBE-05), the Client Feedback Form (SBE-14), the Event Closeout and Financial Reconciliation Record (SBE-15, SBE-16, SBE-17's form), and The Cottage Event Register (SBE-19). See Section 13.</w:t>
      </w:r>
    </w:p>
    <w:p>
      <w:pPr>
        <w:pStyle w:val="Heading2"/>
        <w:spacing w:after="120" w:before="240"/>
      </w:pPr>
      <w:r>
        <w:rPr>
          <w:color w:val="1F3A5F"/>
        </w:rPr>
        <w:t xml:space="preserve">1.3 Out of Scope</w:t>
      </w:r>
    </w:p>
    <w:p>
      <w:pPr>
        <w:spacing w:after="160"/>
      </w:pPr>
      <w:r>
        <w:rPr>
          <w:sz w:val="21"/>
          <w:szCs w:val="21"/>
        </w:rPr>
        <w:t xml:space="preserve">This guide does not include SBE-01 (The Cottage Public Overview), which is a public website page (WEB-06) deferred to Work Package 2B Phase 2, and does not create a stand-alone SBE-18 (Gateway 4 Evidence Record) — Gateway 4 evidence is recorded directly in the existing Culinary Passport (CMP-02); see Section 12.</w:t>
      </w:r>
    </w:p>
    <w:p>
      <w:pPr>
        <w:pStyle w:val="Heading1"/>
        <w:spacing w:after="160" w:before="320"/>
      </w:pPr>
      <w:r>
        <w:rPr>
          <w:color w:val="1F3A5F"/>
        </w:rPr>
        <w:t xml:space="preserve">2. What The Cottage Is — and Is Not</w:t>
      </w:r>
    </w:p>
    <w:p>
      <w:pPr>
        <w:spacing w:after="140"/>
      </w:pPr>
      <w:r>
        <w:rPr>
          <w:b/>
          <w:bCs/>
          <w:color w:val="1F3A5F"/>
          <w:sz w:val="21"/>
          <w:szCs w:val="21"/>
        </w:rPr>
        <w:t xml:space="preserve">The Cottage — </w:t>
      </w:r>
      <w:r>
        <w:rPr>
          <w:sz w:val="21"/>
          <w:szCs w:val="21"/>
        </w:rPr>
        <w:t xml:space="preserve">The Culinary Pathway's School-Based Enterprise (SBE). It provides the primary client-centered setting in which students earn Gateway 4 (Demonstrated Client-Centered Culinary Performance) and a supervised leadership setting for Gateway 5 (Professional, Leadership, and Career Readiness).</w:t>
      </w:r>
    </w:p>
    <w:p>
      <w:pPr>
        <w:spacing w:after="140"/>
      </w:pPr>
      <w:r>
        <w:rPr>
          <w:b/>
          <w:bCs/>
          <w:color w:val="1F3A5F"/>
          <w:sz w:val="21"/>
          <w:szCs w:val="21"/>
        </w:rPr>
        <w:t xml:space="preserve">What it is not — </w:t>
      </w:r>
      <w:r>
        <w:rPr>
          <w:sz w:val="21"/>
          <w:szCs w:val="21"/>
        </w:rPr>
        <w:t xml:space="preserve">The Cottage is not simply a catering business. Revenue, event count, customer praise, and public visibility may describe The Cottage, but none of them independently proves student learning or program quality. A successful event does not by itself prove that every student completed Gateway 4.</w:t>
      </w:r>
    </w:p>
    <w:p>
      <w:pPr>
        <w:spacing w:after="140"/>
      </w:pPr>
      <w:r>
        <w:rPr>
          <w:b/>
          <w:bCs/>
          <w:color w:val="1F3A5F"/>
          <w:sz w:val="21"/>
          <w:szCs w:val="21"/>
        </w:rPr>
        <w:t xml:space="preserve">Learning Before Labor — </w:t>
      </w:r>
      <w:r>
        <w:rPr>
          <w:sz w:val="21"/>
          <w:szCs w:val="21"/>
        </w:rPr>
        <w:t xml:space="preserve">Every authentic work experience The Cottage produces remains an educational experience. Student learning always takes priority over production, convenience, or operational needs (Operating Principles, Principle 6). When an event's production demands would compromise instruction, safety, or evidence collection, the instructional priority governs.</w:t>
      </w:r>
    </w:p>
    <w:p>
      <w:pPr>
        <w:spacing w:after="140"/>
      </w:pPr>
      <w:r>
        <w:rPr>
          <w:b/>
          <w:bCs/>
          <w:color w:val="1F3A5F"/>
          <w:sz w:val="21"/>
          <w:szCs w:val="21"/>
        </w:rPr>
        <w:t xml:space="preserve">Preparation Before Independence — </w:t>
      </w:r>
      <w:r>
        <w:rPr>
          <w:sz w:val="21"/>
          <w:szCs w:val="21"/>
        </w:rPr>
        <w:t xml:space="preserve">Student responsibility on a Cottage event increases only after the student has demonstrated the knowledge, technical skill, professional behavior, and judgment necessary to succeed safely and effectively (Operating Principles, Principle 7). Role assignment always follows demonstrated readiness, not seniority or enthusiasm alone.</w:t>
      </w:r>
    </w:p>
    <w:p>
      <w:pPr>
        <w:pStyle w:val="Heading1"/>
        <w:spacing w:after="160" w:before="320"/>
      </w:pPr>
      <w:r>
        <w:rPr>
          <w:color w:val="1F3A5F"/>
        </w:rPr>
        <w:t xml:space="preserve">3. Building Alignment</w:t>
      </w:r>
    </w:p>
    <w:p>
      <w:pPr>
        <w:spacing w:after="160"/>
      </w:pPr>
      <w:r>
        <w:rPr>
          <w:sz w:val="21"/>
          <w:szCs w:val="21"/>
        </w:rPr>
        <w:t xml:space="preserve">The Cottage is the confirmed School-Based Enterprise catering operation at Arcadia.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Building / Setting</w:t>
            </w:r>
          </w:p>
        </w:tc>
        <w:tc>
          <w:tcPr>
            <w:tcW w:type="dxa" w:w="6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Operating Treatment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Arcadia — The Cottage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Operate catering and food-sale work through the approved Cottage request, planning, production, finance, safety, evidence, and closeout procedures in this guide.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Olympia</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Confirm whether and how client-centered or catering work is currently accepted and processed. Align evidence, safety, financial, and closeout standards without assuming an identical Cottage structure exists there.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Pathway-wide standard</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Students at each building receive meaningful opportunities to demonstrate the canonical Gateway outcomes. Local implementation may differ when approved procedures preserve the same standards.</w:t>
            </w:r>
          </w:p>
        </w:tc>
      </w:tr>
    </w:tbl>
    <w:p>
      <w:pPr>
        <w:spacing w:after="160"/>
      </w:pPr>
      <w:r>
        <w:rPr>
          <w:i/>
          <w:iCs/>
          <w:sz w:val="21"/>
          <w:szCs w:val="21"/>
        </w:rPr>
        <w:t xml:space="preserve">Implementation point (Book Three, Chapter 11): Olympia's current catering process, if any, must be confirmed with the building teacher and district leadership before a final district operations manual is adopted. This guide governs Arcadia operations now; it does not assume Olympia already runs an identical model.</w:t>
      </w:r>
    </w:p>
    <w:p>
      <w:pPr>
        <w:pStyle w:val="Heading1"/>
        <w:spacing w:after="160" w:before="320"/>
      </w:pPr>
      <w:r>
        <w:rPr>
          <w:color w:val="1F3A5F"/>
        </w:rPr>
        <w:t xml:space="preserve">4. Section and Appendix A — Cottage Request and Approval (SBE-04)</w:t>
      </w:r>
    </w:p>
    <w:p>
      <w:pPr>
        <w:spacing w:after="160"/>
      </w:pPr>
      <w:r>
        <w:rPr>
          <w:sz w:val="21"/>
          <w:szCs w:val="21"/>
        </w:rPr>
        <w:t xml:space="preserve">Every Cottage request is evaluated first for instructional value, then for operational feasibility. Requests should be submitted at least 15 school days before service; larger, off-site, or complex events require additional lead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Approval Area</w:t>
            </w:r>
          </w:p>
        </w:tc>
        <w:tc>
          <w:tcPr>
            <w:tcW w:type="dxa" w:w="6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Decision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Instructional value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The request provides meaningful Gateway 4 or Gateway 5 learning, not repetitive production alone.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Capacity</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The calendar, staffing, student readiness, facility, equipment, purchasing, and production time are workable.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Client scope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Date, audience, location, quantity, menu or service, budget, setup, delivery, cleanup, and contact person are clear.</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Safety and access</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Food safety, allergens, sanitation, transport, supervision, accessibility, and emergency conditions are addressed.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Financial procedure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Pricing, purchasing, payment, cash handling, reimbursement, and inventory follow current district and SBE procedures.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Approval</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The designated culinary teacher and required building or district roles approve the event before any commitment is made.</w:t>
            </w:r>
          </w:p>
        </w:tc>
      </w:tr>
    </w:tbl>
    <w:p>
      <w:pPr>
        <w:spacing w:after="160"/>
      </w:pPr>
      <w:r>
        <w:rPr>
          <w:sz w:val="21"/>
          <w:szCs w:val="21"/>
        </w:rPr>
        <w:t xml:space="preserve">The designated adult communicates commitments to the client. Students may assist with costing, proposals, and professional communication but do not enter contracts, control funds, or make unapproved purchasing commitments.</w:t>
      </w:r>
    </w:p>
    <w:p>
      <w:pPr>
        <w:pStyle w:val="Heading2"/>
        <w:spacing w:after="120" w:before="240"/>
      </w:pPr>
      <w:r>
        <w:rPr>
          <w:color w:val="1F3A5F"/>
        </w:rPr>
        <w:t xml:space="preserve">Appendix A — Cottage Request Checklist</w:t>
      </w:r>
    </w:p>
    <w:p>
      <w:pPr>
        <w:spacing w:after="160"/>
      </w:pPr>
      <w:r>
        <w:rPr>
          <w:sz w:val="21"/>
          <w:szCs w:val="21"/>
        </w:rPr>
        <w:t xml:space="preserve">Use this checklist (Book Three, Appendix D) at intake, before completing the Event Planning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Check</w:t>
            </w:r>
          </w:p>
        </w:tc>
        <w:tc>
          <w:tcPr>
            <w:tcW w:type="dxa" w:w="6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Confirmation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Instructional value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Meaningful Gateway 4 or 5 opportunity.</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Client scope</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 contact, quantity, menu or service, location, budget, setup, delivery, cleanup.</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Capacity</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Calendar, staffing, student readiness, facility, equipment, time.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Safety and access</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Food safety, allergens, transport, supervision, accessibility, emergency.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Finance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Costing, purchasing, payment, cash handling, inventory, account.</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Evidence</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Individual student roles and evidence points.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Approval</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Required teacher, building, and district approvals complete.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Closeout</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Client, facility, inventory, finance, evidence, feedback, and improvement complete.</w:t>
            </w:r>
          </w:p>
        </w:tc>
      </w:tr>
    </w:tbl>
    <w:p>
      <w:pPr>
        <w:spacing w:after="160"/>
      </w:pPr>
      <w:r>
        <w:rPr>
          <w:sz w:val="21"/>
          <w:szCs w:val="21"/>
        </w:rPr>
        <w:t xml:space="preserve">A request that fails any check does not proceed to planning until the gap is resolved or the request is declined by the designated culinary teacher.</w:t>
      </w:r>
    </w:p>
    <w:p>
      <w:r>
        <w:br w:type="page"/>
      </w:r>
    </w:p>
    <w:p>
      <w:pPr>
        <w:pStyle w:val="Heading1"/>
        <w:spacing w:after="160" w:before="320"/>
      </w:pPr>
      <w:r>
        <w:rPr>
          <w:color w:val="1F3A5F"/>
        </w:rPr>
        <w:t xml:space="preserve">5. Section and Appendix B — Purchasing and Receiving Plan (SBE-08)</w:t>
      </w:r>
    </w:p>
    <w:p>
      <w:pPr>
        <w:spacing w:after="160"/>
      </w:pPr>
      <w:r>
        <w:rPr>
          <w:sz w:val="21"/>
          <w:szCs w:val="21"/>
        </w:rPr>
        <w:t xml:space="preserve">Purchasing and receiving for a Cottage event follows current district purchasing procedures. This guide does not create a separate financial system (see also Section 11 and Book Three, Chapter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Stage</w:t>
            </w:r>
          </w:p>
        </w:tc>
        <w:tc>
          <w:tcPr>
            <w:tcW w:type="dxa" w:w="6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Practice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Vendor selection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Use district-approved vendors and accounts only. A student may research and recommend; a designated adult places the order.</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Quantity and specification</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Base quantities on the approved Menu, Production, and Costing Proposal (Event Planning Packet, Part 3). Record product specification, grade, and pack size.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Budget authorization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Confirm the purchase is within the approved event budget before ordering. Any change beyond the approved budget requires re-approval.</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Ordering</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Place orders with enough lead time for delivery, inspection, and any substitution decision before production begins.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Receiving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 designated adult inspects deliveries for quantity, condition, temperature, and specification match. Student leaders may assist under direct supervision.</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Storage</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Store received product immediately per food-safety requirements (see Appendix C). Label with receipt date and event.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Substitutions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Any substitution affecting allergens, quantity, or cost is approved by the designated culinary teacher before use, not decided independently by a student.</w:t>
            </w:r>
          </w:p>
        </w:tc>
      </w:tr>
    </w:tbl>
    <w:p>
      <w:pPr>
        <w:pStyle w:val="Heading2"/>
        <w:spacing w:after="120" w:before="240"/>
      </w:pPr>
      <w:r>
        <w:rPr>
          <w:color w:val="1F3A5F"/>
        </w:rPr>
        <w:t xml:space="preserve">Appendix B — Purchasing and Receiving Checklist</w:t>
      </w:r>
    </w:p>
    <w:p>
      <w:pPr>
        <w:pStyle w:val="ListParagraph"/>
        <w:numPr>
          <w:ilvl w:val="0"/>
          <w:numId w:val="1"/>
        </w:numPr>
        <w:spacing w:after="80"/>
      </w:pPr>
      <w:r>
        <w:rPr>
          <w:sz w:val="21"/>
          <w:szCs w:val="21"/>
        </w:rPr>
        <w:t xml:space="preserve">Vendor is district-approved and account is confirmed.</w:t>
      </w:r>
    </w:p>
    <w:p>
      <w:pPr>
        <w:pStyle w:val="ListParagraph"/>
        <w:numPr>
          <w:ilvl w:val="0"/>
          <w:numId w:val="1"/>
        </w:numPr>
        <w:spacing w:after="80"/>
      </w:pPr>
      <w:r>
        <w:rPr>
          <w:sz w:val="21"/>
          <w:szCs w:val="21"/>
        </w:rPr>
        <w:t xml:space="preserve">Quantities match the approved Menu, Production, and Costing Proposal.</w:t>
      </w:r>
    </w:p>
    <w:p>
      <w:pPr>
        <w:pStyle w:val="ListParagraph"/>
        <w:numPr>
          <w:ilvl w:val="0"/>
          <w:numId w:val="1"/>
        </w:numPr>
        <w:spacing w:after="80"/>
      </w:pPr>
      <w:r>
        <w:rPr>
          <w:sz w:val="21"/>
          <w:szCs w:val="21"/>
        </w:rPr>
        <w:t xml:space="preserve">Order is within approved budget; any variance is re-approved before ordering.</w:t>
      </w:r>
    </w:p>
    <w:p>
      <w:pPr>
        <w:pStyle w:val="ListParagraph"/>
        <w:numPr>
          <w:ilvl w:val="0"/>
          <w:numId w:val="1"/>
        </w:numPr>
        <w:spacing w:after="80"/>
      </w:pPr>
      <w:r>
        <w:rPr>
          <w:sz w:val="21"/>
          <w:szCs w:val="21"/>
        </w:rPr>
        <w:t xml:space="preserve">Delivery window fits the production schedule (Section 8).</w:t>
      </w:r>
    </w:p>
    <w:p>
      <w:pPr>
        <w:pStyle w:val="ListParagraph"/>
        <w:numPr>
          <w:ilvl w:val="0"/>
          <w:numId w:val="1"/>
        </w:numPr>
        <w:spacing w:after="80"/>
      </w:pPr>
      <w:r>
        <w:rPr>
          <w:sz w:val="21"/>
          <w:szCs w:val="21"/>
        </w:rPr>
        <w:t xml:space="preserve">Receiving inspection (quantity, condition, temperature, specification) is documented by a designated adult.</w:t>
      </w:r>
    </w:p>
    <w:p>
      <w:pPr>
        <w:pStyle w:val="ListParagraph"/>
        <w:numPr>
          <w:ilvl w:val="0"/>
          <w:numId w:val="1"/>
        </w:numPr>
        <w:spacing w:after="80"/>
      </w:pPr>
      <w:r>
        <w:rPr>
          <w:sz w:val="21"/>
          <w:szCs w:val="21"/>
        </w:rPr>
        <w:t xml:space="preserve">Storage location, labeling, and rotation are confirmed at receiving.</w:t>
      </w:r>
    </w:p>
    <w:p>
      <w:pPr>
        <w:pStyle w:val="ListParagraph"/>
        <w:numPr>
          <w:ilvl w:val="0"/>
          <w:numId w:val="1"/>
        </w:numPr>
        <w:spacing w:after="80"/>
      </w:pPr>
      <w:r>
        <w:rPr>
          <w:sz w:val="21"/>
          <w:szCs w:val="21"/>
        </w:rPr>
        <w:t xml:space="preserve">Any substitution affecting allergens, quantity, or cost is approved before use.</w:t>
      </w:r>
    </w:p>
    <w:p>
      <w:pPr>
        <w:pStyle w:val="Heading1"/>
        <w:spacing w:after="160" w:before="320"/>
      </w:pPr>
      <w:r>
        <w:rPr>
          <w:color w:val="1F3A5F"/>
        </w:rPr>
        <w:t xml:space="preserve">6. Section and Appendix C — Allergen and Food-Safety Review (SBE-09)</w:t>
      </w:r>
    </w:p>
    <w:p>
      <w:pPr>
        <w:spacing w:after="160"/>
      </w:pPr>
      <w:r>
        <w:rPr>
          <w:sz w:val="21"/>
          <w:szCs w:val="21"/>
        </w:rPr>
        <w:t xml:space="preserve">Every Cottage menu undergoes an allergen and food-safety review before production begins. This review is completed by a designated adult and documented as part of the Event Planning Packet's Menu, Production, and Costing Proposal (Part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Review Area</w:t>
            </w:r>
          </w:p>
        </w:tc>
        <w:tc>
          <w:tcPr>
            <w:tcW w:type="dxa" w:w="6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Practice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Allergen identification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Identify all major allergens present in the approved menu and any known client-disclosed dietary restriction.</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Cross-contact prevention</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Identify shared equipment, surfaces, and storage that create cross-contact risk, and the control used for each.</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Time and temperature control</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Identify each time/temperature-controlled-for-safety item, the required holding temperature, and the monitoring method and interval.</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Sanitation</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Confirm sanitation procedures for prep surfaces, equipment, and transport containers before, during, and after production.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Responsible adult</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Name the designated adult accountable for the food-safety review and for stopping production if a standard is not met.</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Reverification</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Before client-centered production through The Cottage, relevant safety, sanitation, emergency, allergen, and equipment requirements are reverified as part of each student's Gateway 4 transition (Book Two, Chapter 9; CMP-03-07 Gateway 4 Reverification Trigger).</w:t>
            </w:r>
          </w:p>
        </w:tc>
      </w:tr>
    </w:tbl>
    <w:p>
      <w:pPr>
        <w:pStyle w:val="Heading2"/>
        <w:spacing w:after="120" w:before="240"/>
      </w:pPr>
      <w:r>
        <w:rPr>
          <w:color w:val="1F3A5F"/>
        </w:rPr>
        <w:t xml:space="preserve">Appendix C — Allergen and Food-Safety Review Checklist</w:t>
      </w:r>
    </w:p>
    <w:p>
      <w:pPr>
        <w:pStyle w:val="ListParagraph"/>
        <w:numPr>
          <w:ilvl w:val="0"/>
          <w:numId w:val="1"/>
        </w:numPr>
        <w:spacing w:after="80"/>
      </w:pPr>
      <w:r>
        <w:rPr>
          <w:sz w:val="21"/>
          <w:szCs w:val="21"/>
        </w:rPr>
        <w:t xml:space="preserve">Major allergens present in the menu are listed and communicated to the production team.</w:t>
      </w:r>
    </w:p>
    <w:p>
      <w:pPr>
        <w:pStyle w:val="ListParagraph"/>
        <w:numPr>
          <w:ilvl w:val="0"/>
          <w:numId w:val="1"/>
        </w:numPr>
        <w:spacing w:after="80"/>
      </w:pPr>
      <w:r>
        <w:rPr>
          <w:sz w:val="21"/>
          <w:szCs w:val="21"/>
        </w:rPr>
        <w:t xml:space="preserve">Client-disclosed dietary restrictions are documented and matched to specific menu items.</w:t>
      </w:r>
    </w:p>
    <w:p>
      <w:pPr>
        <w:pStyle w:val="ListParagraph"/>
        <w:numPr>
          <w:ilvl w:val="0"/>
          <w:numId w:val="1"/>
        </w:numPr>
        <w:spacing w:after="80"/>
      </w:pPr>
      <w:r>
        <w:rPr>
          <w:sz w:val="21"/>
          <w:szCs w:val="21"/>
        </w:rPr>
        <w:t xml:space="preserve">Cross-contact controls are identified for shared equipment, surfaces, and storage.</w:t>
      </w:r>
    </w:p>
    <w:p>
      <w:pPr>
        <w:pStyle w:val="ListParagraph"/>
        <w:numPr>
          <w:ilvl w:val="0"/>
          <w:numId w:val="1"/>
        </w:numPr>
        <w:spacing w:after="80"/>
      </w:pPr>
      <w:r>
        <w:rPr>
          <w:sz w:val="21"/>
          <w:szCs w:val="21"/>
        </w:rPr>
        <w:t xml:space="preserve">Time/temperature-controlled-for-safety items and their required holding temperatures are listed.</w:t>
      </w:r>
    </w:p>
    <w:p>
      <w:pPr>
        <w:pStyle w:val="ListParagraph"/>
        <w:numPr>
          <w:ilvl w:val="0"/>
          <w:numId w:val="1"/>
        </w:numPr>
        <w:spacing w:after="80"/>
      </w:pPr>
      <w:r>
        <w:rPr>
          <w:sz w:val="21"/>
          <w:szCs w:val="21"/>
        </w:rPr>
        <w:t xml:space="preserve">Monitoring method and interval for temperature checks are assigned to a named student or adult.</w:t>
      </w:r>
    </w:p>
    <w:p>
      <w:pPr>
        <w:pStyle w:val="ListParagraph"/>
        <w:numPr>
          <w:ilvl w:val="0"/>
          <w:numId w:val="1"/>
        </w:numPr>
        <w:spacing w:after="80"/>
      </w:pPr>
      <w:r>
        <w:rPr>
          <w:sz w:val="21"/>
          <w:szCs w:val="21"/>
        </w:rPr>
        <w:t xml:space="preserve">Sanitation procedure is confirmed for prep, service, and transport.</w:t>
      </w:r>
    </w:p>
    <w:p>
      <w:pPr>
        <w:pStyle w:val="ListParagraph"/>
        <w:numPr>
          <w:ilvl w:val="0"/>
          <w:numId w:val="1"/>
        </w:numPr>
        <w:spacing w:after="80"/>
      </w:pPr>
      <w:r>
        <w:rPr>
          <w:sz w:val="21"/>
          <w:szCs w:val="21"/>
        </w:rPr>
        <w:t xml:space="preserve">A designated adult has final authority to stop or modify production for a safety concern.</w:t>
      </w:r>
    </w:p>
    <w:p>
      <w:pPr>
        <w:spacing w:after="160"/>
      </w:pPr>
      <w:r>
        <w:rPr>
          <w:i/>
          <w:iCs/>
          <w:sz w:val="21"/>
          <w:szCs w:val="21"/>
        </w:rPr>
        <w:t xml:space="preserve">This checklist does not replace ServSafe training, current food-code requirements, or professional judgment during service. It documents that the review occurred; it is not the safety practice itself.</w:t>
      </w:r>
    </w:p>
    <w:p>
      <w:r>
        <w:br w:type="page"/>
      </w:r>
    </w:p>
    <w:p>
      <w:pPr>
        <w:pStyle w:val="Heading1"/>
        <w:spacing w:after="160" w:before="320"/>
      </w:pPr>
      <w:r>
        <w:rPr>
          <w:color w:val="1F3A5F"/>
        </w:rPr>
        <w:t xml:space="preserve">7. Section and Appendix D — Facilities and Equipment Plan (SBE-10)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Planning Area</w:t>
            </w:r>
          </w:p>
        </w:tc>
        <w:tc>
          <w:tcPr>
            <w:tcW w:type="dxa" w:w="6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Confirmation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Location</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Production kitchen, service location, and any off-site venue are confirmed and scheduled.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Equipment</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Equipment needed for production, holding, transport, and service is identified and confirmed available and functional.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Utilities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Power, water, and refrigeration needs at both production and service locations are confirmed.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Setup and transport</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Setup sequence, transport method, and any off-site logistics (loading, vehicle, route, unloading) are planned.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Holding and service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Hot- and cold-holding equipment and method are confirmed for the full service window.</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Cleaning and restoration</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Cleaning plan and responsibility for both the production kitchen and any off-site or borrowed space are assigned.</w:t>
            </w:r>
          </w:p>
        </w:tc>
      </w:tr>
    </w:tbl>
    <w:p>
      <w:pPr>
        <w:pStyle w:val="Heading2"/>
        <w:spacing w:after="120" w:before="240"/>
      </w:pPr>
      <w:r>
        <w:rPr>
          <w:color w:val="1F3A5F"/>
        </w:rPr>
        <w:t xml:space="preserve">Appendix D — Facilities and Equipment Checklist</w:t>
      </w:r>
    </w:p>
    <w:p>
      <w:pPr>
        <w:pStyle w:val="ListParagraph"/>
        <w:numPr>
          <w:ilvl w:val="0"/>
          <w:numId w:val="1"/>
        </w:numPr>
        <w:spacing w:after="80"/>
      </w:pPr>
      <w:r>
        <w:rPr>
          <w:sz w:val="21"/>
          <w:szCs w:val="21"/>
        </w:rPr>
        <w:t xml:space="preserve">Production kitchen and service/venue locations confirmed and scheduled.</w:t>
      </w:r>
    </w:p>
    <w:p>
      <w:pPr>
        <w:pStyle w:val="ListParagraph"/>
        <w:numPr>
          <w:ilvl w:val="0"/>
          <w:numId w:val="1"/>
        </w:numPr>
        <w:spacing w:after="80"/>
      </w:pPr>
      <w:r>
        <w:rPr>
          <w:sz w:val="21"/>
          <w:szCs w:val="21"/>
        </w:rPr>
        <w:t xml:space="preserve">Required equipment list matches the approved menu and service format.</w:t>
      </w:r>
    </w:p>
    <w:p>
      <w:pPr>
        <w:pStyle w:val="ListParagraph"/>
        <w:numPr>
          <w:ilvl w:val="0"/>
          <w:numId w:val="1"/>
        </w:numPr>
        <w:spacing w:after="80"/>
      </w:pPr>
      <w:r>
        <w:rPr>
          <w:sz w:val="21"/>
          <w:szCs w:val="21"/>
        </w:rPr>
        <w:t xml:space="preserve">Utilities (power, water, refrigeration) confirmed at every location used.</w:t>
      </w:r>
    </w:p>
    <w:p>
      <w:pPr>
        <w:pStyle w:val="ListParagraph"/>
        <w:numPr>
          <w:ilvl w:val="0"/>
          <w:numId w:val="1"/>
        </w:numPr>
        <w:spacing w:after="80"/>
      </w:pPr>
      <w:r>
        <w:rPr>
          <w:sz w:val="21"/>
          <w:szCs w:val="21"/>
        </w:rPr>
        <w:t xml:space="preserve">Transport method and route planned for any off-site delivery.</w:t>
      </w:r>
    </w:p>
    <w:p>
      <w:pPr>
        <w:pStyle w:val="ListParagraph"/>
        <w:numPr>
          <w:ilvl w:val="0"/>
          <w:numId w:val="1"/>
        </w:numPr>
        <w:spacing w:after="80"/>
      </w:pPr>
      <w:r>
        <w:rPr>
          <w:sz w:val="21"/>
          <w:szCs w:val="21"/>
        </w:rPr>
        <w:t xml:space="preserve">Hot- and cold-holding equipment and monitoring plan confirmed for the full service window.</w:t>
      </w:r>
    </w:p>
    <w:p>
      <w:pPr>
        <w:pStyle w:val="ListParagraph"/>
        <w:numPr>
          <w:ilvl w:val="0"/>
          <w:numId w:val="1"/>
        </w:numPr>
        <w:spacing w:after="80"/>
      </w:pPr>
      <w:r>
        <w:rPr>
          <w:sz w:val="21"/>
          <w:szCs w:val="21"/>
        </w:rPr>
        <w:t xml:space="preserve">Cleaning, equipment shutdown, and space-restoration responsibility assigned by name.</w:t>
      </w:r>
    </w:p>
    <w:p>
      <w:pPr>
        <w:pStyle w:val="Heading1"/>
        <w:spacing w:after="160" w:before="320"/>
      </w:pPr>
      <w:r>
        <w:rPr>
          <w:color w:val="1F3A5F"/>
        </w:rPr>
        <w:t xml:space="preserve">8. Section and Appendix E — Event Timeline and Communication Plan (SBE-12)</w:t>
      </w:r>
    </w:p>
    <w:p>
      <w:pPr>
        <w:spacing w:after="160"/>
      </w:pPr>
      <w:r>
        <w:rPr>
          <w:sz w:val="21"/>
          <w:szCs w:val="21"/>
        </w:rPr>
        <w:t xml:space="preserve">Every Cottage event uses a written timeline connecting approvals, client checkpoints, purchasing, production, execution, cleanup, feedback, and closeout.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Timeline Stage</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Communication Point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Request and approval</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Client receives acknowledgment; internal approval routed per Section 4.</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Planning</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Event Planning Packet completed; client confirms menu, quantity, and logistics in writing.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Purchasing lead time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Vendor orders placed with confirmed delivery date ahead of production.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Pre-production checkpoint</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Staff confirms ingredients, equipment, sanitation, station assignments, and student roles are ready (Book Three, Chapter 13, Planning Standard).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Internal check-ins at defined intervals; escalation route to the designated culinary teacher for any deviation.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Service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Client point of contact confirmed on-site; professional communication and setup accuracy verified before release.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Cleanup and closeout</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Facility, inventory, and financial handoff completed; client follow-up communication sent within a defined window.</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Debrief and evidence</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 debrief conducted within three school days (Book Three, Chapter 13, Closeout Standard).</w:t>
            </w:r>
          </w:p>
        </w:tc>
      </w:tr>
    </w:tbl>
    <w:p>
      <w:pPr>
        <w:pStyle w:val="Heading2"/>
        <w:spacing w:after="120" w:before="240"/>
      </w:pPr>
      <w:r>
        <w:rPr>
          <w:color w:val="1F3A5F"/>
        </w:rPr>
        <w:t xml:space="preserve">Appendix E — Timeline and Communication Checklist</w:t>
      </w:r>
    </w:p>
    <w:p>
      <w:pPr>
        <w:pStyle w:val="ListParagraph"/>
        <w:numPr>
          <w:ilvl w:val="0"/>
          <w:numId w:val="1"/>
        </w:numPr>
        <w:spacing w:after="80"/>
      </w:pPr>
      <w:r>
        <w:rPr>
          <w:sz w:val="21"/>
          <w:szCs w:val="21"/>
        </w:rPr>
        <w:t xml:space="preserve">Written timeline exists covering request through closeout, dated against the event date.</w:t>
      </w:r>
    </w:p>
    <w:p>
      <w:pPr>
        <w:pStyle w:val="ListParagraph"/>
        <w:numPr>
          <w:ilvl w:val="0"/>
          <w:numId w:val="1"/>
        </w:numPr>
        <w:spacing w:after="80"/>
      </w:pPr>
      <w:r>
        <w:rPr>
          <w:sz w:val="21"/>
          <w:szCs w:val="21"/>
        </w:rPr>
        <w:t xml:space="preserve">Client checkpoints and confirmation method (written) are identified.</w:t>
      </w:r>
    </w:p>
    <w:p>
      <w:pPr>
        <w:pStyle w:val="ListParagraph"/>
        <w:numPr>
          <w:ilvl w:val="0"/>
          <w:numId w:val="1"/>
        </w:numPr>
        <w:spacing w:after="80"/>
      </w:pPr>
      <w:r>
        <w:rPr>
          <w:sz w:val="21"/>
          <w:szCs w:val="21"/>
        </w:rPr>
        <w:t xml:space="preserve">Purchasing lead time is built into the timeline, not assumed.</w:t>
      </w:r>
    </w:p>
    <w:p>
      <w:pPr>
        <w:pStyle w:val="ListParagraph"/>
        <w:numPr>
          <w:ilvl w:val="0"/>
          <w:numId w:val="1"/>
        </w:numPr>
        <w:spacing w:after="80"/>
      </w:pPr>
      <w:r>
        <w:rPr>
          <w:sz w:val="21"/>
          <w:szCs w:val="21"/>
        </w:rPr>
        <w:t xml:space="preserve">Pre-production, production, and service check-in points are assigned to named staff.</w:t>
      </w:r>
    </w:p>
    <w:p>
      <w:pPr>
        <w:pStyle w:val="ListParagraph"/>
        <w:numPr>
          <w:ilvl w:val="0"/>
          <w:numId w:val="1"/>
        </w:numPr>
        <w:spacing w:after="80"/>
      </w:pPr>
      <w:r>
        <w:rPr>
          <w:sz w:val="21"/>
          <w:szCs w:val="21"/>
        </w:rPr>
        <w:t xml:space="preserve">Escalation route for a problem during production or service is documented.</w:t>
      </w:r>
    </w:p>
    <w:p>
      <w:pPr>
        <w:pStyle w:val="ListParagraph"/>
        <w:numPr>
          <w:ilvl w:val="0"/>
          <w:numId w:val="1"/>
        </w:numPr>
        <w:spacing w:after="80"/>
      </w:pPr>
      <w:r>
        <w:rPr>
          <w:sz w:val="21"/>
          <w:szCs w:val="21"/>
        </w:rPr>
        <w:t xml:space="preserve">Debrief is scheduled within three school days of the event.</w:t>
      </w:r>
    </w:p>
    <w:p>
      <w:pPr>
        <w:pStyle w:val="Heading1"/>
        <w:spacing w:after="160" w:before="320"/>
      </w:pPr>
      <w:r>
        <w:rPr>
          <w:color w:val="1F3A5F"/>
        </w:rPr>
        <w:t xml:space="preserve">9. Section and Appendix F — Production and Service Checklists by Event Type</w:t>
      </w:r>
    </w:p>
    <w:p>
      <w:pPr>
        <w:spacing w:after="160"/>
      </w:pPr>
      <w:r>
        <w:rPr>
          <w:sz w:val="21"/>
          <w:szCs w:val="21"/>
        </w:rPr>
        <w:t xml:space="preserve">These reusable checklists support instruction and professional judgment; they do not replace either. A checklist confirms a step occurred — it does not substitute for a teacher's on-the-spot judgment about safety, quality, or readiness.</w:t>
      </w:r>
    </w:p>
    <w:p>
      <w:pPr>
        <w:pStyle w:val="Heading2"/>
        <w:spacing w:after="120" w:before="240"/>
      </w:pPr>
      <w:r>
        <w:rPr>
          <w:color w:val="1F3A5F"/>
        </w:rPr>
        <w:t xml:space="preserve">9.1 Pre-Production</w:t>
      </w:r>
    </w:p>
    <w:p>
      <w:pPr>
        <w:pStyle w:val="ListParagraph"/>
        <w:numPr>
          <w:ilvl w:val="0"/>
          <w:numId w:val="1"/>
        </w:numPr>
        <w:spacing w:after="80"/>
      </w:pPr>
      <w:r>
        <w:rPr>
          <w:sz w:val="21"/>
          <w:szCs w:val="21"/>
        </w:rPr>
        <w:t xml:space="preserve">Ingredients, equipment, and sanitation confirmed against the approved menu and safety review.</w:t>
      </w:r>
    </w:p>
    <w:p>
      <w:pPr>
        <w:pStyle w:val="ListParagraph"/>
        <w:numPr>
          <w:ilvl w:val="0"/>
          <w:numId w:val="1"/>
        </w:numPr>
        <w:spacing w:after="80"/>
      </w:pPr>
      <w:r>
        <w:rPr>
          <w:sz w:val="21"/>
          <w:szCs w:val="21"/>
        </w:rPr>
        <w:t xml:space="preserve">Station assignments matched to current Gateway status and teacher judgment.</w:t>
      </w:r>
    </w:p>
    <w:p>
      <w:pPr>
        <w:pStyle w:val="ListParagraph"/>
        <w:numPr>
          <w:ilvl w:val="0"/>
          <w:numId w:val="1"/>
        </w:numPr>
        <w:spacing w:after="80"/>
      </w:pPr>
      <w:r>
        <w:rPr>
          <w:sz w:val="21"/>
          <w:szCs w:val="21"/>
        </w:rPr>
        <w:t xml:space="preserve">Timeline and client requirements reviewed with the full team.</w:t>
      </w:r>
    </w:p>
    <w:p>
      <w:pPr>
        <w:pStyle w:val="ListParagraph"/>
        <w:numPr>
          <w:ilvl w:val="0"/>
          <w:numId w:val="1"/>
        </w:numPr>
        <w:spacing w:after="80"/>
      </w:pPr>
      <w:r>
        <w:rPr>
          <w:sz w:val="21"/>
          <w:szCs w:val="21"/>
        </w:rPr>
        <w:t xml:space="preserve">Kitchen Management leadership assignments confirmed under direct teacher supervision (see Kitchen Management Event Leadership Packet).</w:t>
      </w:r>
    </w:p>
    <w:p>
      <w:pPr>
        <w:pStyle w:val="Heading2"/>
        <w:spacing w:after="120" w:before="240"/>
      </w:pPr>
      <w:r>
        <w:rPr>
          <w:color w:val="1F3A5F"/>
        </w:rPr>
        <w:t xml:space="preserve">9.2 Production</w:t>
      </w:r>
    </w:p>
    <w:p>
      <w:pPr>
        <w:pStyle w:val="ListParagraph"/>
        <w:numPr>
          <w:ilvl w:val="0"/>
          <w:numId w:val="1"/>
        </w:numPr>
        <w:spacing w:after="80"/>
      </w:pPr>
      <w:r>
        <w:rPr>
          <w:sz w:val="21"/>
          <w:szCs w:val="21"/>
        </w:rPr>
        <w:t xml:space="preserve">Approved methods used; time and temperature protected throughout.</w:t>
      </w:r>
    </w:p>
    <w:p>
      <w:pPr>
        <w:pStyle w:val="ListParagraph"/>
        <w:numPr>
          <w:ilvl w:val="0"/>
          <w:numId w:val="1"/>
        </w:numPr>
        <w:spacing w:after="80"/>
      </w:pPr>
      <w:r>
        <w:rPr>
          <w:sz w:val="21"/>
          <w:szCs w:val="21"/>
        </w:rPr>
        <w:t xml:space="preserve">Allergen controls followed as documented in Appendix C.</w:t>
      </w:r>
    </w:p>
    <w:p>
      <w:pPr>
        <w:pStyle w:val="ListParagraph"/>
        <w:numPr>
          <w:ilvl w:val="0"/>
          <w:numId w:val="1"/>
        </w:numPr>
        <w:spacing w:after="80"/>
      </w:pPr>
      <w:r>
        <w:rPr>
          <w:sz w:val="21"/>
          <w:szCs w:val="21"/>
        </w:rPr>
        <w:t xml:space="preserve">Station organization, quality, and accurate quantities maintained.</w:t>
      </w:r>
    </w:p>
    <w:p>
      <w:pPr>
        <w:pStyle w:val="Heading2"/>
        <w:spacing w:after="120" w:before="240"/>
      </w:pPr>
      <w:r>
        <w:rPr>
          <w:color w:val="1F3A5F"/>
        </w:rPr>
        <w:t xml:space="preserve">9.3 Quality Control</w:t>
      </w:r>
    </w:p>
    <w:p>
      <w:pPr>
        <w:pStyle w:val="ListParagraph"/>
        <w:numPr>
          <w:ilvl w:val="0"/>
          <w:numId w:val="1"/>
        </w:numPr>
        <w:spacing w:after="80"/>
      </w:pPr>
      <w:r>
        <w:rPr>
          <w:sz w:val="21"/>
          <w:szCs w:val="21"/>
        </w:rPr>
        <w:t xml:space="preserve">Product, presentation, yield, holding, and transport checked against the client specification before release.</w:t>
      </w:r>
    </w:p>
    <w:p>
      <w:pPr>
        <w:pStyle w:val="ListParagraph"/>
        <w:numPr>
          <w:ilvl w:val="0"/>
          <w:numId w:val="1"/>
        </w:numPr>
        <w:spacing w:after="80"/>
      </w:pPr>
      <w:r>
        <w:rPr>
          <w:sz w:val="21"/>
          <w:szCs w:val="21"/>
        </w:rPr>
        <w:t xml:space="preserve">Service readiness confirmed before departure or service start.</w:t>
      </w:r>
    </w:p>
    <w:p>
      <w:pPr>
        <w:pStyle w:val="Heading2"/>
        <w:spacing w:after="120" w:before="240"/>
      </w:pPr>
      <w:r>
        <w:rPr>
          <w:color w:val="1F3A5F"/>
        </w:rPr>
        <w:t xml:space="preserve">9.4 Service</w:t>
      </w:r>
    </w:p>
    <w:p>
      <w:pPr>
        <w:pStyle w:val="ListParagraph"/>
        <w:numPr>
          <w:ilvl w:val="0"/>
          <w:numId w:val="1"/>
        </w:numPr>
        <w:spacing w:after="80"/>
      </w:pPr>
      <w:r>
        <w:rPr>
          <w:sz w:val="21"/>
          <w:szCs w:val="21"/>
        </w:rPr>
        <w:t xml:space="preserve">Professional communication and safe service practiced throughout.</w:t>
      </w:r>
    </w:p>
    <w:p>
      <w:pPr>
        <w:pStyle w:val="ListParagraph"/>
        <w:numPr>
          <w:ilvl w:val="0"/>
          <w:numId w:val="1"/>
        </w:numPr>
        <w:spacing w:after="80"/>
      </w:pPr>
      <w:r>
        <w:rPr>
          <w:sz w:val="21"/>
          <w:szCs w:val="21"/>
        </w:rPr>
        <w:t xml:space="preserve">Accurate setup, customer awareness, and assigned supervision maintained.</w:t>
      </w:r>
    </w:p>
    <w:p>
      <w:pPr>
        <w:pStyle w:val="Heading2"/>
        <w:spacing w:after="120" w:before="240"/>
      </w:pPr>
      <w:r>
        <w:rPr>
          <w:color w:val="1F3A5F"/>
        </w:rPr>
        <w:t xml:space="preserve">9.5 Event-Type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Event Type</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Additional Consideration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On-site sit-down service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Table/room setup, service sequencing, and front-of-house communication receive additional planning time.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Off-site delivery / drop-off</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Transport holding, vehicle loading order, and delivery-window communication are confirmed in Appendix D and 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Pop-up or bake-sale style event (for example CTE Night, Titan Bake Sale)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Simplified service format; safety, allergen labeling, and cash-handling procedures still fully apply.</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Multi-day or recurring event</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Each production day uses its own pre-production and quality-control check; a single closeout covers the full event series.</w:t>
            </w:r>
          </w:p>
        </w:tc>
      </w:tr>
    </w:tbl>
    <w:p>
      <w:r>
        <w:br w:type="page"/>
      </w:r>
    </w:p>
    <w:p>
      <w:pPr>
        <w:pStyle w:val="Heading1"/>
        <w:spacing w:after="160" w:before="320"/>
      </w:pPr>
      <w:r>
        <w:rPr>
          <w:color w:val="1F3A5F"/>
        </w:rPr>
        <w:t xml:space="preserve">10. Closeout — Procedural Guidance (from SBE-17)</w:t>
      </w:r>
    </w:p>
    <w:p>
      <w:pPr>
        <w:spacing w:after="160"/>
      </w:pPr>
      <w:r>
        <w:rPr>
          <w:sz w:val="21"/>
          <w:szCs w:val="21"/>
        </w:rPr>
        <w:t xml:space="preserve">This section states the closeout process. The closeout form itself — where staff actually record financial reconciliation, inventory, instructional review, and the embedded student reflection — is the separate Event Closeout and Financial Reconciliation Record. Do not attempt to complete closeout using this guide alone; use that record.</w:t>
      </w:r>
    </w:p>
    <w:p>
      <w:pPr>
        <w:spacing w:after="160"/>
      </w:pPr>
      <w:r>
        <w:rPr>
          <w:sz w:val="21"/>
          <w:szCs w:val="21"/>
        </w:rPr>
        <w:t xml:space="preserve">Closeout Standard (Book Three, Chapter 13):</w:t>
      </w:r>
    </w:p>
    <w:p>
      <w:pPr>
        <w:pStyle w:val="ListParagraph"/>
        <w:numPr>
          <w:ilvl w:val="0"/>
          <w:numId w:val="1"/>
        </w:numPr>
        <w:spacing w:after="80"/>
      </w:pPr>
      <w:r>
        <w:rPr>
          <w:sz w:val="21"/>
          <w:szCs w:val="21"/>
        </w:rPr>
        <w:t xml:space="preserve">1. Confirm the client deliverable and resolve any immediate concern.</w:t>
      </w:r>
    </w:p>
    <w:p>
      <w:pPr>
        <w:pStyle w:val="ListParagraph"/>
        <w:numPr>
          <w:ilvl w:val="0"/>
          <w:numId w:val="1"/>
        </w:numPr>
        <w:spacing w:after="80"/>
      </w:pPr>
      <w:r>
        <w:rPr>
          <w:sz w:val="21"/>
          <w:szCs w:val="21"/>
        </w:rPr>
        <w:t xml:space="preserve">2. Complete food-safety, facility, inventory, purchasing, payment, and equipment closeout.</w:t>
      </w:r>
    </w:p>
    <w:p>
      <w:pPr>
        <w:pStyle w:val="ListParagraph"/>
        <w:numPr>
          <w:ilvl w:val="0"/>
          <w:numId w:val="1"/>
        </w:numPr>
        <w:spacing w:after="80"/>
      </w:pPr>
      <w:r>
        <w:rPr>
          <w:sz w:val="21"/>
          <w:szCs w:val="21"/>
        </w:rPr>
        <w:t xml:space="preserve">3. Conduct the student debrief within three school days.</w:t>
      </w:r>
    </w:p>
    <w:p>
      <w:pPr>
        <w:pStyle w:val="ListParagraph"/>
        <w:numPr>
          <w:ilvl w:val="0"/>
          <w:numId w:val="1"/>
        </w:numPr>
        <w:spacing w:after="80"/>
      </w:pPr>
      <w:r>
        <w:rPr>
          <w:sz w:val="21"/>
          <w:szCs w:val="21"/>
        </w:rPr>
        <w:t xml:space="preserve">4. Collect client feedback when it supports learning or program evaluation (Client Feedback Form).</w:t>
      </w:r>
    </w:p>
    <w:p>
      <w:pPr>
        <w:pStyle w:val="ListParagraph"/>
        <w:numPr>
          <w:ilvl w:val="0"/>
          <w:numId w:val="1"/>
        </w:numPr>
        <w:spacing w:after="80"/>
      </w:pPr>
      <w:r>
        <w:rPr>
          <w:sz w:val="21"/>
          <w:szCs w:val="21"/>
        </w:rPr>
        <w:t xml:space="preserve">5. Enter course, Employability Profile, Passport, and portfolio evidence through the assigned process (Section 12).</w:t>
      </w:r>
    </w:p>
    <w:p>
      <w:pPr>
        <w:pStyle w:val="ListParagraph"/>
        <w:numPr>
          <w:ilvl w:val="0"/>
          <w:numId w:val="1"/>
        </w:numPr>
        <w:spacing w:after="80"/>
      </w:pPr>
      <w:r>
        <w:rPr>
          <w:sz w:val="21"/>
          <w:szCs w:val="21"/>
        </w:rPr>
        <w:t xml:space="preserve">6. Record one or more specific improvements before the next similar event.</w:t>
      </w:r>
    </w:p>
    <w:p>
      <w:pPr>
        <w:spacing w:after="160"/>
      </w:pPr>
      <w:r>
        <w:rPr>
          <w:i/>
          <w:iCs/>
          <w:sz w:val="21"/>
          <w:szCs w:val="21"/>
        </w:rPr>
        <w:t xml:space="preserve">Learning Before Labor: client satisfaction matters, but production never replaces instruction, individual evidence, safe supervision, feedback, or student development.</w:t>
      </w:r>
    </w:p>
    <w:p>
      <w:pPr>
        <w:pStyle w:val="Heading1"/>
        <w:spacing w:after="160" w:before="320"/>
      </w:pPr>
      <w:r>
        <w:rPr>
          <w:color w:val="1F3A5F"/>
        </w:rPr>
        <w:t xml:space="preserve">11. Finance and Records Overview</w:t>
      </w:r>
    </w:p>
    <w:p>
      <w:pPr>
        <w:spacing w:after="160"/>
      </w:pPr>
      <w:r>
        <w:rPr>
          <w:sz w:val="21"/>
          <w:szCs w:val="21"/>
        </w:rPr>
        <w:t xml:space="preserve">All Cottage revenue, purchasing, reimbursement, cash handling, inventory, and use of School-Based Enterprise funds follow approved district procedures. This guide does not establish a separate financial system (Book Three, Chapter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Operational Point</w:t>
            </w:r>
          </w:p>
        </w:tc>
        <w:tc>
          <w:tcPr>
            <w:tcW w:type="dxa" w:w="6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Required Practice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Quote or price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Use the approved costing and authorization process before a client commitment.</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Purchasing</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Use district-approved vendors, accounts, authorizations, and receiving procedures.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Payment and cash handling</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Use only approved district methods and designated adult responsibility.</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Inventory</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Record items and quantities when required for cost, safety, control, or program review.</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Revenue use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Confirm the authorized account and allowable educational use before funds are committed, including any proposed support for SkillsUSA or student activities.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Closeout</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Reconcile the event according to district and SBE requirements and preserve the record required for audit and program review — see the Event Closeout and Financial Reconciliation Record.</w:t>
            </w:r>
          </w:p>
        </w:tc>
      </w:tr>
    </w:tbl>
    <w:p>
      <w:pPr>
        <w:spacing w:after="160"/>
      </w:pPr>
      <w:r>
        <w:rPr>
          <w:i/>
          <w:iCs/>
          <w:sz w:val="21"/>
          <w:szCs w:val="21"/>
        </w:rPr>
        <w:t xml:space="preserve">The exact Cottage account structure, allowable expenditures, and Olympia catering procedures require confirmation with district leadership and current building practice. This guide states process, not a specific chart of accounts.</w:t>
      </w:r>
    </w:p>
    <w:p>
      <w:pPr>
        <w:pStyle w:val="Heading1"/>
        <w:spacing w:after="160" w:before="320"/>
      </w:pPr>
      <w:r>
        <w:rPr>
          <w:color w:val="1F3A5F"/>
        </w:rPr>
        <w:t xml:space="preserve">12. Gateway 4 Evidence and Culinary Passport Cross-Reference</w:t>
      </w:r>
    </w:p>
    <w:p>
      <w:pPr>
        <w:spacing w:after="160"/>
      </w:pPr>
      <w:r>
        <w:rPr>
          <w:sz w:val="21"/>
          <w:szCs w:val="21"/>
        </w:rPr>
        <w:t xml:space="preserve">The Cottage is the primary setting in which students earn Gateway 4 (Demonstrated Client-Centered Culinary Performance), verified by the Advanced Culinary teacher. The full Gateway 4 standard and its five assessment domains — client planning; production and service; quality control; professional performance; reflection and improvement — are defined in CMP-03-07 (Gateway 1-5 Standards and Rubrics) and are not restated in full here.</w:t>
      </w:r>
    </w:p>
    <w:p>
      <w:pPr>
        <w:spacing w:after="160"/>
      </w:pPr>
      <w:r>
        <w:rPr>
          <w:sz w:val="21"/>
          <w:szCs w:val="21"/>
        </w:rPr>
        <w:t xml:space="preserve">Gateway 4 evidence generated by a Cottage event does not create a separate SBE-18 evidence file. It is recorded directly in the existing Culinary Passport workbook (CMP-02), specifically:</w:t>
      </w:r>
    </w:p>
    <w:p>
      <w:pPr>
        <w:pStyle w:val="ListParagraph"/>
        <w:numPr>
          <w:ilvl w:val="0"/>
          <w:numId w:val="1"/>
        </w:numPr>
        <w:spacing w:after="80"/>
      </w:pPr>
      <w:r>
        <w:rPr>
          <w:sz w:val="21"/>
          <w:szCs w:val="21"/>
        </w:rPr>
        <w:t xml:space="preserve">The Evidence Log tab: one row per piece of evidence, recording Student Name, District ID, Gateway # (4), Evidence Type, Evidence Description, Source Record / Location (cite the specific Cottage event and this guide's relevant section, plus the Event Planning Packet or Closeout Record), Date of Evidence, and Logged By.</w:t>
      </w:r>
    </w:p>
    <w:p>
      <w:pPr>
        <w:pStyle w:val="ListParagraph"/>
        <w:numPr>
          <w:ilvl w:val="0"/>
          <w:numId w:val="1"/>
        </w:numPr>
        <w:spacing w:after="80"/>
      </w:pPr>
      <w:r>
        <w:rPr>
          <w:sz w:val="21"/>
          <w:szCs w:val="21"/>
        </w:rPr>
        <w:t xml:space="preserve">The Gateway Status (1-6) tab: updated by the verifying teacher once the body of evidence across an event or across multiple events supports a Gateway 4 decision (Completion, Completion with Distinction, or Not Yet Completed).</w:t>
      </w:r>
    </w:p>
    <w:p>
      <w:pPr>
        <w:spacing w:after="160"/>
      </w:pPr>
      <w:r>
        <w:rPr>
          <w:sz w:val="21"/>
          <w:szCs w:val="21"/>
        </w:rPr>
        <w:t xml:space="preserve">A successful event does not by itself prove that every student completed Gateway 4. Client satisfaction matters but does not replace safety, quality, professional conduct, teacher judgment, or evidence of learning. When evidence is incomplete for a student, assign targeted practice and a later equivalent client-centered task rather than crediting Gateway 4 from event participation alone (CMP-03-07).</w:t>
      </w:r>
    </w:p>
    <w:p>
      <w:pPr>
        <w:spacing w:after="160"/>
      </w:pPr>
      <w:r>
        <w:rPr>
          <w:sz w:val="21"/>
          <w:szCs w:val="21"/>
        </w:rPr>
        <w:t xml:space="preserve">Staff logging Cottage evidence should also follow the naming and storage conventions in CMP-14 (Evidence Naming and Storage Guide) so that Cottage-generated evidence is retrievable in the same way as classroom-generated evidence.</w:t>
      </w:r>
    </w:p>
    <w:p>
      <w:pPr>
        <w:pStyle w:val="Heading1"/>
        <w:spacing w:after="160" w:before="320"/>
      </w:pPr>
      <w:r>
        <w:rPr>
          <w:color w:val="1F3A5F"/>
        </w:rPr>
        <w:t xml:space="preserve">13. Related Documents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Document</w:t>
            </w:r>
          </w:p>
        </w:tc>
        <w:tc>
          <w:tcPr>
            <w:tcW w:type="dxa" w:w="3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Used For</w:t>
            </w:r>
          </w:p>
        </w:tc>
        <w:tc>
          <w:tcPr>
            <w:tcW w:type="dxa" w:w="33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Relationship to This Guide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Event Planning Packet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Client intake, educational purpose and evidence plan, menu/costing proposal, student role assignment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Completed together during planning, before an event — use alongside Sections 4-8 of this guide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Client Agreement (SBE-05)</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Legal/contractual terms with the client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Kept separate — legal and payment/cancellation terms require district counsel review before finalization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Event Closeout and Financial Reconciliation Record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Financial/inventory reconciliation, instructional closeout review, embedded student reflection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Completed together at event closeout — the actual working form for Section 10</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Client Feedback Form (SBE-14)</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Short client-facing quality and professionalism survey</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Kept separate — external audience, different purpose than the internal closeout record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The Cottage Event Register (SBE-19)</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 annual log of requests, decisions, events, and outcomes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Aggregate tracker updated after each event, not a per-event form</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Culinary Passport (CMP-02)</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Official student competency record</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Gateway 4 evidence generated by Cottage events is logged here — see Section 12</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CMP-03-07 Gateway 1-5 Standards and Rubrics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Full Gateway 4 performance standard and rubric</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This guide operationalizes the workflow; CMP-03-07 defines the standard itself</w:t>
            </w:r>
          </w:p>
        </w:tc>
      </w:tr>
    </w:tbl>
    <w:p>
      <w:pPr>
        <w:pStyle w:val="Heading1"/>
        <w:spacing w:after="160" w:before="320"/>
      </w:pPr>
      <w:r>
        <w:rPr>
          <w:color w:val="1F3A5F"/>
        </w:rPr>
        <w:t xml:space="preserve">14. Status Note</w:t>
      </w:r>
    </w:p>
    <w:p>
      <w:pPr>
        <w:spacing w:after="160"/>
      </w:pPr>
      <w:r>
        <w:rPr>
          <w:sz w:val="21"/>
          <w:szCs w:val="21"/>
        </w:rPr>
        <w:t xml:space="preserve">This guide is Approved for Planning Use. It does not depend on authorization of the Senior External Work-Based Learning course (PA-06 in the Program Status and Authorization Register) and may be used to plan and run Cottage events now. It describes the formalization of an activity that already exists at GCSD (PA-08, PA-09) — it does not assume The Cottage is starting from nothing.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The Cottage Operations and Instructional Guide</dc:title>
  <dc:creator>Kevin McCann</dc:creator>
  <cp:lastModifiedBy>Un-named</cp:lastModifiedBy>
  <cp:revision>1</cp:revision>
  <dcterms:created xsi:type="dcterms:W3CDTF">2026-07-13T01:42:38.501Z</dcterms:created>
  <dcterms:modified xsi:type="dcterms:W3CDTF">2026-07-13T01:42:38.502Z</dcterms:modified>
</cp:coreProperties>
</file>

<file path=docProps/custom.xml><?xml version="1.0" encoding="utf-8"?>
<Properties xmlns="http://schemas.openxmlformats.org/officeDocument/2006/custom-properties" xmlns:vt="http://schemas.openxmlformats.org/officeDocument/2006/docPropsVTypes"/>
</file>