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6 | Employer, Mentor, and Training-Station System — CONDITIONAL PLANNING DRAFT</w:t>
      </w:r>
    </w:p>
    <w:p>
      <w:pPr>
        <w:spacing w:after="120"/>
      </w:pPr>
      <w:r>
        <w:rPr>
          <w:b/>
          <w:bCs/>
          <w:color w:val="1F3A5F"/>
          <w:sz w:val="52"/>
          <w:szCs w:val="52"/>
        </w:rPr>
        <w:t xml:space="preserve">Employer and Community Partnership Overview</w:t>
      </w:r>
    </w:p>
    <w:p>
      <w:pPr>
        <w:spacing w:after="400"/>
      </w:pPr>
      <w:r>
        <w:rPr>
          <w:i/>
          <w:iCs/>
          <w:color w:val="666666"/>
          <w:sz w:val="26"/>
          <w:szCs w:val="26"/>
        </w:rPr>
        <w:t xml:space="preserve">What a Culinary Pathway training-station partnership is, why it exists, and how an organization expresses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EMP-01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Employer and Community Partnership Overview</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Prospective employer and community partners; general public</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Explain the educational purpose of a Culinary Pathway training-station partnership, the mentor's role, approved-duties framing, the Learning-Before-Labor principle, and how an organization expresses interest. Internal source document; content is intended to feed the future public WEB-10 page (Work Package 2B Phase 2B), which is not produced here.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WBL Coordinator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CONDITIONAL PLANNING DRAFT — Not adopted district policy — Not authorized for implementation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 — internal source document pending Work Package 2B Phase 2B public adaptation; depends on unauthorized program components (PA-06, PA-14)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Pathway Canon v3.0; Operating Principles v1.0 (Principles 6 and 7); Book Three Ch.16-17; GOV-10 PA-06, PA-14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Immediately upon any Board or District Leadership action affecting PA-06 or PA-14 authorization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 not publish, distribute, or present to any employer until PA-06 and PA-14 status changes and Work Package 2B Phase 2B adapts this content for the public site.</w:t>
            </w:r>
          </w:p>
        </w:tc>
      </w:tr>
    </w:tbl>
    <w:p>
      <w:pPr>
        <w:pBdr>
          <w:top w:val="single" w:color="B08D57" w:sz="6" w:space="8"/>
        </w:pBdr>
        <w:spacing w:after="0" w:before="400"/>
      </w:pPr>
      <w:r>
        <w:rPr>
          <w:i/>
          <w:iCs/>
          <w:color w:val="666666"/>
          <w:sz w:val="20"/>
          <w:szCs w:val="20"/>
        </w:rPr>
        <w:t xml:space="preserve">Learning Before Labor — the educational nature of every partnership is stated up front, not assumed.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0392B" w:sz="24"/>
              <w:left w:val="single" w:color="C0392B" w:sz="24"/>
              <w:bottom w:val="single" w:color="C0392B" w:sz="24"/>
              <w:right w:val="single" w:color="C0392B" w:sz="24"/>
            </w:tcBorders>
            <w:shd w:fill="FDEDEC" w:val="clear"/>
            <w:tcMar>
              <w:top w:type="dxa" w:w="200"/>
              <w:left w:type="dxa" w:w="240"/>
              <w:bottom w:type="dxa" w:w="200"/>
              <w:right w:type="dxa" w:w="240"/>
            </w:tcMar>
          </w:tcPr>
          <w:p>
            <w:pPr>
              <w:spacing w:after="100"/>
            </w:pPr>
            <w:r>
              <w:rPr>
                <w:b/>
                <w:bCs/>
                <w:caps/>
                <w:color w:val="C0392B"/>
                <w:sz w:val="26"/>
                <w:szCs w:val="26"/>
              </w:rPr>
              <w:t xml:space="preserve">CONDITIONAL PLANNING DRAFT</w:t>
            </w:r>
          </w:p>
          <w:p>
            <w:pPr>
              <w:spacing w:after="100"/>
            </w:pPr>
            <w:r>
              <w:rPr>
                <w:b/>
                <w:bCs/>
                <w:color w:val="C0392B"/>
                <w:sz w:val="22"/>
                <w:szCs w:val="22"/>
              </w:rPr>
              <w:t xml:space="preserve">Conditional planning draft. Not adopted district policy. Not authorized for implementation.</w:t>
            </w:r>
          </w:p>
          <w:p>
            <w:r>
              <w:rPr>
                <w:color w:val="C0392B"/>
                <w:sz w:val="20"/>
                <w:szCs w:val="20"/>
              </w:rPr>
              <w:t xml:space="preserve">This document supports the Senior External Work-Based Learning course and/or employer/training-station partnerships, neither of which is currently authorized (GOV-10 PA-06, PA-14). No training-station partnerships currently exist. Structures, templates, workflows, and readiness materials may be drafted now; legal, labor-law, insurance, transportation, staffing, fiscal, NYSED-registration, and district-policy claims remain unverified and must not be finalized without current official sources. (Kevin McCann decision, GOV-10 PA-06, 2026-07-12.)</w:t>
            </w:r>
          </w:p>
        </w:tc>
      </w:tr>
    </w:tbl>
    <w:p>
      <w:pPr>
        <w:spacing w:after="160"/>
      </w:pPr>
      <w:r>
        <w:rPr>
          <w:sz w:val="21"/>
          <w:szCs w:val="21"/>
        </w:rPr>
        <w:t xml:space="preserve"/>
      </w:r>
    </w:p>
    <w:p>
      <w:pPr>
        <w:pStyle w:val="Heading1"/>
        <w:spacing w:after="160" w:before="320"/>
      </w:pPr>
      <w:r>
        <w:rPr>
          <w:color w:val="1F3A5F"/>
        </w:rPr>
        <w:t xml:space="preserve">1. What the Culinary Pathway Is</w:t>
      </w:r>
    </w:p>
    <w:p>
      <w:pPr>
        <w:spacing w:after="160"/>
      </w:pPr>
      <w:r>
        <w:rPr>
          <w:sz w:val="21"/>
          <w:szCs w:val="21"/>
        </w:rPr>
        <w:t xml:space="preserve">The GCSD Culinary Pathway is a structured, three-year instructional sequence that progresses from foundational culinary instruction, through client-centered production and leadership development, to a proposed culminating senior-year Work-Based Learning course (Canon v3.0). A training-station partnership supports only the final stage of that sequence: authentic, supervised professional practice for students who have already demonstrated readiness.</w:t>
      </w:r>
    </w:p>
    <w:p>
      <w:pPr>
        <w:spacing w:after="160"/>
      </w:pPr>
      <w:r>
        <w:rPr>
          <w:sz w:val="21"/>
          <w:szCs w:val="21"/>
        </w:rPr>
        <w:t xml:space="preserve">No student begins a workplace placement without first completing Gateway 5 (Professional, Leadership, and Career Readiness) inside the school program. A training station is not an entry point into the pathway — it is where a student who has already earned readiness practices it under supervision.</w:t>
      </w:r>
    </w:p>
    <w:p>
      <w:pPr>
        <w:pStyle w:val="Heading1"/>
        <w:spacing w:after="160" w:before="320"/>
      </w:pPr>
      <w:r>
        <w:rPr>
          <w:color w:val="1F3A5F"/>
        </w:rPr>
        <w:t xml:space="preserve">2. Why a Business or Organization Would Partner</w:t>
      </w:r>
    </w:p>
    <w:p>
      <w:pPr>
        <w:pStyle w:val="ListParagraph"/>
        <w:numPr>
          <w:ilvl w:val="0"/>
          <w:numId w:val="1"/>
        </w:numPr>
        <w:spacing w:after="80"/>
      </w:pPr>
      <w:r>
        <w:rPr>
          <w:sz w:val="21"/>
          <w:szCs w:val="21"/>
        </w:rPr>
        <w:t xml:space="preserve">Contribute directly to developing the local workforce and hospitality talent pipeline.</w:t>
      </w:r>
    </w:p>
    <w:p>
      <w:pPr>
        <w:pStyle w:val="ListParagraph"/>
        <w:numPr>
          <w:ilvl w:val="0"/>
          <w:numId w:val="1"/>
        </w:numPr>
        <w:spacing w:after="80"/>
      </w:pPr>
      <w:r>
        <w:rPr>
          <w:sz w:val="21"/>
          <w:szCs w:val="21"/>
        </w:rPr>
        <w:t xml:space="preserve">Work with a student who has already demonstrated safety, sanitation, technical, and professional-readiness competencies before ever entering the workplace.</w:t>
      </w:r>
    </w:p>
    <w:p>
      <w:pPr>
        <w:pStyle w:val="ListParagraph"/>
        <w:numPr>
          <w:ilvl w:val="0"/>
          <w:numId w:val="1"/>
        </w:numPr>
        <w:spacing w:after="80"/>
      </w:pPr>
      <w:r>
        <w:rPr>
          <w:sz w:val="21"/>
          <w:szCs w:val="21"/>
        </w:rPr>
        <w:t xml:space="preserve">Receive coordinator support throughout the placement — orientation, a written training plan, scheduled check-ins, and site visits.</w:t>
      </w:r>
    </w:p>
    <w:p>
      <w:pPr>
        <w:pStyle w:val="ListParagraph"/>
        <w:numPr>
          <w:ilvl w:val="0"/>
          <w:numId w:val="1"/>
        </w:numPr>
        <w:spacing w:after="80"/>
      </w:pPr>
      <w:r>
        <w:rPr>
          <w:sz w:val="21"/>
          <w:szCs w:val="21"/>
        </w:rPr>
        <w:t xml:space="preserve">Shape a student's early professional experience in a structured, low-risk way.</w:t>
      </w:r>
    </w:p>
    <w:p>
      <w:pPr>
        <w:pStyle w:val="Heading1"/>
        <w:spacing w:after="160" w:before="320"/>
      </w:pPr>
      <w:r>
        <w:rPr>
          <w:color w:val="1F3A5F"/>
        </w:rPr>
        <w:t xml:space="preserve">3. Educational Purpose — This Is a Course, Not a Staffing Arrangement</w:t>
      </w:r>
    </w:p>
    <w:p>
      <w:pPr>
        <w:spacing w:after="160"/>
      </w:pPr>
      <w:r>
        <w:rPr>
          <w:sz w:val="21"/>
          <w:szCs w:val="21"/>
        </w:rPr>
        <w:t xml:space="preserve">A Culinary Pathway training-station placement is part of a 1.0-credit high school course supervised by a credentialed Work-Based Learning Coordinator. It is not a hiring service, a staffing referral, or an internship program operated independently of the school. The student remains a student first.</w:t>
      </w:r>
    </w:p>
    <w:p>
      <w:pPr>
        <w:spacing w:after="140"/>
      </w:pPr>
      <w:r>
        <w:rPr>
          <w:b/>
          <w:bCs/>
          <w:color w:val="1F3A5F"/>
          <w:sz w:val="21"/>
          <w:szCs w:val="21"/>
        </w:rPr>
        <w:t xml:space="preserve">Learning Before Labor — </w:t>
      </w:r>
      <w:r>
        <w:rPr>
          <w:sz w:val="21"/>
          <w:szCs w:val="21"/>
        </w:rPr>
        <w:t xml:space="preserve">Every authentic work experience remains an educational experience. Student learning always takes priority over production, convenience, or operational needs (Operating Principles, Principle 6).</w:t>
      </w:r>
    </w:p>
    <w:p>
      <w:pPr>
        <w:spacing w:after="140"/>
      </w:pPr>
      <w:r>
        <w:rPr>
          <w:b/>
          <w:bCs/>
          <w:color w:val="1F3A5F"/>
          <w:sz w:val="21"/>
          <w:szCs w:val="21"/>
        </w:rPr>
        <w:t xml:space="preserve">Preparation Before Independence — </w:t>
      </w:r>
      <w:r>
        <w:rPr>
          <w:sz w:val="21"/>
          <w:szCs w:val="21"/>
        </w:rPr>
        <w:t xml:space="preserve">Responsibility increases only after a student has demonstrated the knowledge, technical skill, professional behavior, and judgment necessary to succeed safely and effectively (Operating Principles, Principle 7).</w:t>
      </w:r>
    </w:p>
    <w:p>
      <w:pPr>
        <w:pStyle w:val="Heading1"/>
        <w:spacing w:after="160" w:before="320"/>
      </w:pPr>
      <w:r>
        <w:rPr>
          <w:color w:val="1F3A5F"/>
        </w:rPr>
        <w:t xml:space="preserve">4. The Mentor's Role</w:t>
      </w:r>
    </w:p>
    <w:p>
      <w:pPr>
        <w:spacing w:after="160"/>
      </w:pPr>
      <w:r>
        <w:rPr>
          <w:sz w:val="21"/>
          <w:szCs w:val="21"/>
        </w:rPr>
        <w:t xml:space="preserve">Every approved training station designates a workplace mentor: an adult employee who supervises the student's daily work, communicates regularly with the WBL Coordinator, observes performance, and provides feedback.</w:t>
      </w:r>
    </w:p>
    <w:p>
      <w:pPr>
        <w:pBdr>
          <w:top w:val="single" w:color="B08D57" w:sz="8" w:space="6"/>
          <w:bottom w:val="single" w:color="B08D57" w:sz="8" w:space="6"/>
        </w:pBdr>
        <w:spacing w:after="200" w:before="120"/>
      </w:pPr>
      <w:r>
        <w:rPr>
          <w:b/>
          <w:bCs/>
          <w:color w:val="1F3A5F"/>
          <w:sz w:val="20"/>
          <w:szCs w:val="20"/>
        </w:rPr>
        <w:t xml:space="preserve">Division of Authority.  </w:t>
      </w:r>
      <w:r>
        <w:rPr>
          <w:sz w:val="20"/>
          <w:szCs w:val="20"/>
        </w:rPr>
        <w:t xml:space="preserve">The employer does not design curriculum. The educator (the credentialed WBL Coordinator, in coordination with the Culinary Pathway teaching team) sets learning objectives and required documentation. The mentor supervises the student's daily work, communicates with the coordinator, observes performance, and gives feedback within the approved duties and training plan. (Operating Principles: Learning Before Labor, Preparation Before Independence.)</w:t>
      </w:r>
    </w:p>
    <w:p>
      <w:pPr>
        <w:spacing w:after="160"/>
      </w:pPr>
      <w:r>
        <w:rPr>
          <w:sz w:val="21"/>
          <w:szCs w:val="21"/>
        </w:rPr>
        <w:t xml:space="preserve">This division of authority exists so that the workplace remains an instructional laboratory and not simply a source of labor (Book Three Ch.17).</w:t>
      </w:r>
    </w:p>
    <w:p>
      <w:pPr>
        <w:pStyle w:val="Heading1"/>
        <w:spacing w:after="160" w:before="320"/>
      </w:pPr>
      <w:r>
        <w:rPr>
          <w:color w:val="1F3A5F"/>
        </w:rPr>
        <w:t xml:space="preserve">5. Approved-Duties Framing</w:t>
      </w:r>
    </w:p>
    <w:p>
      <w:pPr>
        <w:spacing w:after="160"/>
      </w:pPr>
      <w:r>
        <w:rPr>
          <w:sz w:val="21"/>
          <w:szCs w:val="21"/>
        </w:rPr>
        <w:t xml:space="preserve">Every placement operates from a written, coordinator-approved list of duties matched to the student's training plan and to applicable minor-employment law. A mentor does not unilaterally expand a student's duties beyond that approved list; any duty change goes through the coordinator (see EMP-18, Schedule, Duty, Mentor, or Location Change Request).</w:t>
      </w:r>
    </w:p>
    <w:p>
      <w:pPr>
        <w:spacing w:after="160"/>
      </w:pPr>
      <w:r>
        <w:rPr>
          <w:sz w:val="21"/>
          <w:szCs w:val="21"/>
        </w:rPr>
        <w:t xml:space="preserve">Specific legal thresholds governing minor employment (permitted hours, prohibited duties, work-permit requirements) are not stated in this overview. They are tracked as an unverified legal dependency (see EMP-12, Minor Employment and Scheduling Guidance, and the WP6 Legal-Policy Dependency Log, cross-referencing Production Control Log item LP-01).</w:t>
      </w:r>
    </w:p>
    <w:p>
      <w:pPr>
        <w:pStyle w:val="Heading1"/>
        <w:spacing w:after="160" w:before="320"/>
      </w:pPr>
      <w:r>
        <w:rPr>
          <w:color w:val="1F3A5F"/>
        </w:rPr>
        <w:t xml:space="preserve">6. What Partnership Involves,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200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Step</w:t>
            </w:r>
          </w:p>
        </w:tc>
        <w:tc>
          <w:tcPr>
            <w:tcW w:type="dxa" w:w="5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What Happens</w:t>
            </w:r>
          </w:p>
        </w:tc>
        <w:tc>
          <w:tcPr>
            <w:tcW w:type="dxa" w:w="2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Document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1. Express interest</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An organization submits a low-barrier inquiry. Submission is not approval or a placement guarantee.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EMP-02 Partner Interest Form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2. Site review</w:t>
            </w:r>
          </w:p>
        </w:tc>
        <w:tc>
          <w:tcPr>
            <w:tcW w:type="dxa" w:w="5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The coordinator gathers detailed site information and conducts a screening/site review.</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EMP-03 Training Station Profile; EMP-04 Screening and Site Review Checklist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3. Decision</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The coordinator approves, conditionally approves, or declines the training station, with reasons and next steps.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EMP-05 Training Station Decision Notice Set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4. Agreement</w:t>
            </w:r>
          </w:p>
        </w:tc>
        <w:tc>
          <w:tcPr>
            <w:tcW w:type="dxa" w:w="5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The organization and district sign a partnership agreement.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EMP-06 Employer Partnership Agreement (RESTRICTED — pending district legal review)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5. Mentor preparation</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The designated mentor completes orientation and acknowledges understanding of the role.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Mentor Handbook and Orientation Packet (EMP-07-08-09)</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6. Individualized planning and launch</w:t>
            </w:r>
          </w:p>
        </w:tc>
        <w:tc>
          <w:tcPr>
            <w:tcW w:type="dxa" w:w="5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 student-specific training plan and placement record are completed before the first counted hour.</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Individualized Training Plan and Placement Record (EMP-10-11-13)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7. Ongoing supervision and evaluation</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Coordinator check-ins, site visits, and midpoint/final evaluations continue through the placement.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Midpoint and Final Employer Evaluation (EMP-15-16); OPS coordinator trackers</w:t>
            </w:r>
          </w:p>
        </w:tc>
      </w:tr>
    </w:tbl>
    <w:p>
      <w:pPr>
        <w:pStyle w:val="Heading1"/>
        <w:spacing w:after="160" w:before="320"/>
      </w:pPr>
      <w:r>
        <w:rPr>
          <w:color w:val="1F3A5F"/>
        </w:rPr>
        <w:t xml:space="preserve">7. How to Express Interest</w:t>
      </w:r>
    </w:p>
    <w:p>
      <w:pPr>
        <w:spacing w:after="160"/>
      </w:pPr>
      <w:r>
        <w:rPr>
          <w:sz w:val="21"/>
          <w:szCs w:val="21"/>
        </w:rPr>
        <w:t xml:space="preserve">An organization interested in exploring a future partnership completes the Partner Interest Form (EMP-02). Because the senior External Work-Based Learning course is not yet authorized (GOV-10 PA-06) and no training-station partnerships currently exist (GOV-10 PA-14), an expression of interest at this time begins a planning conversation only — it does not create an active placement and cannot be acted upon until authorization is granted.</w:t>
      </w:r>
    </w:p>
    <w:p>
      <w:pPr>
        <w:pStyle w:val="Heading1"/>
        <w:spacing w:after="160" w:before="320"/>
      </w:pPr>
      <w:r>
        <w:rPr>
          <w:color w:val="1F3A5F"/>
        </w:rPr>
        <w:t xml:space="preserve">8. Related Documents</w:t>
      </w:r>
    </w:p>
    <w:p>
      <w:pPr>
        <w:spacing w:after="160"/>
      </w:pPr>
      <w:r>
        <w:rPr>
          <w:sz w:val="21"/>
          <w:szCs w:val="21"/>
        </w:rPr>
        <w:t xml:space="preserve">This overview is an internal source document. Work Package 2B Phase 2B is responsible for adapting appropriate portions of this content into the public-facing WEB-10 Employer and Community Partners page once the underlying program status changes. This document does not itself constitute, and must not be treated as, published web content.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Employer and Community Partnership Overview (CONDITIONAL PLANNING DRAFT)</dc:title>
  <dc:creator>Kevin McCann</dc:creator>
  <cp:lastModifiedBy>Un-named</cp:lastModifiedBy>
  <cp:revision>1</cp:revision>
  <dcterms:created xsi:type="dcterms:W3CDTF">2026-07-14T12:04:23.278Z</dcterms:created>
  <dcterms:modified xsi:type="dcterms:W3CDTF">2026-07-14T12:04:23.291Z</dcterms:modified>
</cp:coreProperties>
</file>

<file path=docProps/custom.xml><?xml version="1.0" encoding="utf-8"?>
<Properties xmlns="http://schemas.openxmlformats.org/officeDocument/2006/custom-properties" xmlns:vt="http://schemas.openxmlformats.org/officeDocument/2006/docPropsVTypes"/>
</file>