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Work Package 6 | Employer, Mentor, and Training-Station System — CONDITIONAL PLANNING DRAFT</w:t>
      </w:r>
    </w:p>
    <w:p>
      <w:pPr>
        <w:spacing w:after="120"/>
      </w:pPr>
      <w:r>
        <w:rPr>
          <w:b/>
          <w:bCs/>
          <w:color w:val="1F3A5F"/>
          <w:sz w:val="52"/>
          <w:szCs w:val="52"/>
        </w:rPr>
        <w:t xml:space="preserve">Employer Partnership Agreement</w:t>
      </w:r>
    </w:p>
    <w:p>
      <w:pPr>
        <w:spacing w:after="400"/>
      </w:pPr>
      <w:r>
        <w:rPr>
          <w:i/>
          <w:iCs/>
          <w:color w:val="666666"/>
          <w:sz w:val="26"/>
          <w:szCs w:val="26"/>
        </w:rPr>
        <w:t xml:space="preserve">The legal/contractual record of a training-station partnership's scope, responsibilities, and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EMP-06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Employer Partnership Agreement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Employer/training-station organization, district administration, WBL Coordinator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Define the educational purpose, responsibilities, supervision, safety, communication, records, change, termination, and compliance terms of a training-station partnership. Flagged for district legal review — payment, liability, and compliance terms are placeholders pending district counsel.</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WBL Coordinator and District Administration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Draft template — Approved for Planning Use as a structural template only. NOT approved for use with an actual employer until district counsel review is complete (see boxed notices below). Also CONDITIONAL PLANNING DRAFT because it depends on PA-06/PA-14.</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RESTRICTED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Book Three Ch.17-18; district contracting and legal policy (pending verification); GOV-10 PA-06, PA-14</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Before first live use, and annually each July thereafter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None — first issue. Kept as a separate document, not folded into the Mentor Handbook or the Training Plan, because it is a legal/contractual instrument with a district-review dependency distinct from day-to-day placement operations (same pattern as SBE-05 Client Agreement).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Required Action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 not present this template to an employer, and do not treat any field on it as binding, until district counsel confirms compliance, liability, and any payment-adjacent language, and until PA-06/PA-14 authorization changes.</w:t>
            </w:r>
          </w:p>
        </w:tc>
      </w:tr>
    </w:tbl>
    <w:p>
      <w:pPr>
        <w:pBdr>
          <w:top w:val="single" w:color="B08D57" w:sz="6" w:space="8"/>
        </w:pBdr>
        <w:spacing w:after="0" w:before="400"/>
      </w:pPr>
      <w:r>
        <w:rPr>
          <w:i/>
          <w:iCs/>
          <w:color w:val="666666"/>
          <w:sz w:val="20"/>
          <w:szCs w:val="20"/>
        </w:rPr>
        <w:t xml:space="preserve">Learning Before Labor — the educational nature of the partnership is stated to the employer in writing, not assumed.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0392B" w:sz="24"/>
              <w:left w:val="single" w:color="C0392B" w:sz="24"/>
              <w:bottom w:val="single" w:color="C0392B" w:sz="24"/>
              <w:right w:val="single" w:color="C0392B" w:sz="24"/>
            </w:tcBorders>
            <w:shd w:fill="FDEDEC" w:val="clear"/>
            <w:tcMar>
              <w:top w:type="dxa" w:w="200"/>
              <w:left w:type="dxa" w:w="240"/>
              <w:bottom w:type="dxa" w:w="200"/>
              <w:right w:type="dxa" w:w="240"/>
            </w:tcMar>
          </w:tcPr>
          <w:p>
            <w:pPr>
              <w:spacing w:after="100"/>
            </w:pPr>
            <w:r>
              <w:rPr>
                <w:b/>
                <w:bCs/>
                <w:caps/>
                <w:color w:val="C0392B"/>
                <w:sz w:val="26"/>
                <w:szCs w:val="26"/>
              </w:rPr>
              <w:t xml:space="preserve">CONDITIONAL PLANNING DRAFT</w:t>
            </w:r>
          </w:p>
          <w:p>
            <w:pPr>
              <w:spacing w:after="100"/>
            </w:pPr>
            <w:r>
              <w:rPr>
                <w:b/>
                <w:bCs/>
                <w:color w:val="C0392B"/>
                <w:sz w:val="22"/>
                <w:szCs w:val="22"/>
              </w:rPr>
              <w:t xml:space="preserve">Conditional planning draft. Not adopted district policy. Not authorized for implementation.</w:t>
            </w:r>
          </w:p>
          <w:p>
            <w:r>
              <w:rPr>
                <w:color w:val="C0392B"/>
                <w:sz w:val="20"/>
                <w:szCs w:val="20"/>
              </w:rPr>
              <w:t xml:space="preserve">This document supports the Senior External Work-Based Learning course and/or employer/training-station partnerships, neither of which is currently authorized (GOV-10 PA-06, PA-14). No training-station partnerships currently exist. Structures, templates, workflows, and readiness materials may be drafted now; legal, labor-law, insurance, transportation, staffing, fiscal, NYSED-registration, and district-policy claims remain unverified and must not be finalized without current official sources. (Kevin McCann decision, GOV-10 PA-06, 2026-07-12.)</w:t>
            </w:r>
          </w:p>
        </w:tc>
      </w:tr>
    </w:tbl>
    <w:p>
      <w:pPr>
        <w:spacing w:after="160"/>
      </w:pPr>
      <w:r>
        <w:rPr>
          <w:sz w:val="21"/>
          <w:szCs w:val="21"/>
        </w:rPr>
        <w:t xml:space="preserve"/>
      </w:r>
    </w:p>
    <w:p>
      <w:pPr>
        <w:pBdr>
          <w:top w:val="single" w:color="B08D57" w:sz="12"/>
          <w:bottom w:val="single" w:color="B08D57" w:sz="12"/>
          <w:left w:val="single" w:color="B08D57" w:sz="12"/>
          <w:right w:val="single" w:color="B08D57" w:sz="12"/>
        </w:pBdr>
        <w:spacing w:after="300" w:before="100"/>
      </w:pPr>
      <w:r>
        <w:rPr>
          <w:b/>
          <w:bCs/>
          <w:color w:val="1F3A5F"/>
          <w:sz w:val="21"/>
          <w:szCs w:val="21"/>
        </w:rPr>
        <w:t xml:space="preserve">LEGAL / POLICY VERIFICATION FLAG.  </w:t>
      </w:r>
      <w:r>
        <w:rPr>
          <w:sz w:val="20"/>
          <w:szCs w:val="20"/>
        </w:rPr>
        <w:t xml:space="preserve">Compliance terms (minor employment law, insurance/liability coverage, transportation responsibility), and any binding legal commitment on this template have NOT been reviewed by district counsel, the district business office, or district risk management. Do not finalize or present binding terms to an employer without that review. This item is tracked on the WP6 Legal-Policy Dependency Log (cross-referencing Production Control Log LP-01, LP-02, LP-03) — treat the compliance and liability sections below as structural placeholders only, not as approved district contract language.</w:t>
      </w:r>
    </w:p>
    <w:p>
      <w:pPr>
        <w:pStyle w:val="Heading1"/>
        <w:spacing w:after="160" w:before="320"/>
      </w:pPr>
      <w:r>
        <w:rPr>
          <w:color w:val="1F3A5F"/>
        </w:rPr>
        <w:t xml:space="preserve">1. Purpose and Nature of This Agreement</w:t>
      </w:r>
    </w:p>
    <w:p>
      <w:pPr>
        <w:spacing w:after="160"/>
      </w:pPr>
      <w:r>
        <w:rPr>
          <w:sz w:val="21"/>
          <w:szCs w:val="21"/>
        </w:rPr>
        <w:t xml:space="preserve">This agreement documents the terms of a training-station partnership between the organization ("Employer") and Greece Central School District's Culinary Pathway. It states, in writing to the Employer, that the arrangement is an educational placement conducted under school supervision — not a standard commercial employment or staffing contract.</w:t>
      </w:r>
    </w:p>
    <w:p>
      <w:pPr>
        <w:spacing w:after="140"/>
      </w:pPr>
      <w:r>
        <w:rPr>
          <w:b/>
          <w:bCs/>
          <w:color w:val="1F3A5F"/>
          <w:sz w:val="21"/>
          <w:szCs w:val="21"/>
        </w:rPr>
        <w:t xml:space="preserve">Educational Notice (required employer-facing language) — </w:t>
      </w:r>
      <w:r>
        <w:rPr>
          <w:sz w:val="21"/>
          <w:szCs w:val="21"/>
        </w:rPr>
        <w:t xml:space="preserve">"This placement is part of a supervised high school Work-Based Learning course. Student learning takes priority over production convenience. The district's Work-Based Learning Coordinator sets learning objectives and required documentation; the employer's designated mentor supervises daily work, communicates with the coordinator, observes performance, and gives feedback."</w:t>
      </w:r>
    </w:p>
    <w:p>
      <w:pPr>
        <w:pStyle w:val="Heading1"/>
        <w:spacing w:after="160" w:before="320"/>
      </w:pPr>
      <w:r>
        <w:rPr>
          <w:color w:val="1F3A5F"/>
        </w:rPr>
        <w:t xml:space="preserve">2. Partnership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Employer / organization name, address, and primary contact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Designated mentor(s) name and title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Approved training station location(s) (must match an approved EMP-03 Training Station Profile)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Anticipated number of student placements and approximate schedule window</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Effective date and renewal/expiration date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3. Employer Responsibilities</w:t>
      </w:r>
    </w:p>
    <w:p>
      <w:pPr>
        <w:pBdr>
          <w:top w:val="single" w:color="B08D57" w:sz="8" w:space="6"/>
          <w:bottom w:val="single" w:color="B08D57" w:sz="8" w:space="6"/>
        </w:pBdr>
        <w:spacing w:after="200" w:before="120"/>
      </w:pPr>
      <w:r>
        <w:rPr>
          <w:b/>
          <w:bCs/>
          <w:color w:val="1F3A5F"/>
          <w:sz w:val="20"/>
          <w:szCs w:val="20"/>
        </w:rPr>
        <w:t xml:space="preserve">Division of Authority.  </w:t>
      </w:r>
      <w:r>
        <w:rPr>
          <w:sz w:val="20"/>
          <w:szCs w:val="20"/>
        </w:rPr>
        <w:t xml:space="preserve">The employer does not design curriculum. The educator (the credentialed WBL Coordinator, in coordination with the Culinary Pathway teaching team) sets learning objectives and required documentation. The mentor supervises the student's daily work, communicates with the coordinator, observes performance, and gives feedback within the approved duties and training plan. (Operating Principles: Learning Before Labor, Preparation Before Independence.)</w:t>
      </w:r>
    </w:p>
    <w:p>
      <w:pPr>
        <w:pStyle w:val="ListParagraph"/>
        <w:numPr>
          <w:ilvl w:val="0"/>
          <w:numId w:val="1"/>
        </w:numPr>
        <w:spacing w:after="80"/>
      </w:pPr>
      <w:r>
        <w:rPr>
          <w:sz w:val="21"/>
          <w:szCs w:val="21"/>
        </w:rPr>
        <w:t xml:space="preserve">Maintain an approved training station meeting the standards of EMP-04 (Screening and Site Review Checklist).</w:t>
      </w:r>
    </w:p>
    <w:p>
      <w:pPr>
        <w:pStyle w:val="ListParagraph"/>
        <w:numPr>
          <w:ilvl w:val="0"/>
          <w:numId w:val="1"/>
        </w:numPr>
        <w:spacing w:after="80"/>
      </w:pPr>
      <w:r>
        <w:rPr>
          <w:sz w:val="21"/>
          <w:szCs w:val="21"/>
        </w:rPr>
        <w:t xml:space="preserve">Ensure the designated mentor completes orientation (EMP-07-08-09) before supervising a student.</w:t>
      </w:r>
    </w:p>
    <w:p>
      <w:pPr>
        <w:pStyle w:val="ListParagraph"/>
        <w:numPr>
          <w:ilvl w:val="0"/>
          <w:numId w:val="1"/>
        </w:numPr>
        <w:spacing w:after="80"/>
      </w:pPr>
      <w:r>
        <w:rPr>
          <w:sz w:val="21"/>
          <w:szCs w:val="21"/>
        </w:rPr>
        <w:t xml:space="preserve">Supervise students only within the coordinator-approved duties (EMP-11) and training plan (EMP-10).</w:t>
      </w:r>
    </w:p>
    <w:p>
      <w:pPr>
        <w:pStyle w:val="ListParagraph"/>
        <w:numPr>
          <w:ilvl w:val="0"/>
          <w:numId w:val="1"/>
        </w:numPr>
        <w:spacing w:after="80"/>
      </w:pPr>
      <w:r>
        <w:rPr>
          <w:sz w:val="21"/>
          <w:szCs w:val="21"/>
        </w:rPr>
        <w:t xml:space="preserve">Verify hours through the approved process (see OPS-10 Hours Reconciliation) and provide timely midpoint and final evaluations (EMP-15-16).</w:t>
      </w:r>
    </w:p>
    <w:p>
      <w:pPr>
        <w:pStyle w:val="ListParagraph"/>
        <w:numPr>
          <w:ilvl w:val="0"/>
          <w:numId w:val="1"/>
        </w:numPr>
        <w:spacing w:after="80"/>
      </w:pPr>
      <w:r>
        <w:rPr>
          <w:sz w:val="21"/>
          <w:szCs w:val="21"/>
        </w:rPr>
        <w:t xml:space="preserve">Report changes, concerns, or incidents to the coordinator promptly (EMP-18, EMP-19, EMP-20).</w:t>
      </w:r>
    </w:p>
    <w:p>
      <w:pPr>
        <w:pStyle w:val="ListParagraph"/>
        <w:numPr>
          <w:ilvl w:val="0"/>
          <w:numId w:val="1"/>
        </w:numPr>
        <w:spacing w:after="80"/>
      </w:pPr>
      <w:r>
        <w:rPr>
          <w:sz w:val="21"/>
          <w:szCs w:val="21"/>
        </w:rPr>
        <w:t xml:space="preserve">Not expand, alter, or reassign a student's duties, schedule, mentor, or location without prior coordinator approval, except in an immediate safety response (Book Three Ch.23).</w:t>
      </w:r>
    </w:p>
    <w:p>
      <w:pPr>
        <w:pStyle w:val="Heading1"/>
        <w:spacing w:after="160" w:before="320"/>
      </w:pPr>
      <w:r>
        <w:rPr>
          <w:color w:val="1F3A5F"/>
        </w:rPr>
        <w:t xml:space="preserve">4. District Responsibilities</w:t>
      </w:r>
    </w:p>
    <w:p>
      <w:pPr>
        <w:pStyle w:val="ListParagraph"/>
        <w:numPr>
          <w:ilvl w:val="0"/>
          <w:numId w:val="1"/>
        </w:numPr>
        <w:spacing w:after="80"/>
      </w:pPr>
      <w:r>
        <w:rPr>
          <w:sz w:val="21"/>
          <w:szCs w:val="21"/>
        </w:rPr>
        <w:t xml:space="preserve">Assign a credentialed WBL Coordinator to set learning objectives, required documentation, and evaluation standards.</w:t>
      </w:r>
    </w:p>
    <w:p>
      <w:pPr>
        <w:pStyle w:val="ListParagraph"/>
        <w:numPr>
          <w:ilvl w:val="0"/>
          <w:numId w:val="1"/>
        </w:numPr>
        <w:spacing w:after="80"/>
      </w:pPr>
      <w:r>
        <w:rPr>
          <w:sz w:val="21"/>
          <w:szCs w:val="21"/>
        </w:rPr>
        <w:t xml:space="preserve">Conduct mentor orientation, check-ins, and site visits per the schedule in Book Three Ch.21.</w:t>
      </w:r>
    </w:p>
    <w:p>
      <w:pPr>
        <w:pStyle w:val="ListParagraph"/>
        <w:numPr>
          <w:ilvl w:val="0"/>
          <w:numId w:val="1"/>
        </w:numPr>
        <w:spacing w:after="80"/>
      </w:pPr>
      <w:r>
        <w:rPr>
          <w:sz w:val="21"/>
          <w:szCs w:val="21"/>
        </w:rPr>
        <w:t xml:space="preserve">Communicate concerns, changes, and evaluation results to the employer in a timely manner.</w:t>
      </w:r>
    </w:p>
    <w:p>
      <w:pPr>
        <w:pStyle w:val="ListParagraph"/>
        <w:numPr>
          <w:ilvl w:val="0"/>
          <w:numId w:val="1"/>
        </w:numPr>
        <w:spacing w:after="80"/>
      </w:pPr>
      <w:r>
        <w:rPr>
          <w:sz w:val="21"/>
          <w:szCs w:val="21"/>
        </w:rPr>
        <w:t xml:space="preserve">Maintain the student's academic and program records per Book Three Ch.26.</w:t>
      </w:r>
    </w:p>
    <w:p>
      <w:pPr>
        <w:pStyle w:val="Heading1"/>
        <w:spacing w:after="160" w:before="320"/>
      </w:pPr>
      <w:r>
        <w:rPr>
          <w:color w:val="1F3A5F"/>
        </w:rPr>
        <w:t xml:space="preserve">5. Supervision and Safety</w:t>
      </w:r>
    </w:p>
    <w:p>
      <w:pPr>
        <w:spacing w:after="160"/>
      </w:pPr>
      <w:r>
        <w:rPr>
          <w:sz w:val="21"/>
          <w:szCs w:val="21"/>
        </w:rPr>
        <w:t xml:space="preserve">The employer maintains a direct, reliable supervision arrangement at all times a student is present, including a named backup supervisor when the primary mentor is unavailable (EMP-03, Section 3). The district retains authority to invoke the Stop-Work procedure (Book Three Ch.23) through the student, mentor, or coordinator at any time a task is unsafe, prohibited, unapproved, or unsupported.</w:t>
      </w:r>
    </w:p>
    <w:p>
      <w:pPr>
        <w:pStyle w:val="Heading1"/>
        <w:spacing w:after="160" w:before="320"/>
      </w:pPr>
      <w:r>
        <w:rPr>
          <w:color w:val="1F3A5F"/>
        </w:rPr>
        <w:t xml:space="preserve">6. Communication</w:t>
      </w:r>
    </w:p>
    <w:p>
      <w:pPr>
        <w:spacing w:after="160"/>
      </w:pPr>
      <w:r>
        <w:rPr>
          <w:sz w:val="21"/>
          <w:szCs w:val="21"/>
        </w:rPr>
        <w:t xml:space="preserve">The employer's designated mentor communicates with the WBL Coordinator at least monthly and whenever conditions change (Book Three Ch.21, Ch.25). Concerns are directed to the coordinator, not resolved unilaterally at the site, except where immediate safety action is required.</w:t>
      </w:r>
    </w:p>
    <w:p>
      <w:pPr>
        <w:pStyle w:val="Heading1"/>
        <w:spacing w:after="160" w:before="320"/>
      </w:pPr>
      <w:r>
        <w:rPr>
          <w:color w:val="1F3A5F"/>
        </w:rPr>
        <w:t xml:space="preserve">7. Compliance  [PENDING DISTRICT COUNSEL REVIEW]</w:t>
      </w:r>
    </w:p>
    <w:p>
      <w:pPr>
        <w:spacing w:after="160"/>
      </w:pPr>
      <w:r>
        <w:rPr>
          <w:i/>
          <w:iCs/>
          <w:sz w:val="21"/>
          <w:szCs w:val="21"/>
        </w:rPr>
        <w:t xml:space="preserve">The fields below are structural placeholders. Do not fill in binding compliance commitments until district counsel and the district business office confirm applicable minor-employment law, insurance/liability requirements, and any required district contract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Minor employment law compliance commitment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Insurance / liability coverage commitment</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Non-discrimination / equal opportunity commitment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Confidentiality of student information commitment</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8. Records</w:t>
      </w:r>
    </w:p>
    <w:p>
      <w:pPr>
        <w:spacing w:after="160"/>
      </w:pPr>
      <w:r>
        <w:rPr>
          <w:sz w:val="21"/>
          <w:szCs w:val="21"/>
        </w:rPr>
        <w:t xml:space="preserve">The Employer agrees to maintain hour records and provide required evaluations per Book Three Ch.26 (Record Hierarchy and Privacy). Student records remain the property of the district and are governed by district privacy policy, not employer policy.</w:t>
      </w:r>
    </w:p>
    <w:p>
      <w:pPr>
        <w:pStyle w:val="Heading1"/>
        <w:spacing w:after="160" w:before="320"/>
      </w:pPr>
      <w:r>
        <w:rPr>
          <w:color w:val="1F3A5F"/>
        </w:rPr>
        <w:t xml:space="preserve">9. Changes and Termination</w:t>
      </w:r>
    </w:p>
    <w:p>
      <w:pPr>
        <w:spacing w:after="160"/>
      </w:pPr>
      <w:r>
        <w:rPr>
          <w:sz w:val="21"/>
          <w:szCs w:val="21"/>
        </w:rPr>
        <w:t xml:space="preserve">Either party may request a change to the partnership terms in writing to the other party's designated contact. The district may suspend or discontinue the partnership per EMP-05 (Decision Notice Set) or EMP-21 (Placement Change, Suspension, or Early Termination Record) when conditions require it.</w:t>
      </w:r>
    </w:p>
    <w:p>
      <w:pPr>
        <w:pStyle w:val="Heading1"/>
        <w:spacing w:after="160" w:before="320"/>
      </w:pPr>
      <w:r>
        <w:rPr>
          <w:color w:val="1F3A5F"/>
        </w:rPr>
        <w:t xml:space="preserve">10.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Employer authorized signatory and date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WBL Coordinator signature and date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District administrator signature and date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11. Related Documents</w:t>
      </w:r>
    </w:p>
    <w:p>
      <w:pPr>
        <w:spacing w:after="160"/>
      </w:pPr>
      <w:r>
        <w:rPr>
          <w:sz w:val="21"/>
          <w:szCs w:val="21"/>
        </w:rPr>
        <w:t xml:space="preserve">This agreement is completed after EMP-05 (Approval Notice) is issued and before mentor orientation begins. It does not restate the site's operational details already captured in EMP-03, or the student-specific plan captured in EMP-10-11-13 — those remain the source records.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Employer Partnership Agreement (CONDITIONAL PLANNING DRAFT)</dc:title>
  <dc:creator>Kevin McCann</dc:creator>
  <cp:lastModifiedBy>Un-named</cp:lastModifiedBy>
  <cp:revision>1</cp:revision>
  <dcterms:created xsi:type="dcterms:W3CDTF">2026-07-14T12:14:48.762Z</dcterms:created>
  <dcterms:modified xsi:type="dcterms:W3CDTF">2026-07-14T12:14:48.764Z</dcterms:modified>
</cp:coreProperties>
</file>

<file path=docProps/custom.xml><?xml version="1.0" encoding="utf-8"?>
<Properties xmlns="http://schemas.openxmlformats.org/officeDocument/2006/custom-properties" xmlns:vt="http://schemas.openxmlformats.org/officeDocument/2006/docPropsVTypes"/>
</file>