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pPr>
      <w:r>
        <w:rPr>
          <w:b/>
          <w:bCs/>
          <w:caps/>
          <w:color w:val="1F3A5F"/>
          <w:sz w:val="22"/>
          <w:szCs w:val="22"/>
        </w:rPr>
        <w:t xml:space="preserve">GCSD Culinary Pathway | Work Package 6 | Employer, Mentor, and Training-Station System — CONDITIONAL PLANNING DRAFT</w:t>
      </w:r>
    </w:p>
    <w:p>
      <w:pPr>
        <w:spacing w:after="120"/>
      </w:pPr>
      <w:r>
        <w:rPr>
          <w:b/>
          <w:bCs/>
          <w:color w:val="1F3A5F"/>
          <w:sz w:val="52"/>
          <w:szCs w:val="52"/>
        </w:rPr>
        <w:t xml:space="preserve">Midpoint and Final Employer Evaluation</w:t>
      </w:r>
    </w:p>
    <w:p>
      <w:pPr>
        <w:spacing w:after="400"/>
      </w:pPr>
      <w:r>
        <w:rPr>
          <w:i/>
          <w:iCs/>
          <w:color w:val="666666"/>
          <w:sz w:val="26"/>
          <w:szCs w:val="26"/>
        </w:rPr>
        <w:t xml:space="preserve">One document, two clearly separated sections, aligned to the Training Plan and Gateway 6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Document ID</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EMP-15-16 (consolidated — see Section 1)</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Title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Midpoint and Final Employer Evaluation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Audience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Employer/mentor, 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Purpose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Provide one document with two clearly separated sections for the mentor's midpoint and final evaluation of a student's workplace performance, aligned to the Individualized Training Plan and Gateway 6 evidence.</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Owner</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WBL Coordinator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Version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1.0</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July 2026</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Approval / Planning Status</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CONDITIONAL PLANNING DRAFT — Not adopted district policy — Not authorized for implementation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Access Classification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RESTRICTED — student-specific evaluation record; depends on unauthorized program components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Governing Source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Book Two (assessment strands, weightings, thresholds); Book Three Ch.21-22; CMP-08 Gateway 6 rubric; GOV-10 PA-06, PA-14</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Review Date</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Immediately upon any Board or District Leadership action affecting PA-06 or PA-14 authorization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Superseded Document</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None — first issue. Consolidates EMP-15 (Midpoint Employer Evaluation) and EMP-16 (Final Employer Evaluation) into one document with two clearly separated sections, since both use identical structure and only the timing and cumulative scope differ.</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b/>
                <w:bCs/>
                <w:sz w:val="20"/>
                <w:szCs w:val="20"/>
              </w:rPr>
              <w:t xml:space="preserve">Required Action</w:t>
            </w:r>
          </w:p>
        </w:tc>
        <w:tc>
          <w:tcPr>
            <w:tcW w:type="dxa" w:w="6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20"/>
                <w:szCs w:val="20"/>
              </w:rPr>
              <w:t xml:space="preserve">Mentor completes the Midpoint section at course midpoint and the Final section at placement end. Both feed the coordinator's Gateway 6 evaluation but do not themselves determine it.</w:t>
            </w:r>
          </w:p>
        </w:tc>
      </w:tr>
    </w:tbl>
    <w:p>
      <w:pPr>
        <w:pBdr>
          <w:top w:val="single" w:color="B08D57" w:sz="6" w:space="8"/>
        </w:pBdr>
        <w:spacing w:after="0" w:before="400"/>
      </w:pPr>
      <w:r>
        <w:rPr>
          <w:i/>
          <w:iCs/>
          <w:color w:val="666666"/>
          <w:sz w:val="20"/>
          <w:szCs w:val="20"/>
        </w:rPr>
        <w:t xml:space="preserve">Inspect What You Expect — evaluation verifies what the student was actually asked to learn.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C0392B" w:sz="24"/>
              <w:left w:val="single" w:color="C0392B" w:sz="24"/>
              <w:bottom w:val="single" w:color="C0392B" w:sz="24"/>
              <w:right w:val="single" w:color="C0392B" w:sz="24"/>
            </w:tcBorders>
            <w:shd w:fill="FDEDEC" w:val="clear"/>
            <w:tcMar>
              <w:top w:type="dxa" w:w="200"/>
              <w:left w:type="dxa" w:w="240"/>
              <w:bottom w:type="dxa" w:w="200"/>
              <w:right w:type="dxa" w:w="240"/>
            </w:tcMar>
          </w:tcPr>
          <w:p>
            <w:pPr>
              <w:spacing w:after="100"/>
            </w:pPr>
            <w:r>
              <w:rPr>
                <w:b/>
                <w:bCs/>
                <w:caps/>
                <w:color w:val="C0392B"/>
                <w:sz w:val="26"/>
                <w:szCs w:val="26"/>
              </w:rPr>
              <w:t xml:space="preserve">CONDITIONAL PLANNING DRAFT</w:t>
            </w:r>
          </w:p>
          <w:p>
            <w:pPr>
              <w:spacing w:after="100"/>
            </w:pPr>
            <w:r>
              <w:rPr>
                <w:b/>
                <w:bCs/>
                <w:color w:val="C0392B"/>
                <w:sz w:val="22"/>
                <w:szCs w:val="22"/>
              </w:rPr>
              <w:t xml:space="preserve">Conditional planning draft. Not adopted district policy. Not authorized for implementation.</w:t>
            </w:r>
          </w:p>
          <w:p>
            <w:r>
              <w:rPr>
                <w:color w:val="C0392B"/>
                <w:sz w:val="20"/>
                <w:szCs w:val="20"/>
              </w:rPr>
              <w:t xml:space="preserve">This document supports the Senior External Work-Based Learning course and/or employer/training-station partnerships, neither of which is currently authorized (GOV-10 PA-06, PA-14). No training-station partnerships currently exist. Structures, templates, workflows, and readiness materials may be drafted now; legal, labor-law, insurance, transportation, staffing, fiscal, NYSED-registration, and district-policy claims remain unverified and must not be finalized without current official sources. (Kevin McCann decision, GOV-10 PA-06, 2026-07-12.)</w:t>
            </w:r>
          </w:p>
        </w:tc>
      </w:tr>
    </w:tbl>
    <w:p>
      <w:pPr>
        <w:spacing w:after="160"/>
      </w:pPr>
      <w:r>
        <w:rPr>
          <w:sz w:val="21"/>
          <w:szCs w:val="21"/>
        </w:rPr>
        <w:t xml:space="preserve"/>
      </w:r>
    </w:p>
    <w:p>
      <w:pPr>
        <w:pStyle w:val="Heading1"/>
        <w:spacing w:after="160" w:before="320"/>
      </w:pPr>
      <w:r>
        <w:rPr>
          <w:color w:val="1F3A5F"/>
        </w:rPr>
        <w:t xml:space="preserve">1. How to Use This Document</w:t>
      </w:r>
    </w:p>
    <w:p>
      <w:pPr>
        <w:spacing w:after="160"/>
      </w:pPr>
      <w:r>
        <w:rPr>
          <w:sz w:val="21"/>
          <w:szCs w:val="21"/>
        </w:rPr>
        <w:t xml:space="preserve">This document consolidates EMP-15 (Midpoint Employer Evaluation) and EMP-16 (Final Employer Evaluation) because they share an identical structure — only the timing and cumulative scope differ. Complete Section 2 at the course midpoint and Section 3 at the end of the placement.</w:t>
      </w:r>
    </w:p>
    <w:p>
      <w:pPr>
        <w:pBdr>
          <w:top w:val="single" w:color="B08D57" w:sz="8" w:space="6"/>
          <w:bottom w:val="single" w:color="B08D57" w:sz="8" w:space="6"/>
        </w:pBdr>
        <w:spacing w:after="200" w:before="120"/>
      </w:pPr>
      <w:r>
        <w:rPr>
          <w:b/>
          <w:bCs/>
          <w:color w:val="1F3A5F"/>
          <w:sz w:val="20"/>
          <w:szCs w:val="20"/>
        </w:rPr>
        <w:t xml:space="preserve">Division of Authority.  </w:t>
      </w:r>
      <w:r>
        <w:rPr>
          <w:sz w:val="20"/>
          <w:szCs w:val="20"/>
        </w:rPr>
        <w:t xml:space="preserve">The employer does not design curriculum. The educator (the credentialed WBL Coordinator, in coordination with the Culinary Pathway teaching team) sets learning objectives and required documentation. The mentor supervises the student's daily work, communicates with the coordinator, observes performance, and gives feedback within the approved duties and training plan. (Operating Principles: Learning Before Labor, Preparation Before Independence.)</w:t>
      </w:r>
    </w:p>
    <w:p>
      <w:pPr>
        <w:spacing w:after="160"/>
      </w:pPr>
      <w:r>
        <w:rPr>
          <w:sz w:val="21"/>
          <w:szCs w:val="21"/>
        </w:rPr>
        <w:t xml:space="preserve">Consistent with that division: this evaluation documents workplace performance as observed by the mentor. It is important evidence for the credentialed WBL Coordinator's final standards-based evaluation and Gateway 6 decision (Book Three Ch.22), but the coordinator — not the employer — determines the final course result.</w:t>
      </w:r>
    </w:p>
    <w:p>
      <w:pPr>
        <w:pStyle w:val="Heading1"/>
        <w:spacing w:after="160" w:before="320"/>
      </w:pPr>
      <w:r>
        <w:rPr>
          <w:color w:val="1F3A5F"/>
        </w:rPr>
        <w:t xml:space="preserve">2. Midpoint Evaluation (from EMP-15)</w:t>
      </w:r>
    </w:p>
    <w:p>
      <w:pPr>
        <w:spacing w:after="160"/>
      </w:pPr>
      <w:r>
        <w:rPr>
          <w:sz w:val="21"/>
          <w:szCs w:val="21"/>
        </w:rPr>
        <w:t xml:space="preserve">Completed at the course midpoint. Purpose: identify strengths, gaps, and needed adjustments to the Individualized Training Plan while there is still time to act on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name and training station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Evaluation period covered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name and title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completed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Performance Area</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Rating (1-4, District Standards-Based Model)</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Comments / Evidence Observed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Safety and sanitation practice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Technical / task performance within approved duties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Professionalism and workplace conduct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Communication and teamwork</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Reliability and attendance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Problem-solving and initiative within approved scope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Response to feedback and growth since prior review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Progress toward Individualized Training Plan objectives (Section 3 of EMP-10-11-13)</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Areas needing support or adjustment before the final evaluation</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Any recommended change to duties, schedule, or supervision (route through EMP-18)</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Coordinator signature and date (confirms receipt and review)</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r>
        <w:br w:type="page"/>
      </w:r>
    </w:p>
    <w:p>
      <w:pPr>
        <w:pStyle w:val="Heading1"/>
        <w:spacing w:after="160" w:before="320"/>
      </w:pPr>
      <w:r>
        <w:rPr>
          <w:color w:val="1F3A5F"/>
        </w:rPr>
        <w:t xml:space="preserve">3. Final Evaluation (from EMP-16)</w:t>
      </w:r>
    </w:p>
    <w:p>
      <w:pPr>
        <w:spacing w:after="160"/>
      </w:pPr>
      <w:r>
        <w:rPr>
          <w:sz w:val="21"/>
          <w:szCs w:val="21"/>
        </w:rPr>
        <w:t xml:space="preserve">Completed at the end of the placement. Purpose: provide cumulative workplace performance evidence for the coordinator's final Gateway 6 determination (Book Three Ch.22, Gateway 6 Completion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Student name and training station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Evaluation period covered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name and title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Date completed</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400"/>
        <w:gridCol w:w="3760"/>
      </w:tblGrid>
      <w:tr>
        <w:trPr>
          <w:tblHeader/>
        </w:trPr>
        <w:tc>
          <w:tcPr>
            <w:tcW w:type="dxa" w:w="32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Performance Area</w:t>
            </w:r>
          </w:p>
        </w:tc>
        <w:tc>
          <w:tcPr>
            <w:tcW w:type="dxa" w:w="24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Rating (1-4, District Standards-Based Model)</w:t>
            </w:r>
          </w:p>
        </w:tc>
        <w:tc>
          <w:tcPr>
            <w:tcW w:type="dxa" w:w="37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Comments / Evidence Observed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Safety and sanitation practice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Technical / task performance within approved duties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Professionalism and workplace conduct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Communication and teamwork</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Reliability and attendance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Problem-solving and initiative within approved scope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Response to feedback and growth since prior review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c>
          <w:tcPr>
            <w:tcW w:type="dxa" w:w="37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Overall growth across the full placement compared to the midpoint evaluation</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Evidence of increasing responsibility (connects to Portfolio Common Assignment 11, Book Three Ch.20)</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Would you host another Culinary Pathway student? (Y/N and why — informs EMP-22 Partner Closeout and Renewal Review)</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Any unresolved safety, professional-conduct, or integrity concern (must be resolved before Gateway 6 can be recorded — Book Three Ch.22)</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Field</w:t>
            </w:r>
          </w:p>
        </w:tc>
        <w:tc>
          <w:tcPr>
            <w:tcW w:type="dxa" w:w="6560"/>
            <w:tcBorders>
              <w:top w:val="single" w:color="BFBFBF" w:sz="4"/>
              <w:left w:val="single" w:color="BFBFBF" w:sz="4"/>
              <w:bottom w:val="single" w:color="BFBFBF" w:sz="4"/>
              <w:right w:val="single" w:color="BFBFBF" w:sz="4"/>
            </w:tcBorders>
            <w:shd w:fill="1F3A5F" w:val="clear"/>
            <w:tcMar>
              <w:top w:type="dxa" w:w="80"/>
              <w:left w:type="dxa" w:w="120"/>
              <w:bottom w:type="dxa" w:w="80"/>
              <w:right w:type="dxa" w:w="120"/>
            </w:tcMar>
          </w:tcPr>
          <w:p>
            <w:r>
              <w:rPr>
                <w:b/>
                <w:bCs/>
                <w:color w:val="FFFFFF"/>
                <w:sz w:val="19"/>
                <w:szCs w:val="19"/>
              </w:rPr>
              <w:t xml:space="preserve">Entry</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Mentor signature and date</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sz w:val="19"/>
                <w:szCs w:val="19"/>
              </w:rPr>
              <w:t xml:space="preserve"/>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Coordinator signature and date (confirms receipt and review)</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sz w:val="19"/>
                <w:szCs w:val="19"/>
              </w:rPr>
              <w:t xml:space="preserve"/>
            </w:r>
          </w:p>
        </w:tc>
      </w:tr>
    </w:tbl>
    <w:p>
      <w:pPr>
        <w:pStyle w:val="Heading1"/>
        <w:spacing w:after="160" w:before="320"/>
      </w:pPr>
      <w:r>
        <w:rPr>
          <w:color w:val="1F3A5F"/>
        </w:rPr>
        <w:t xml:space="preserve">4. Cross-Reference</w:t>
      </w:r>
    </w:p>
    <w:p>
      <w:pPr>
        <w:spacing w:after="160"/>
      </w:pPr>
      <w:r>
        <w:rPr>
          <w:sz w:val="21"/>
          <w:szCs w:val="21"/>
        </w:rPr>
        <w:t xml:space="preserve">This evaluation is one of several required inputs to Gateway 6 (workplace performance, portfolio, employer evaluation, coordinator evaluation, and final presentation — Book Three Ch.22). It is logged as evidence in the Culinary Passport (CMP-02) Evidence Log by the WBL Coordinator; it does not itself constitute a Passport entry.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GCSD Culinary Pathway | Planning document; not adopted district policy | 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GCSD Culinary Pathway – Midpoint and Final Employer Evaluation (CONDITIONAL PLANNING DRAFT)</dc:title>
  <dc:creator>Kevin McCann</dc:creator>
  <cp:lastModifiedBy>Un-named</cp:lastModifiedBy>
  <cp:revision>1</cp:revision>
  <dcterms:created xsi:type="dcterms:W3CDTF">2026-07-14T12:09:05.333Z</dcterms:created>
  <dcterms:modified xsi:type="dcterms:W3CDTF">2026-07-14T12:09:05.334Z</dcterms:modified>
</cp:coreProperties>
</file>

<file path=docProps/custom.xml><?xml version="1.0" encoding="utf-8"?>
<Properties xmlns="http://schemas.openxmlformats.org/officeDocument/2006/custom-properties" xmlns:vt="http://schemas.openxmlformats.org/officeDocument/2006/docPropsVTypes"/>
</file>