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28"/>
        </w:rPr>
        <w:t>GREECE CENTRAL SCHOOL DISTRICT</w:t>
      </w:r>
    </w:p>
    <w:p>
      <w:pPr>
        <w:spacing w:after="400"/>
      </w:pPr>
    </w:p>
    <w:p>
      <w:pPr>
        <w:jc w:val="center"/>
      </w:pPr>
      <w:r>
        <w:rPr>
          <w:b/>
          <w:color w:val="1C8C8C"/>
          <w:sz w:val="36"/>
        </w:rPr>
        <w:t>BOOK ONE</w:t>
      </w:r>
    </w:p>
    <w:p>
      <w:pPr>
        <w:pStyle w:val="Title"/>
        <w:jc w:val="center"/>
      </w:pPr>
      <w:r>
        <w:t>CULINARY PATHWAY</w:t>
        <w:br/>
        <w:t>PROGRAM BLUEPRINT</w:t>
      </w:r>
    </w:p>
    <w:p>
      <w:pPr>
        <w:jc w:val="center"/>
      </w:pPr>
      <w:r>
        <w:rPr>
          <w:color w:val="666666"/>
          <w:sz w:val="23"/>
        </w:rPr>
        <w:t>The governing framework for the three-year competency continuum,</w:t>
        <w:br/>
        <w:t>six Gateways, authentic professional practice, and culminating Work-Based Learning</w:t>
      </w:r>
    </w:p>
    <w:p>
      <w:pPr>
        <w:spacing w:after="400"/>
      </w:pPr>
    </w:p>
    <w:tbl>
      <w:tblPr>
        <w:tblStyle w:val="TableGrid"/>
        <w:tblW w:type="auto" w:w="0"/>
        <w:jc w:val="center"/>
        <w:tblLook w:firstColumn="1" w:firstRow="1" w:lastColumn="0" w:lastRow="0" w:noHBand="0" w:noVBand="1" w:val="04A0"/>
      </w:tblPr>
      <w:tblGrid>
        <w:gridCol w:w="5083"/>
        <w:gridCol w:w="5083"/>
      </w:tblGrid>
      <w:tr>
        <w:tc>
          <w:tcPr>
            <w:tcW w:type="dxa" w:w="5083"/>
            <w:tcMar>
              <w:top w:w="90" w:type="dxa"/>
              <w:start w:w="90" w:type="dxa"/>
              <w:bottom w:w="90" w:type="dxa"/>
              <w:end w:w="90" w:type="dxa"/>
            </w:tcMar>
            <w:vAlign w:val="center"/>
            <w:shd w:fill="EAF2F8"/>
          </w:tcPr>
          <w:p>
            <w:pPr>
              <w:spacing w:after="0"/>
            </w:pPr>
            <w:r/>
            <w:r>
              <w:rPr>
                <w:rFonts w:ascii="Aptos" w:hAnsi="Aptos"/>
                <w:b/>
                <w:color w:val="1F4E78"/>
                <w:sz w:val="17"/>
              </w:rPr>
              <w:t>VERSION</w:t>
            </w:r>
          </w:p>
        </w:tc>
        <w:tc>
          <w:tcPr>
            <w:tcW w:type="dxa" w:w="5083"/>
            <w:tcMar>
              <w:top w:w="90" w:type="dxa"/>
              <w:start w:w="90" w:type="dxa"/>
              <w:bottom w:w="90" w:type="dxa"/>
              <w:end w:w="90" w:type="dxa"/>
            </w:tcMar>
            <w:vAlign w:val="center"/>
            <w:shd w:fill="EAF2F8"/>
          </w:tcPr>
          <w:p>
            <w:pPr>
              <w:spacing w:after="0"/>
            </w:pPr>
            <w:r/>
            <w:r>
              <w:rPr>
                <w:rFonts w:ascii="Aptos" w:hAnsi="Aptos"/>
                <w:b w:val="0"/>
                <w:sz w:val="17"/>
              </w:rPr>
              <w:t>4.0 - Refined Editorial Edition</w:t>
            </w:r>
          </w:p>
        </w:tc>
      </w:tr>
      <w:tr>
        <w:tc>
          <w:tcPr>
            <w:tcW w:type="dxa" w:w="5083"/>
            <w:tcMar>
              <w:top w:w="90" w:type="dxa"/>
              <w:start w:w="90" w:type="dxa"/>
              <w:bottom w:w="90" w:type="dxa"/>
              <w:end w:w="90" w:type="dxa"/>
            </w:tcMar>
            <w:vAlign w:val="center"/>
          </w:tcPr>
          <w:p>
            <w:pPr>
              <w:spacing w:after="0"/>
            </w:pPr>
            <w:r/>
            <w:r>
              <w:rPr>
                <w:rFonts w:ascii="Aptos" w:hAnsi="Aptos"/>
                <w:b/>
                <w:color w:val="1F4E78"/>
                <w:sz w:val="17"/>
              </w:rPr>
              <w:t>PREPARED BY</w:t>
            </w:r>
          </w:p>
        </w:tc>
        <w:tc>
          <w:tcPr>
            <w:tcW w:type="dxa" w:w="5083"/>
            <w:tcMar>
              <w:top w:w="90" w:type="dxa"/>
              <w:start w:w="90" w:type="dxa"/>
              <w:bottom w:w="90" w:type="dxa"/>
              <w:end w:w="90" w:type="dxa"/>
            </w:tcMar>
            <w:vAlign w:val="center"/>
          </w:tcPr>
          <w:p>
            <w:pPr>
              <w:spacing w:after="0"/>
            </w:pPr>
            <w:r/>
            <w:r>
              <w:rPr>
                <w:rFonts w:ascii="Aptos" w:hAnsi="Aptos"/>
                <w:b w:val="0"/>
                <w:sz w:val="17"/>
              </w:rPr>
              <w:t>Kevin McCann</w:t>
            </w:r>
          </w:p>
        </w:tc>
      </w:tr>
      <w:tr>
        <w:tc>
          <w:tcPr>
            <w:tcW w:type="dxa" w:w="5083"/>
            <w:tcMar>
              <w:top w:w="90" w:type="dxa"/>
              <w:start w:w="90" w:type="dxa"/>
              <w:bottom w:w="90" w:type="dxa"/>
              <w:end w:w="90" w:type="dxa"/>
            </w:tcMar>
            <w:vAlign w:val="center"/>
            <w:shd w:fill="EAF2F8"/>
          </w:tcPr>
          <w:p>
            <w:pPr>
              <w:spacing w:after="0"/>
            </w:pPr>
            <w:r/>
            <w:r>
              <w:rPr>
                <w:rFonts w:ascii="Aptos" w:hAnsi="Aptos"/>
                <w:b/>
                <w:color w:val="1F4E78"/>
                <w:sz w:val="17"/>
              </w:rPr>
              <w:t>DATE</w:t>
            </w:r>
          </w:p>
        </w:tc>
        <w:tc>
          <w:tcPr>
            <w:tcW w:type="dxa" w:w="5083"/>
            <w:tcMar>
              <w:top w:w="90" w:type="dxa"/>
              <w:start w:w="90" w:type="dxa"/>
              <w:bottom w:w="90" w:type="dxa"/>
              <w:end w:w="90" w:type="dxa"/>
            </w:tcMar>
            <w:vAlign w:val="center"/>
            <w:shd w:fill="EAF2F8"/>
          </w:tcPr>
          <w:p>
            <w:pPr>
              <w:spacing w:after="0"/>
            </w:pPr>
            <w:r/>
            <w:r>
              <w:rPr>
                <w:rFonts w:ascii="Aptos" w:hAnsi="Aptos"/>
                <w:b w:val="0"/>
                <w:sz w:val="17"/>
              </w:rPr>
              <w:t>July 2026</w:t>
            </w:r>
          </w:p>
        </w:tc>
      </w:tr>
      <w:tr>
        <w:tc>
          <w:tcPr>
            <w:tcW w:type="dxa" w:w="5083"/>
            <w:tcMar>
              <w:top w:w="90" w:type="dxa"/>
              <w:start w:w="90" w:type="dxa"/>
              <w:bottom w:w="90" w:type="dxa"/>
              <w:end w:w="90" w:type="dxa"/>
            </w:tcMar>
            <w:vAlign w:val="center"/>
          </w:tcPr>
          <w:p>
            <w:pPr>
              <w:spacing w:after="0"/>
            </w:pPr>
            <w:r/>
            <w:r>
              <w:rPr>
                <w:rFonts w:ascii="Aptos" w:hAnsi="Aptos"/>
                <w:b/>
                <w:color w:val="1F4E78"/>
                <w:sz w:val="17"/>
              </w:rPr>
              <w:t>STATUS</w:t>
            </w:r>
          </w:p>
        </w:tc>
        <w:tc>
          <w:tcPr>
            <w:tcW w:type="dxa" w:w="5083"/>
            <w:tcMar>
              <w:top w:w="90" w:type="dxa"/>
              <w:start w:w="90" w:type="dxa"/>
              <w:bottom w:w="90" w:type="dxa"/>
              <w:end w:w="90" w:type="dxa"/>
            </w:tcMar>
            <w:vAlign w:val="center"/>
          </w:tcPr>
          <w:p>
            <w:pPr>
              <w:spacing w:after="0"/>
            </w:pPr>
            <w:r/>
            <w:r>
              <w:rPr>
                <w:rFonts w:ascii="Aptos" w:hAnsi="Aptos"/>
                <w:b w:val="0"/>
                <w:sz w:val="17"/>
              </w:rPr>
              <w:t>Planning document; not adopted district policy</w:t>
            </w:r>
          </w:p>
        </w:tc>
      </w:tr>
      <w:tr>
        <w:tc>
          <w:tcPr>
            <w:tcW w:type="dxa" w:w="5083"/>
            <w:tcMar>
              <w:top w:w="90" w:type="dxa"/>
              <w:start w:w="90" w:type="dxa"/>
              <w:bottom w:w="90" w:type="dxa"/>
              <w:end w:w="90" w:type="dxa"/>
            </w:tcMar>
            <w:vAlign w:val="center"/>
            <w:shd w:fill="EAF2F8"/>
          </w:tcPr>
          <w:p>
            <w:pPr>
              <w:spacing w:after="0"/>
            </w:pPr>
            <w:r/>
            <w:r>
              <w:rPr>
                <w:rFonts w:ascii="Aptos" w:hAnsi="Aptos"/>
                <w:b/>
                <w:color w:val="1F4E78"/>
                <w:sz w:val="17"/>
              </w:rPr>
              <w:t>GOVERNING SOURCES</w:t>
            </w:r>
          </w:p>
        </w:tc>
        <w:tc>
          <w:tcPr>
            <w:tcW w:type="dxa" w:w="5083"/>
            <w:tcMar>
              <w:top w:w="90" w:type="dxa"/>
              <w:start w:w="90" w:type="dxa"/>
              <w:bottom w:w="90" w:type="dxa"/>
              <w:end w:w="90" w:type="dxa"/>
            </w:tcMar>
            <w:vAlign w:val="center"/>
            <w:shd w:fill="EAF2F8"/>
          </w:tcPr>
          <w:p>
            <w:pPr>
              <w:spacing w:after="0"/>
            </w:pPr>
            <w:r/>
            <w:r>
              <w:rPr>
                <w:rFonts w:ascii="Aptos" w:hAnsi="Aptos"/>
                <w:b w:val="0"/>
                <w:sz w:val="17"/>
              </w:rPr>
              <w:t>Culinary Pathway Canon v3.0 and Operating Principles v1.0</w:t>
            </w:r>
          </w:p>
        </w:tc>
      </w:tr>
    </w:tbl>
    <w:p>
      <w:pPr>
        <w:spacing w:after="360"/>
      </w:pPr>
    </w:p>
    <w:p>
      <w:pPr>
        <w:jc w:val="center"/>
      </w:pPr>
      <w:r>
        <w:rPr>
          <w:b/>
          <w:color w:val="1C8C8C"/>
          <w:sz w:val="22"/>
        </w:rPr>
        <w:t>Clear direction. Verified competence. Increasing responsibility.</w:t>
      </w:r>
    </w:p>
    <w:p>
      <w:pPr>
        <w:jc w:val="center"/>
      </w:pPr>
      <w:r>
        <w:rPr>
          <w:i/>
          <w:color w:val="666666"/>
          <w:sz w:val="19"/>
        </w:rPr>
        <w:t>Prepare students. Verify competence. Increase responsibility. Support the transition to professional practice.</w:t>
      </w:r>
    </w:p>
    <w:p>
      <w:r>
        <w:br w:type="page"/>
      </w:r>
    </w:p>
    <w:p>
      <w:pPr>
        <w:pStyle w:val="Heading1"/>
      </w:pPr>
      <w:r>
        <w:t>Culinary Pathway Operating Principles</w:t>
      </w:r>
    </w:p>
    <w:p>
      <w:r>
        <w:t>The Operating Principles define how the pathway teaches, leads, evaluates, and makes decisions. They apply across every course, kitchen, event, competition, partnership, and workplace.</w:t>
      </w:r>
    </w:p>
    <w:tbl>
      <w:tblPr>
        <w:tblStyle w:val="TableGrid"/>
        <w:tblW w:type="auto" w:w="0"/>
        <w:jc w:val="center"/>
        <w:tblLook w:firstColumn="1" w:firstRow="1" w:lastColumn="0" w:lastRow="0" w:noHBand="0" w:noVBand="1" w:val="04A0"/>
      </w:tblPr>
      <w:tblGrid>
        <w:gridCol w:w="5083"/>
        <w:gridCol w:w="5083"/>
      </w:tblGrid>
      <w:tr>
        <w:tc>
          <w:tcPr>
            <w:tcW w:type="dxa" w:w="5083"/>
            <w:shd w:fill="E8F5F5"/>
            <w:tcMar>
              <w:top w:w="90" w:type="dxa"/>
              <w:start w:w="105" w:type="dxa"/>
              <w:bottom w:w="90" w:type="dxa"/>
              <w:end w:w="105" w:type="dxa"/>
            </w:tcMar>
          </w:tcPr>
          <w:p>
            <w:pPr>
              <w:spacing w:after="24"/>
            </w:pPr>
            <w:r/>
            <w:r>
              <w:rPr>
                <w:b/>
                <w:color w:val="1C8C8C"/>
                <w:sz w:val="18"/>
              </w:rPr>
              <w:t>1. Every Day Is a School Day.</w:t>
            </w:r>
          </w:p>
          <w:p>
            <w:pPr>
              <w:spacing w:after="0"/>
            </w:pPr>
            <w:r>
              <w:rPr>
                <w:sz w:val="16"/>
              </w:rPr>
              <w:t>Every environment and professional interaction is an opportunity to develop knowledge, skill, judgment, and character.</w:t>
            </w:r>
          </w:p>
        </w:tc>
        <w:tc>
          <w:tcPr>
            <w:tcW w:type="dxa" w:w="5083"/>
            <w:shd w:fill="EAF2F8"/>
            <w:tcMar>
              <w:top w:w="90" w:type="dxa"/>
              <w:start w:w="105" w:type="dxa"/>
              <w:bottom w:w="90" w:type="dxa"/>
              <w:end w:w="105" w:type="dxa"/>
            </w:tcMar>
          </w:tcPr>
          <w:p>
            <w:pPr>
              <w:spacing w:after="24"/>
            </w:pPr>
            <w:r/>
            <w:r>
              <w:rPr>
                <w:b/>
                <w:color w:val="1F4E78"/>
                <w:sz w:val="18"/>
              </w:rPr>
              <w:t>6. Learning Before Labor.</w:t>
            </w:r>
          </w:p>
          <w:p>
            <w:pPr>
              <w:spacing w:after="0"/>
            </w:pPr>
            <w:r>
              <w:rPr>
                <w:sz w:val="16"/>
              </w:rPr>
              <w:t>Student learning takes priority over production, convenience, or operational need.</w:t>
            </w:r>
          </w:p>
        </w:tc>
      </w:tr>
      <w:tr>
        <w:tc>
          <w:tcPr>
            <w:tcW w:type="dxa" w:w="5083"/>
            <w:shd w:fill="EAF2F8"/>
            <w:tcMar>
              <w:top w:w="90" w:type="dxa"/>
              <w:start w:w="105" w:type="dxa"/>
              <w:bottom w:w="90" w:type="dxa"/>
              <w:end w:w="105" w:type="dxa"/>
            </w:tcMar>
          </w:tcPr>
          <w:p>
            <w:pPr>
              <w:spacing w:after="24"/>
            </w:pPr>
            <w:r/>
            <w:r>
              <w:rPr>
                <w:b/>
                <w:color w:val="1C8C8C"/>
                <w:sz w:val="18"/>
              </w:rPr>
              <w:t>2. Provide Clear Direction.</w:t>
            </w:r>
          </w:p>
          <w:p>
            <w:pPr>
              <w:spacing w:after="0"/>
            </w:pPr>
            <w:r>
              <w:rPr>
                <w:sz w:val="16"/>
              </w:rPr>
              <w:t>Students understand expectations, success criteria, responsibilities, and next steps before independent performance is expected.</w:t>
            </w:r>
          </w:p>
        </w:tc>
        <w:tc>
          <w:tcPr>
            <w:tcW w:type="dxa" w:w="5083"/>
            <w:shd w:fill="E8F5F5"/>
            <w:tcMar>
              <w:top w:w="90" w:type="dxa"/>
              <w:start w:w="105" w:type="dxa"/>
              <w:bottom w:w="90" w:type="dxa"/>
              <w:end w:w="105" w:type="dxa"/>
            </w:tcMar>
          </w:tcPr>
          <w:p>
            <w:pPr>
              <w:spacing w:after="24"/>
            </w:pPr>
            <w:r/>
            <w:r>
              <w:rPr>
                <w:b/>
                <w:color w:val="1F4E78"/>
                <w:sz w:val="18"/>
              </w:rPr>
              <w:t>7. Preparation Before Independence.</w:t>
            </w:r>
          </w:p>
          <w:p>
            <w:pPr>
              <w:spacing w:after="0"/>
            </w:pPr>
            <w:r>
              <w:rPr>
                <w:sz w:val="16"/>
              </w:rPr>
              <w:t>Responsibility increases only after students demonstrate the knowledge, skill, behavior, and judgment required to succeed.</w:t>
            </w:r>
          </w:p>
        </w:tc>
      </w:tr>
      <w:tr>
        <w:tc>
          <w:tcPr>
            <w:tcW w:type="dxa" w:w="5083"/>
            <w:shd w:fill="E8F5F5"/>
            <w:tcMar>
              <w:top w:w="90" w:type="dxa"/>
              <w:start w:w="105" w:type="dxa"/>
              <w:bottom w:w="90" w:type="dxa"/>
              <w:end w:w="105" w:type="dxa"/>
            </w:tcMar>
          </w:tcPr>
          <w:p>
            <w:pPr>
              <w:spacing w:after="24"/>
            </w:pPr>
            <w:r/>
            <w:r>
              <w:rPr>
                <w:b/>
                <w:color w:val="1C8C8C"/>
                <w:sz w:val="18"/>
              </w:rPr>
              <w:t>3. Inspect What You Expect.</w:t>
            </w:r>
          </w:p>
          <w:p>
            <w:pPr>
              <w:spacing w:after="0"/>
            </w:pPr>
            <w:r>
              <w:rPr>
                <w:sz w:val="16"/>
              </w:rPr>
              <w:t>Observation, coaching, feedback, and accountability reinforce the standards students are asked to meet.</w:t>
            </w:r>
          </w:p>
        </w:tc>
        <w:tc>
          <w:tcPr>
            <w:tcW w:type="dxa" w:w="5083"/>
            <w:shd w:fill="EAF2F8"/>
            <w:tcMar>
              <w:top w:w="90" w:type="dxa"/>
              <w:start w:w="105" w:type="dxa"/>
              <w:bottom w:w="90" w:type="dxa"/>
              <w:end w:w="105" w:type="dxa"/>
            </w:tcMar>
          </w:tcPr>
          <w:p>
            <w:pPr>
              <w:spacing w:after="24"/>
            </w:pPr>
            <w:r/>
            <w:r>
              <w:rPr>
                <w:b/>
                <w:color w:val="1F4E78"/>
                <w:sz w:val="18"/>
              </w:rPr>
              <w:t>8. Quality Before Quantity.</w:t>
            </w:r>
          </w:p>
          <w:p>
            <w:pPr>
              <w:spacing w:after="0"/>
            </w:pPr>
            <w:r>
              <w:rPr>
                <w:sz w:val="16"/>
              </w:rPr>
              <w:t>Growth never comes at the expense of safety, instructional quality, partnership quality, or meaningful student learning.</w:t>
            </w:r>
          </w:p>
        </w:tc>
      </w:tr>
      <w:tr>
        <w:tc>
          <w:tcPr>
            <w:tcW w:type="dxa" w:w="5083"/>
            <w:shd w:fill="EAF2F8"/>
            <w:tcMar>
              <w:top w:w="90" w:type="dxa"/>
              <w:start w:w="105" w:type="dxa"/>
              <w:bottom w:w="90" w:type="dxa"/>
              <w:end w:w="105" w:type="dxa"/>
            </w:tcMar>
          </w:tcPr>
          <w:p>
            <w:pPr>
              <w:spacing w:after="24"/>
            </w:pPr>
            <w:r/>
            <w:r>
              <w:rPr>
                <w:b/>
                <w:color w:val="1C8C8C"/>
                <w:sz w:val="18"/>
              </w:rPr>
              <w:t>4. Students Advance by Demonstrating Competency.</w:t>
            </w:r>
          </w:p>
          <w:p>
            <w:pPr>
              <w:spacing w:after="0"/>
            </w:pPr>
            <w:r>
              <w:rPr>
                <w:sz w:val="16"/>
              </w:rPr>
              <w:t>Progress is earned through verified performance rather than participation, time, or course completion alone.</w:t>
            </w:r>
          </w:p>
        </w:tc>
        <w:tc>
          <w:tcPr>
            <w:tcW w:type="dxa" w:w="5083"/>
            <w:shd w:fill="E8F5F5"/>
            <w:tcMar>
              <w:top w:w="90" w:type="dxa"/>
              <w:start w:w="105" w:type="dxa"/>
              <w:bottom w:w="90" w:type="dxa"/>
              <w:end w:w="105" w:type="dxa"/>
            </w:tcMar>
          </w:tcPr>
          <w:p>
            <w:pPr>
              <w:spacing w:after="24"/>
            </w:pPr>
            <w:r/>
            <w:r>
              <w:rPr>
                <w:b/>
                <w:color w:val="1F4E78"/>
                <w:sz w:val="18"/>
              </w:rPr>
              <w:t>9. Build Leaders, Not Just Cooks.</w:t>
            </w:r>
          </w:p>
          <w:p>
            <w:pPr>
              <w:spacing w:after="0"/>
            </w:pPr>
            <w:r>
              <w:rPr>
                <w:sz w:val="16"/>
              </w:rPr>
              <w:t>Technical skill develops alongside communication, teamwork, professionalism, critical thinking, ethics, and leadership.</w:t>
            </w:r>
          </w:p>
        </w:tc>
      </w:tr>
      <w:tr>
        <w:tc>
          <w:tcPr>
            <w:tcW w:type="dxa" w:w="5083"/>
            <w:shd w:fill="E8F5F5"/>
            <w:tcMar>
              <w:top w:w="90" w:type="dxa"/>
              <w:start w:w="105" w:type="dxa"/>
              <w:bottom w:w="90" w:type="dxa"/>
              <w:end w:w="105" w:type="dxa"/>
            </w:tcMar>
          </w:tcPr>
          <w:p>
            <w:pPr>
              <w:spacing w:after="24"/>
            </w:pPr>
            <w:r/>
            <w:r>
              <w:rPr>
                <w:b/>
                <w:color w:val="1C8C8C"/>
                <w:sz w:val="18"/>
              </w:rPr>
              <w:t>5. Experiences Provide Evidence. Competencies Determine Progression.</w:t>
            </w:r>
          </w:p>
          <w:p>
            <w:pPr>
              <w:spacing w:after="0"/>
            </w:pPr>
            <w:r>
              <w:rPr>
                <w:sz w:val="16"/>
              </w:rPr>
              <w:t>Authentic experiences create evidence; verified competency authorizes greater responsibility.</w:t>
            </w:r>
          </w:p>
        </w:tc>
        <w:tc>
          <w:tcPr>
            <w:tcW w:type="dxa" w:w="5083"/>
            <w:shd w:fill="EAF2F8"/>
            <w:tcMar>
              <w:top w:w="90" w:type="dxa"/>
              <w:start w:w="105" w:type="dxa"/>
              <w:bottom w:w="90" w:type="dxa"/>
              <w:end w:w="105" w:type="dxa"/>
            </w:tcMar>
          </w:tcPr>
          <w:p>
            <w:pPr>
              <w:spacing w:after="24"/>
            </w:pPr>
            <w:r/>
            <w:r>
              <w:rPr>
                <w:b/>
                <w:color w:val="1F4E78"/>
                <w:sz w:val="18"/>
              </w:rPr>
              <w:t>10. Travel Rights Are Earned.</w:t>
            </w:r>
          </w:p>
          <w:p>
            <w:pPr>
              <w:spacing w:after="0"/>
            </w:pPr>
            <w:r>
              <w:rPr>
                <w:sz w:val="16"/>
              </w:rPr>
              <w:t>Students represent the pathway beyond the classroom only after demonstrating readiness, professionalism, and responsibility.</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4F8FA"/>
            <w:tcMar>
              <w:top w:w="115" w:type="dxa"/>
              <w:start w:w="130" w:type="dxa"/>
              <w:bottom w:w="115" w:type="dxa"/>
              <w:end w:w="130" w:type="dxa"/>
            </w:tcMar>
          </w:tcPr>
          <w:p>
            <w:pPr>
              <w:spacing w:after="30"/>
            </w:pPr>
            <w:r/>
            <w:r>
              <w:rPr>
                <w:rFonts w:ascii="Aptos" w:hAnsi="Aptos"/>
                <w:b/>
                <w:color w:val="1C8C8C"/>
                <w:sz w:val="20"/>
              </w:rPr>
              <w:t>Closing Commitment</w:t>
            </w:r>
          </w:p>
          <w:p>
            <w:pPr>
              <w:spacing w:after="0"/>
            </w:pPr>
            <w:r>
              <w:rPr>
                <w:rFonts w:ascii="Aptos" w:hAnsi="Aptos"/>
                <w:sz w:val="18"/>
              </w:rPr>
              <w:t>The pathway prepares students for meaningful careers, lifelong learning, and responsible leadership through authentic experiences that increase responsibility as competency is demonstrated.</w:t>
            </w:r>
          </w:p>
        </w:tc>
      </w:tr>
    </w:tbl>
    <w:p>
      <w:pPr>
        <w:spacing w:after="0"/>
      </w:pPr>
    </w:p>
    <w:p>
      <w:r>
        <w:br w:type="page"/>
      </w:r>
    </w:p>
    <w:p>
      <w:pPr>
        <w:pStyle w:val="Heading1"/>
      </w:pPr>
      <w:r>
        <w:t>Document Status</w:t>
      </w:r>
    </w:p>
    <w:p>
      <w:r>
        <w:t>This blueprint defines the intended architecture of the Greece Central School District Culinary Pathway. It is governed by the Culinary Pathway Canon, Version 3.0, and the Culinary Pathway Operating Principles, Version 1.0.</w:t>
      </w:r>
    </w:p>
    <w:p>
      <w:r>
        <w:t>This is a planning document, not current district policy. It does not replace Board policy, collective bargaining agreements, approved curriculum, student-support plans, New York State Education Department guidance, labor law, food-safety requirements, insurance rules, transportation procedures, privacy and records requirements, or approved district operating procedures. Current law and adopted district policy control.</w:t>
      </w:r>
    </w:p>
    <w:p>
      <w:pPr>
        <w:pStyle w:val="Heading1"/>
      </w:pPr>
      <w:r>
        <w:t>Executive Summary</w:t>
      </w:r>
    </w:p>
    <w:p>
      <w:r>
        <w:t>The Culinary Pathway is a three-year competency continuum connecting classroom instruction, instructional kitchens, The Cottage, leadership development, and supervised Work-Based Learning.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tcMar>
              <w:top w:w="90" w:type="dxa"/>
              <w:start w:w="90" w:type="dxa"/>
              <w:bottom w:w="90" w:type="dxa"/>
              <w:end w:w="90" w:type="dxa"/>
            </w:tcMar>
            <w:vAlign w:val="center"/>
            <w:shd w:fill="1F4E78"/>
          </w:tcPr>
          <w:p>
            <w:pPr>
              <w:spacing w:after="0"/>
            </w:pPr>
            <w:r/>
            <w:r>
              <w:rPr>
                <w:rFonts w:ascii="Aptos" w:hAnsi="Aptos"/>
                <w:b/>
                <w:color w:val="FFFFFF"/>
                <w:sz w:val="17"/>
              </w:rPr>
              <w:t>Grade</w:t>
            </w:r>
          </w:p>
        </w:tc>
        <w:tc>
          <w:tcPr>
            <w:tcW w:type="dxa" w:w="2376"/>
            <w:tcMar>
              <w:top w:w="90" w:type="dxa"/>
              <w:start w:w="90" w:type="dxa"/>
              <w:bottom w:w="90" w:type="dxa"/>
              <w:end w:w="90" w:type="dxa"/>
            </w:tcMar>
            <w:vAlign w:val="center"/>
            <w:shd w:fill="1F4E78"/>
          </w:tcPr>
          <w:p>
            <w:pPr>
              <w:spacing w:after="0"/>
            </w:pPr>
            <w:r/>
            <w:r>
              <w:rPr>
                <w:rFonts w:ascii="Aptos" w:hAnsi="Aptos"/>
                <w:b/>
                <w:color w:val="FFFFFF"/>
                <w:sz w:val="17"/>
              </w:rPr>
              <w:t>Courses</w:t>
            </w:r>
          </w:p>
        </w:tc>
        <w:tc>
          <w:tcPr>
            <w:tcW w:type="dxa" w:w="4824"/>
            <w:tcMar>
              <w:top w:w="90" w:type="dxa"/>
              <w:start w:w="90" w:type="dxa"/>
              <w:bottom w:w="90" w:type="dxa"/>
              <w:end w:w="90" w:type="dxa"/>
            </w:tcMar>
            <w:vAlign w:val="center"/>
            <w:shd w:fill="1F4E78"/>
          </w:tcPr>
          <w:p>
            <w:pPr>
              <w:spacing w:after="0"/>
            </w:pPr>
            <w:r/>
            <w:r>
              <w:rPr>
                <w:rFonts w:ascii="Aptos" w:hAnsi="Aptos"/>
                <w:b/>
                <w:color w:val="FFFFFF"/>
                <w:sz w:val="17"/>
              </w:rPr>
              <w:t>Primary focus</w:t>
            </w:r>
          </w:p>
        </w:tc>
        <w:tc>
          <w:tcPr>
            <w:tcW w:type="dxa" w:w="1656"/>
            <w:tcMar>
              <w:top w:w="90" w:type="dxa"/>
              <w:start w:w="90" w:type="dxa"/>
              <w:bottom w:w="90" w:type="dxa"/>
              <w:end w:w="90" w:type="dxa"/>
            </w:tcMar>
            <w:vAlign w:val="center"/>
            <w:shd w:fill="1F4E78"/>
          </w:tcPr>
          <w:p>
            <w:pPr>
              <w:spacing w:after="0"/>
            </w:pPr>
            <w:r/>
            <w:r>
              <w:rPr>
                <w:rFonts w:ascii="Aptos" w:hAnsi="Aptos"/>
                <w:b/>
                <w:color w:val="FFFFFF"/>
                <w:sz w:val="17"/>
              </w:rPr>
              <w:t>Gateway progression</w:t>
            </w:r>
          </w:p>
        </w:tc>
      </w:tr>
      <w:tr>
        <w:tc>
          <w:tcPr>
            <w:tcW w:type="dxa" w:w="792"/>
            <w:tcMar>
              <w:top w:w="90" w:type="dxa"/>
              <w:start w:w="90" w:type="dxa"/>
              <w:bottom w:w="90" w:type="dxa"/>
              <w:end w:w="90" w:type="dxa"/>
            </w:tcMar>
            <w:vAlign w:val="center"/>
            <w:shd w:fill="EAF2F8"/>
          </w:tcPr>
          <w:p>
            <w:pPr>
              <w:spacing w:after="0"/>
            </w:pPr>
            <w:r/>
            <w:r>
              <w:rPr>
                <w:rFonts w:ascii="Aptos" w:hAnsi="Aptos"/>
                <w:b w:val="0"/>
                <w:sz w:val="17"/>
              </w:rPr>
              <w:t>10</w:t>
            </w:r>
          </w:p>
        </w:tc>
        <w:tc>
          <w:tcPr>
            <w:tcW w:type="dxa" w:w="2376"/>
            <w:tcMar>
              <w:top w:w="90" w:type="dxa"/>
              <w:start w:w="90" w:type="dxa"/>
              <w:bottom w:w="90" w:type="dxa"/>
              <w:end w:w="90" w:type="dxa"/>
            </w:tcMar>
            <w:vAlign w:val="center"/>
            <w:shd w:fill="EAF2F8"/>
          </w:tcPr>
          <w:p>
            <w:pPr>
              <w:spacing w:after="0"/>
            </w:pPr>
            <w:r/>
            <w:r>
              <w:rPr>
                <w:rFonts w:ascii="Aptos" w:hAnsi="Aptos"/>
                <w:b w:val="0"/>
                <w:sz w:val="17"/>
              </w:rPr>
              <w:t>Culinary 1 and Culinary 2</w:t>
            </w:r>
          </w:p>
        </w:tc>
        <w:tc>
          <w:tcPr>
            <w:tcW w:type="dxa" w:w="4824"/>
            <w:tcMar>
              <w:top w:w="90" w:type="dxa"/>
              <w:start w:w="90" w:type="dxa"/>
              <w:bottom w:w="90" w:type="dxa"/>
              <w:end w:w="90" w:type="dxa"/>
            </w:tcMar>
            <w:vAlign w:val="center"/>
            <w:shd w:fill="EAF2F8"/>
          </w:tcPr>
          <w:p>
            <w:pPr>
              <w:spacing w:after="0"/>
            </w:pPr>
            <w:r/>
            <w:r>
              <w:rPr>
                <w:rFonts w:ascii="Aptos" w:hAnsi="Aptos"/>
                <w:b w:val="0"/>
                <w:sz w:val="17"/>
              </w:rPr>
              <w:t>Safety, kitchen operations, foundational culinary techniques, and professional habits.</w:t>
            </w:r>
          </w:p>
        </w:tc>
        <w:tc>
          <w:tcPr>
            <w:tcW w:type="dxa" w:w="1656"/>
            <w:tcMar>
              <w:top w:w="90" w:type="dxa"/>
              <w:start w:w="90" w:type="dxa"/>
              <w:bottom w:w="90" w:type="dxa"/>
              <w:end w:w="90" w:type="dxa"/>
            </w:tcMar>
            <w:vAlign w:val="center"/>
            <w:shd w:fill="EAF2F8"/>
          </w:tcPr>
          <w:p>
            <w:pPr>
              <w:spacing w:after="0"/>
            </w:pPr>
            <w:r/>
            <w:r>
              <w:rPr>
                <w:rFonts w:ascii="Aptos" w:hAnsi="Aptos"/>
                <w:b w:val="0"/>
                <w:sz w:val="17"/>
              </w:rPr>
              <w:t>Gateways 1-3</w:t>
            </w:r>
          </w:p>
        </w:tc>
      </w:tr>
      <w:tr>
        <w:tc>
          <w:tcPr>
            <w:tcW w:type="dxa" w:w="792"/>
            <w:tcMar>
              <w:top w:w="90" w:type="dxa"/>
              <w:start w:w="90" w:type="dxa"/>
              <w:bottom w:w="90" w:type="dxa"/>
              <w:end w:w="90" w:type="dxa"/>
            </w:tcMar>
            <w:vAlign w:val="center"/>
          </w:tcPr>
          <w:p>
            <w:pPr>
              <w:spacing w:after="0"/>
            </w:pPr>
            <w:r/>
            <w:r>
              <w:rPr>
                <w:rFonts w:ascii="Aptos" w:hAnsi="Aptos"/>
                <w:b w:val="0"/>
                <w:sz w:val="17"/>
              </w:rPr>
              <w:t>11</w:t>
            </w:r>
          </w:p>
        </w:tc>
        <w:tc>
          <w:tcPr>
            <w:tcW w:type="dxa" w:w="2376"/>
            <w:tcMar>
              <w:top w:w="90" w:type="dxa"/>
              <w:start w:w="90" w:type="dxa"/>
              <w:bottom w:w="90" w:type="dxa"/>
              <w:end w:w="90" w:type="dxa"/>
            </w:tcMar>
            <w:vAlign w:val="center"/>
          </w:tcPr>
          <w:p>
            <w:pPr>
              <w:spacing w:after="0"/>
            </w:pPr>
            <w:r/>
            <w:r>
              <w:rPr>
                <w:rFonts w:ascii="Aptos" w:hAnsi="Aptos"/>
                <w:b w:val="0"/>
                <w:sz w:val="17"/>
              </w:rPr>
              <w:t>Advanced Culinary and Kitchen Management</w:t>
            </w:r>
          </w:p>
        </w:tc>
        <w:tc>
          <w:tcPr>
            <w:tcW w:type="dxa" w:w="4824"/>
            <w:tcMar>
              <w:top w:w="90" w:type="dxa"/>
              <w:start w:w="90" w:type="dxa"/>
              <w:bottom w:w="90" w:type="dxa"/>
              <w:end w:w="90" w:type="dxa"/>
            </w:tcMar>
            <w:vAlign w:val="center"/>
          </w:tcPr>
          <w:p>
            <w:pPr>
              <w:spacing w:after="0"/>
            </w:pPr>
            <w:r/>
            <w:r>
              <w:rPr>
                <w:rFonts w:ascii="Aptos" w:hAnsi="Aptos"/>
                <w:b w:val="0"/>
                <w:sz w:val="17"/>
              </w:rPr>
              <w:t>Client-centered production, leadership, management, and career readiness.</w:t>
            </w:r>
          </w:p>
        </w:tc>
        <w:tc>
          <w:tcPr>
            <w:tcW w:type="dxa" w:w="1656"/>
            <w:tcMar>
              <w:top w:w="90" w:type="dxa"/>
              <w:start w:w="90" w:type="dxa"/>
              <w:bottom w:w="90" w:type="dxa"/>
              <w:end w:w="90" w:type="dxa"/>
            </w:tcMar>
            <w:vAlign w:val="center"/>
          </w:tcPr>
          <w:p>
            <w:pPr>
              <w:spacing w:after="0"/>
            </w:pPr>
            <w:r/>
            <w:r>
              <w:rPr>
                <w:rFonts w:ascii="Aptos" w:hAnsi="Aptos"/>
                <w:b w:val="0"/>
                <w:sz w:val="17"/>
              </w:rPr>
              <w:t>Gateways 4-5</w:t>
            </w:r>
          </w:p>
        </w:tc>
      </w:tr>
      <w:tr>
        <w:tc>
          <w:tcPr>
            <w:tcW w:type="dxa" w:w="792"/>
            <w:tcMar>
              <w:top w:w="90" w:type="dxa"/>
              <w:start w:w="90" w:type="dxa"/>
              <w:bottom w:w="90" w:type="dxa"/>
              <w:end w:w="90" w:type="dxa"/>
            </w:tcMar>
            <w:vAlign w:val="center"/>
            <w:shd w:fill="EAF2F8"/>
          </w:tcPr>
          <w:p>
            <w:pPr>
              <w:spacing w:after="0"/>
            </w:pPr>
            <w:r/>
            <w:r>
              <w:rPr>
                <w:rFonts w:ascii="Aptos" w:hAnsi="Aptos"/>
                <w:b w:val="0"/>
                <w:sz w:val="17"/>
              </w:rPr>
              <w:t>12</w:t>
            </w:r>
          </w:p>
        </w:tc>
        <w:tc>
          <w:tcPr>
            <w:tcW w:type="dxa" w:w="2376"/>
            <w:tcMar>
              <w:top w:w="90" w:type="dxa"/>
              <w:start w:w="90" w:type="dxa"/>
              <w:bottom w:w="90" w:type="dxa"/>
              <w:end w:w="90" w:type="dxa"/>
            </w:tcMar>
            <w:vAlign w:val="center"/>
            <w:shd w:fill="EAF2F8"/>
          </w:tcPr>
          <w:p>
            <w:pPr>
              <w:spacing w:after="0"/>
            </w:pPr>
            <w:r/>
            <w:r>
              <w:rPr>
                <w:rFonts w:ascii="Aptos" w:hAnsi="Aptos"/>
                <w:b w:val="0"/>
                <w:sz w:val="17"/>
              </w:rPr>
              <w:t>External Work-Based Learning, 1.0 credit</w:t>
            </w:r>
          </w:p>
        </w:tc>
        <w:tc>
          <w:tcPr>
            <w:tcW w:type="dxa" w:w="4824"/>
            <w:tcMar>
              <w:top w:w="90" w:type="dxa"/>
              <w:start w:w="90" w:type="dxa"/>
              <w:bottom w:w="90" w:type="dxa"/>
              <w:end w:w="90" w:type="dxa"/>
            </w:tcMar>
            <w:vAlign w:val="center"/>
            <w:shd w:fill="EAF2F8"/>
          </w:tcPr>
          <w:p>
            <w:pPr>
              <w:spacing w:after="0"/>
            </w:pPr>
            <w:r/>
            <w:r>
              <w:rPr>
                <w:rFonts w:ascii="Aptos" w:hAnsi="Aptos"/>
                <w:b w:val="0"/>
                <w:sz w:val="17"/>
              </w:rPr>
              <w:t>Authentic workplace learning, career transition, portfolio, and reflection.</w:t>
            </w:r>
          </w:p>
        </w:tc>
        <w:tc>
          <w:tcPr>
            <w:tcW w:type="dxa" w:w="1656"/>
            <w:tcMar>
              <w:top w:w="90" w:type="dxa"/>
              <w:start w:w="90" w:type="dxa"/>
              <w:bottom w:w="90" w:type="dxa"/>
              <w:end w:w="90" w:type="dxa"/>
            </w:tcMar>
            <w:vAlign w:val="center"/>
            <w:shd w:fill="EAF2F8"/>
          </w:tcPr>
          <w:p>
            <w:pPr>
              <w:spacing w:after="0"/>
            </w:pPr>
            <w:r/>
            <w:r>
              <w:rPr>
                <w:rFonts w:ascii="Aptos" w:hAnsi="Aptos"/>
                <w:b w:val="0"/>
                <w:sz w:val="17"/>
              </w:rPr>
              <w:t>Gateway 6</w:t>
            </w:r>
          </w:p>
        </w:tc>
      </w:tr>
    </w:tbl>
    <w:p>
      <w:pPr>
        <w:spacing w:after="0"/>
      </w:pPr>
    </w:p>
    <w:p>
      <w:r>
        <w:t>Students advance by demonstrating competency. The Culinary Passport is the official competency and progression record. The Cottage provides client-centered practice under school supervision. Kitchen Management develops leadership and career readiness. The senior External Work-Based Learning course completes the pathway through 300 verified workplace hours, a completed portfolio, employer evaluation, coordinator evaluation, and a final presentation.</w:t>
      </w: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Students Advance by Demonstrating Competency</w:t>
            </w:r>
          </w:p>
          <w:p>
            <w:pPr>
              <w:spacing w:after="0"/>
            </w:pPr>
            <w:r>
              <w:rPr>
                <w:rFonts w:ascii="Aptos" w:hAnsi="Aptos"/>
                <w:sz w:val="18"/>
              </w:rPr>
              <w:t>Progression is earned through verified performance. Course participation creates opportunities; demonstrated competency authorizes greater responsibility.</w:t>
            </w:r>
          </w:p>
        </w:tc>
      </w:tr>
    </w:tbl>
    <w:p>
      <w:pPr>
        <w:spacing w:after="0"/>
      </w:pPr>
    </w:p>
    <w:p>
      <w:pPr>
        <w:pStyle w:val="Heading1"/>
        <w:pageBreakBefore/>
      </w:pPr>
      <w:r>
        <w:t>The Four-Book Series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664"/>
            <w:tcMar>
              <w:top w:w="90" w:type="dxa"/>
              <w:start w:w="90" w:type="dxa"/>
              <w:bottom w:w="90" w:type="dxa"/>
              <w:end w:w="90" w:type="dxa"/>
            </w:tcMar>
            <w:vAlign w:val="center"/>
            <w:shd w:fill="1F4E78"/>
          </w:tcPr>
          <w:p>
            <w:pPr>
              <w:spacing w:after="0"/>
            </w:pPr>
            <w:r/>
            <w:r>
              <w:rPr>
                <w:rFonts w:ascii="Aptos" w:hAnsi="Aptos"/>
                <w:b/>
                <w:color w:val="FFFFFF"/>
                <w:sz w:val="17"/>
              </w:rPr>
              <w:t>Book</w:t>
            </w:r>
          </w:p>
        </w:tc>
        <w:tc>
          <w:tcPr>
            <w:tcW w:type="dxa" w:w="3096"/>
            <w:tcMar>
              <w:top w:w="90" w:type="dxa"/>
              <w:start w:w="90" w:type="dxa"/>
              <w:bottom w:w="90" w:type="dxa"/>
              <w:end w:w="90" w:type="dxa"/>
            </w:tcMar>
            <w:vAlign w:val="center"/>
            <w:shd w:fill="1F4E78"/>
          </w:tcPr>
          <w:p>
            <w:pPr>
              <w:spacing w:after="0"/>
            </w:pPr>
            <w:r/>
            <w:r>
              <w:rPr>
                <w:rFonts w:ascii="Aptos" w:hAnsi="Aptos"/>
                <w:b/>
                <w:color w:val="FFFFFF"/>
                <w:sz w:val="17"/>
              </w:rPr>
              <w:t>Primary question</w:t>
            </w:r>
          </w:p>
        </w:tc>
        <w:tc>
          <w:tcPr>
            <w:tcW w:type="dxa" w:w="4392"/>
            <w:tcMar>
              <w:top w:w="90" w:type="dxa"/>
              <w:start w:w="90" w:type="dxa"/>
              <w:bottom w:w="90" w:type="dxa"/>
              <w:end w:w="90" w:type="dxa"/>
            </w:tcMar>
            <w:vAlign w:val="center"/>
            <w:shd w:fill="1F4E78"/>
          </w:tcPr>
          <w:p>
            <w:pPr>
              <w:spacing w:after="0"/>
            </w:pPr>
            <w:r/>
            <w:r>
              <w:rPr>
                <w:rFonts w:ascii="Aptos" w:hAnsi="Aptos"/>
                <w:b/>
                <w:color w:val="FFFFFF"/>
                <w:sz w:val="17"/>
              </w:rPr>
              <w:t>Primary ownership</w:t>
            </w:r>
          </w:p>
        </w:tc>
      </w:tr>
      <w:tr>
        <w:tc>
          <w:tcPr>
            <w:tcW w:type="dxa" w:w="2664"/>
            <w:tcMar>
              <w:top w:w="90" w:type="dxa"/>
              <w:start w:w="90" w:type="dxa"/>
              <w:bottom w:w="90" w:type="dxa"/>
              <w:end w:w="90" w:type="dxa"/>
            </w:tcMar>
            <w:vAlign w:val="center"/>
            <w:shd w:fill="EAF2F8"/>
          </w:tcPr>
          <w:p>
            <w:pPr>
              <w:spacing w:after="0"/>
            </w:pPr>
            <w:r/>
            <w:r>
              <w:rPr>
                <w:rFonts w:ascii="Aptos" w:hAnsi="Aptos"/>
                <w:b w:val="0"/>
                <w:sz w:val="17"/>
              </w:rPr>
              <w:t>Book One: Program Blueprint</w:t>
            </w:r>
          </w:p>
        </w:tc>
        <w:tc>
          <w:tcPr>
            <w:tcW w:type="dxa" w:w="3096"/>
            <w:tcMar>
              <w:top w:w="90" w:type="dxa"/>
              <w:start w:w="90" w:type="dxa"/>
              <w:bottom w:w="90" w:type="dxa"/>
              <w:end w:w="90" w:type="dxa"/>
            </w:tcMar>
            <w:vAlign w:val="center"/>
            <w:shd w:fill="EAF2F8"/>
          </w:tcPr>
          <w:p>
            <w:pPr>
              <w:spacing w:after="0"/>
            </w:pPr>
            <w:r/>
            <w:r>
              <w:rPr>
                <w:rFonts w:ascii="Aptos" w:hAnsi="Aptos"/>
                <w:b w:val="0"/>
                <w:sz w:val="17"/>
              </w:rPr>
              <w:t>What is the Culinary Pathway?</w:t>
            </w:r>
          </w:p>
        </w:tc>
        <w:tc>
          <w:tcPr>
            <w:tcW w:type="dxa" w:w="4392"/>
            <w:tcMar>
              <w:top w:w="90" w:type="dxa"/>
              <w:start w:w="90" w:type="dxa"/>
              <w:bottom w:w="90" w:type="dxa"/>
              <w:end w:w="90" w:type="dxa"/>
            </w:tcMar>
            <w:vAlign w:val="center"/>
            <w:shd w:fill="EAF2F8"/>
          </w:tcPr>
          <w:p>
            <w:pPr>
              <w:spacing w:after="0"/>
            </w:pPr>
            <w:r/>
            <w:r>
              <w:rPr>
                <w:rFonts w:ascii="Aptos" w:hAnsi="Aptos"/>
                <w:b w:val="0"/>
                <w:sz w:val="17"/>
              </w:rPr>
              <w:t>Mission, progression, Gateways, Passport, authentic learning environments, governance, and boundaries.</w:t>
            </w:r>
          </w:p>
        </w:tc>
      </w:tr>
      <w:tr>
        <w:tc>
          <w:tcPr>
            <w:tcW w:type="dxa" w:w="2664"/>
            <w:tcMar>
              <w:top w:w="90" w:type="dxa"/>
              <w:start w:w="90" w:type="dxa"/>
              <w:bottom w:w="90" w:type="dxa"/>
              <w:end w:w="90" w:type="dxa"/>
            </w:tcMar>
            <w:vAlign w:val="center"/>
          </w:tcPr>
          <w:p>
            <w:pPr>
              <w:spacing w:after="0"/>
            </w:pPr>
            <w:r/>
            <w:r>
              <w:rPr>
                <w:rFonts w:ascii="Aptos" w:hAnsi="Aptos"/>
                <w:b w:val="0"/>
                <w:sz w:val="17"/>
              </w:rPr>
              <w:t>Book Two: Assessment, Evaluation &amp; Continuous Improvement</w:t>
            </w:r>
          </w:p>
        </w:tc>
        <w:tc>
          <w:tcPr>
            <w:tcW w:type="dxa" w:w="3096"/>
            <w:tcMar>
              <w:top w:w="90" w:type="dxa"/>
              <w:start w:w="90" w:type="dxa"/>
              <w:bottom w:w="90" w:type="dxa"/>
              <w:end w:w="90" w:type="dxa"/>
            </w:tcMar>
            <w:vAlign w:val="center"/>
          </w:tcPr>
          <w:p>
            <w:pPr>
              <w:spacing w:after="0"/>
            </w:pPr>
            <w:r/>
            <w:r>
              <w:rPr>
                <w:rFonts w:ascii="Aptos" w:hAnsi="Aptos"/>
                <w:b w:val="0"/>
                <w:sz w:val="17"/>
              </w:rPr>
              <w:t>How are learning and program quality judged?</w:t>
            </w:r>
          </w:p>
        </w:tc>
        <w:tc>
          <w:tcPr>
            <w:tcW w:type="dxa" w:w="4392"/>
            <w:tcMar>
              <w:top w:w="90" w:type="dxa"/>
              <w:start w:w="90" w:type="dxa"/>
              <w:bottom w:w="90" w:type="dxa"/>
              <w:end w:w="90" w:type="dxa"/>
            </w:tcMar>
            <w:vAlign w:val="center"/>
          </w:tcPr>
          <w:p>
            <w:pPr>
              <w:spacing w:after="0"/>
            </w:pPr>
            <w:r/>
            <w:r>
              <w:rPr>
                <w:rFonts w:ascii="Aptos" w:hAnsi="Aptos"/>
                <w:b w:val="0"/>
                <w:sz w:val="17"/>
              </w:rPr>
              <w:t>Student assessment, Gateway evidence, training-station evaluation, program evaluation, reassessment, and improvement.</w:t>
            </w:r>
          </w:p>
        </w:tc>
      </w:tr>
      <w:tr>
        <w:tc>
          <w:tcPr>
            <w:tcW w:type="dxa" w:w="2664"/>
            <w:tcMar>
              <w:top w:w="90" w:type="dxa"/>
              <w:start w:w="90" w:type="dxa"/>
              <w:bottom w:w="90" w:type="dxa"/>
              <w:end w:w="90" w:type="dxa"/>
            </w:tcMar>
            <w:vAlign w:val="center"/>
            <w:shd w:fill="EAF2F8"/>
          </w:tcPr>
          <w:p>
            <w:pPr>
              <w:spacing w:after="0"/>
            </w:pPr>
            <w:r/>
            <w:r>
              <w:rPr>
                <w:rFonts w:ascii="Aptos" w:hAnsi="Aptos"/>
                <w:b w:val="0"/>
                <w:sz w:val="17"/>
              </w:rPr>
              <w:t>Book Three: Operations Manual</w:t>
            </w:r>
          </w:p>
        </w:tc>
        <w:tc>
          <w:tcPr>
            <w:tcW w:type="dxa" w:w="3096"/>
            <w:tcMar>
              <w:top w:w="90" w:type="dxa"/>
              <w:start w:w="90" w:type="dxa"/>
              <w:bottom w:w="90" w:type="dxa"/>
              <w:end w:w="90" w:type="dxa"/>
            </w:tcMar>
            <w:vAlign w:val="center"/>
            <w:shd w:fill="EAF2F8"/>
          </w:tcPr>
          <w:p>
            <w:pPr>
              <w:spacing w:after="0"/>
            </w:pPr>
            <w:r/>
            <w:r>
              <w:rPr>
                <w:rFonts w:ascii="Aptos" w:hAnsi="Aptos"/>
                <w:b w:val="0"/>
                <w:sz w:val="17"/>
              </w:rPr>
              <w:t>How does the pathway run consistently?</w:t>
            </w:r>
          </w:p>
        </w:tc>
        <w:tc>
          <w:tcPr>
            <w:tcW w:type="dxa" w:w="4392"/>
            <w:tcMar>
              <w:top w:w="90" w:type="dxa"/>
              <w:start w:w="90" w:type="dxa"/>
              <w:bottom w:w="90" w:type="dxa"/>
              <w:end w:w="90" w:type="dxa"/>
            </w:tcMar>
            <w:vAlign w:val="center"/>
            <w:shd w:fill="EAF2F8"/>
          </w:tcPr>
          <w:p>
            <w:pPr>
              <w:spacing w:after="0"/>
            </w:pPr>
            <w:r/>
            <w:r>
              <w:rPr>
                <w:rFonts w:ascii="Aptos" w:hAnsi="Aptos"/>
                <w:b w:val="0"/>
                <w:sz w:val="17"/>
              </w:rPr>
              <w:t>Procedures, calendars, forms, communication, records, approvals, monitoring, safety response, and closeout.</w:t>
            </w:r>
          </w:p>
        </w:tc>
      </w:tr>
      <w:tr>
        <w:tc>
          <w:tcPr>
            <w:tcW w:type="dxa" w:w="2664"/>
            <w:tcMar>
              <w:top w:w="90" w:type="dxa"/>
              <w:start w:w="90" w:type="dxa"/>
              <w:bottom w:w="90" w:type="dxa"/>
              <w:end w:w="90" w:type="dxa"/>
            </w:tcMar>
            <w:vAlign w:val="center"/>
          </w:tcPr>
          <w:p>
            <w:pPr>
              <w:spacing w:after="0"/>
            </w:pPr>
            <w:r/>
            <w:r>
              <w:rPr>
                <w:rFonts w:ascii="Aptos" w:hAnsi="Aptos"/>
                <w:b w:val="0"/>
                <w:sz w:val="17"/>
              </w:rPr>
              <w:t>Book Four: Board Proposal &amp; Implementation Plan</w:t>
            </w:r>
          </w:p>
        </w:tc>
        <w:tc>
          <w:tcPr>
            <w:tcW w:type="dxa" w:w="3096"/>
            <w:tcMar>
              <w:top w:w="90" w:type="dxa"/>
              <w:start w:w="90" w:type="dxa"/>
              <w:bottom w:w="90" w:type="dxa"/>
              <w:end w:w="90" w:type="dxa"/>
            </w:tcMar>
            <w:vAlign w:val="center"/>
          </w:tcPr>
          <w:p>
            <w:pPr>
              <w:spacing w:after="0"/>
            </w:pPr>
            <w:r/>
            <w:r>
              <w:rPr>
                <w:rFonts w:ascii="Aptos" w:hAnsi="Aptos"/>
                <w:b w:val="0"/>
                <w:sz w:val="17"/>
              </w:rPr>
              <w:t>What direction, support, resources, and authorization are required?</w:t>
            </w:r>
          </w:p>
        </w:tc>
        <w:tc>
          <w:tcPr>
            <w:tcW w:type="dxa" w:w="4392"/>
            <w:tcMar>
              <w:top w:w="90" w:type="dxa"/>
              <w:start w:w="90" w:type="dxa"/>
              <w:bottom w:w="90" w:type="dxa"/>
              <w:end w:w="90" w:type="dxa"/>
            </w:tcMar>
            <w:vAlign w:val="center"/>
          </w:tcPr>
          <w:p>
            <w:pPr>
              <w:spacing w:after="0"/>
            </w:pPr>
            <w:r/>
            <w:r>
              <w:rPr>
                <w:rFonts w:ascii="Aptos" w:hAnsi="Aptos"/>
                <w:b w:val="0"/>
                <w:sz w:val="17"/>
              </w:rPr>
              <w:t>Board action, implementation, staffing, fiscal planning, risk controls, reporting, and presentation materials.</w:t>
            </w:r>
          </w:p>
        </w:tc>
      </w:tr>
    </w:tbl>
    <w:p>
      <w:pPr>
        <w:spacing w:after="0"/>
      </w:pPr>
    </w:p>
    <w:p>
      <w:r>
        <w:br w:type="page"/>
      </w:r>
    </w:p>
    <w:p>
      <w:pPr>
        <w:pStyle w:val="PartTitle"/>
      </w:pPr>
      <w:r>
        <w:t>PART I</w:t>
        <w:br/>
        <w:t>Pathway Identity and Direction</w:t>
      </w:r>
    </w:p>
    <w:p>
      <w:pPr>
        <w:pStyle w:val="Heading3"/>
      </w:pPr>
      <w:r>
        <w:t>Mission, scope, district alignment, and the foundation already in place.</w:t>
      </w:r>
    </w:p>
    <w:p>
      <w:pPr>
        <w:pStyle w:val="Heading1"/>
      </w:pPr>
      <w:r>
        <w:t>Chapter 1: Mission, Purpose, and Scope</w:t>
      </w:r>
    </w:p>
    <w:p>
      <w:pPr>
        <w:pStyle w:val="Heading2"/>
      </w:pPr>
      <w:r>
        <w:t>Mission</w:t>
      </w:r>
    </w:p>
    <w:p>
      <w:r>
        <w:t>Develop students through a structured educational continuum that progresses from foundational instruction to authentic professional practice by integrating classroom learning, school-based enterprise, leadership development, and supervised Work-Based Learning.</w:t>
      </w:r>
    </w:p>
    <w:p>
      <w:pPr>
        <w:pStyle w:val="Heading2"/>
      </w:pPr>
      <w:r>
        <w:t>Purpose</w:t>
      </w:r>
    </w:p>
    <w:p>
      <w:r>
        <w:t>The Culinary Pathway prepares students to work safely, produce quality results, communicate professionally, respond to feedback, solve problems, lead others, and transfer learning into the workplace. Students may enter culinary or hospitality employment, continue into postsecondary education, pursue management or entrepreneurship, or apply the pathway's professional habits in another field.</w:t>
      </w:r>
    </w:p>
    <w:p>
      <w:pPr>
        <w:pStyle w:val="Heading2"/>
      </w:pPr>
      <w:r>
        <w:t>Scope</w:t>
      </w:r>
    </w:p>
    <w:p>
      <w:r>
        <w:t>The pathway includes Culinary 1, Culinary 2, Advanced Culinary, Kitchen Management, the senior External Work-Based Learning course, instructional kitchens, The Cottage, catering and client-centered production, leadership development, portfolio work, employer-supervised learning, and pathway transition.</w:t>
      </w: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Every Day Is a School Day</w:t>
            </w:r>
          </w:p>
          <w:p>
            <w:pPr>
              <w:spacing w:after="0"/>
            </w:pPr>
            <w:r>
              <w:rPr>
                <w:rFonts w:ascii="Aptos" w:hAnsi="Aptos"/>
                <w:sz w:val="18"/>
              </w:rPr>
              <w:t>Learning continues in every classroom, kitchen, catering event, competition, meeting, workplace, and professional interaction.</w:t>
            </w:r>
          </w:p>
        </w:tc>
      </w:tr>
    </w:tbl>
    <w:p>
      <w:pPr>
        <w:spacing w:after="0"/>
      </w:pPr>
    </w:p>
    <w:p>
      <w:pPr>
        <w:pStyle w:val="Heading1"/>
        <w:pageBreakBefore/>
      </w:pPr>
      <w:r>
        <w:t>Chapter 2: District Alignment and Existing Foundation</w:t>
      </w:r>
    </w:p>
    <w:p>
      <w:r>
        <w:t>The pathway organizes and extends the approved Culinary Arts program already operating within Greece Central School District.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664"/>
            <w:tcMar>
              <w:top w:w="90" w:type="dxa"/>
              <w:start w:w="90" w:type="dxa"/>
              <w:bottom w:w="90" w:type="dxa"/>
              <w:end w:w="90" w:type="dxa"/>
            </w:tcMar>
            <w:vAlign w:val="center"/>
            <w:shd w:fill="1F4E78"/>
          </w:tcPr>
          <w:p>
            <w:pPr>
              <w:spacing w:after="0"/>
            </w:pPr>
            <w:r/>
            <w:r>
              <w:rPr>
                <w:rFonts w:ascii="Aptos" w:hAnsi="Aptos"/>
                <w:b/>
                <w:color w:val="FFFFFF"/>
                <w:sz w:val="17"/>
              </w:rPr>
              <w:t>District foundation</w:t>
            </w:r>
          </w:p>
        </w:tc>
        <w:tc>
          <w:tcPr>
            <w:tcW w:type="dxa" w:w="7416"/>
            <w:tcMar>
              <w:top w:w="90" w:type="dxa"/>
              <w:start w:w="90" w:type="dxa"/>
              <w:bottom w:w="90" w:type="dxa"/>
              <w:end w:w="90" w:type="dxa"/>
            </w:tcMar>
            <w:vAlign w:val="center"/>
            <w:shd w:fill="1F4E78"/>
          </w:tcPr>
          <w:p>
            <w:pPr>
              <w:spacing w:after="0"/>
            </w:pPr>
            <w:r/>
            <w:r>
              <w:rPr>
                <w:rFonts w:ascii="Aptos" w:hAnsi="Aptos"/>
                <w:b/>
                <w:color w:val="FFFFFF"/>
                <w:sz w:val="17"/>
              </w:rPr>
              <w:t>Pathway application</w:t>
            </w:r>
          </w:p>
        </w:tc>
      </w:tr>
      <w:tr>
        <w:tc>
          <w:tcPr>
            <w:tcW w:type="dxa" w:w="2664"/>
            <w:tcMar>
              <w:top w:w="90" w:type="dxa"/>
              <w:start w:w="90" w:type="dxa"/>
              <w:bottom w:w="90" w:type="dxa"/>
              <w:end w:w="90" w:type="dxa"/>
            </w:tcMar>
            <w:vAlign w:val="center"/>
            <w:shd w:fill="EAF2F8"/>
          </w:tcPr>
          <w:p>
            <w:pPr>
              <w:spacing w:after="0"/>
            </w:pPr>
            <w:r/>
            <w:r>
              <w:rPr>
                <w:rFonts w:ascii="Aptos" w:hAnsi="Aptos"/>
                <w:b w:val="0"/>
                <w:sz w:val="17"/>
              </w:rPr>
              <w:t>Students First</w:t>
            </w:r>
          </w:p>
        </w:tc>
        <w:tc>
          <w:tcPr>
            <w:tcW w:type="dxa" w:w="7416"/>
            <w:tcMar>
              <w:top w:w="90" w:type="dxa"/>
              <w:start w:w="90" w:type="dxa"/>
              <w:bottom w:w="90" w:type="dxa"/>
              <w:end w:w="90" w:type="dxa"/>
            </w:tcMar>
            <w:vAlign w:val="center"/>
            <w:shd w:fill="EAF2F8"/>
          </w:tcPr>
          <w:p>
            <w:pPr>
              <w:spacing w:after="0"/>
            </w:pPr>
            <w:r/>
            <w:r>
              <w:rPr>
                <w:rFonts w:ascii="Aptos" w:hAnsi="Aptos"/>
                <w:b w:val="0"/>
                <w:sz w:val="17"/>
              </w:rPr>
              <w:t>Student learning, safety, dignity, voice, and long-term development guide decisions.</w:t>
            </w:r>
          </w:p>
        </w:tc>
      </w:tr>
      <w:tr>
        <w:tc>
          <w:tcPr>
            <w:tcW w:type="dxa" w:w="2664"/>
            <w:tcMar>
              <w:top w:w="90" w:type="dxa"/>
              <w:start w:w="90" w:type="dxa"/>
              <w:bottom w:w="90" w:type="dxa"/>
              <w:end w:w="90" w:type="dxa"/>
            </w:tcMar>
            <w:vAlign w:val="center"/>
          </w:tcPr>
          <w:p>
            <w:pPr>
              <w:spacing w:after="0"/>
            </w:pPr>
            <w:r/>
            <w:r>
              <w:rPr>
                <w:rFonts w:ascii="Aptos" w:hAnsi="Aptos"/>
                <w:b w:val="0"/>
                <w:sz w:val="17"/>
              </w:rPr>
              <w:t>Equity and Access</w:t>
            </w:r>
          </w:p>
        </w:tc>
        <w:tc>
          <w:tcPr>
            <w:tcW w:type="dxa" w:w="7416"/>
            <w:tcMar>
              <w:top w:w="90" w:type="dxa"/>
              <w:start w:w="90" w:type="dxa"/>
              <w:bottom w:w="90" w:type="dxa"/>
              <w:end w:w="90" w:type="dxa"/>
            </w:tcMar>
            <w:vAlign w:val="center"/>
          </w:tcPr>
          <w:p>
            <w:pPr>
              <w:spacing w:after="0"/>
            </w:pPr>
            <w:r/>
            <w:r>
              <w:rPr>
                <w:rFonts w:ascii="Aptos" w:hAnsi="Aptos"/>
                <w:b w:val="0"/>
                <w:sz w:val="17"/>
              </w:rPr>
              <w:t>Barriers are addressed while essential safety, technical, and professional standards are preserved.</w:t>
            </w:r>
          </w:p>
        </w:tc>
      </w:tr>
      <w:tr>
        <w:tc>
          <w:tcPr>
            <w:tcW w:type="dxa" w:w="2664"/>
            <w:tcMar>
              <w:top w:w="90" w:type="dxa"/>
              <w:start w:w="90" w:type="dxa"/>
              <w:bottom w:w="90" w:type="dxa"/>
              <w:end w:w="90" w:type="dxa"/>
            </w:tcMar>
            <w:vAlign w:val="center"/>
            <w:shd w:fill="EAF2F8"/>
          </w:tcPr>
          <w:p>
            <w:pPr>
              <w:spacing w:after="0"/>
            </w:pPr>
            <w:r/>
            <w:r>
              <w:rPr>
                <w:rFonts w:ascii="Aptos" w:hAnsi="Aptos"/>
                <w:b w:val="0"/>
                <w:sz w:val="17"/>
              </w:rPr>
              <w:t>Striving for Excellence</w:t>
            </w:r>
          </w:p>
        </w:tc>
        <w:tc>
          <w:tcPr>
            <w:tcW w:type="dxa" w:w="7416"/>
            <w:tcMar>
              <w:top w:w="90" w:type="dxa"/>
              <w:start w:w="90" w:type="dxa"/>
              <w:bottom w:w="90" w:type="dxa"/>
              <w:end w:w="90" w:type="dxa"/>
            </w:tcMar>
            <w:vAlign w:val="center"/>
            <w:shd w:fill="EAF2F8"/>
          </w:tcPr>
          <w:p>
            <w:pPr>
              <w:spacing w:after="0"/>
            </w:pPr>
            <w:r/>
            <w:r>
              <w:rPr>
                <w:rFonts w:ascii="Aptos" w:hAnsi="Aptos"/>
                <w:b w:val="0"/>
                <w:sz w:val="17"/>
              </w:rPr>
              <w:t>Demonstrated quality matters more than participation counts alone.</w:t>
            </w:r>
          </w:p>
        </w:tc>
      </w:tr>
      <w:tr>
        <w:tc>
          <w:tcPr>
            <w:tcW w:type="dxa" w:w="2664"/>
            <w:tcMar>
              <w:top w:w="90" w:type="dxa"/>
              <w:start w:w="90" w:type="dxa"/>
              <w:bottom w:w="90" w:type="dxa"/>
              <w:end w:w="90" w:type="dxa"/>
            </w:tcMar>
            <w:vAlign w:val="center"/>
          </w:tcPr>
          <w:p>
            <w:pPr>
              <w:spacing w:after="0"/>
            </w:pPr>
            <w:r/>
            <w:r>
              <w:rPr>
                <w:rFonts w:ascii="Aptos" w:hAnsi="Aptos"/>
                <w:b w:val="0"/>
                <w:sz w:val="17"/>
              </w:rPr>
              <w:t>Coherence</w:t>
            </w:r>
          </w:p>
        </w:tc>
        <w:tc>
          <w:tcPr>
            <w:tcW w:type="dxa" w:w="7416"/>
            <w:tcMar>
              <w:top w:w="90" w:type="dxa"/>
              <w:start w:w="90" w:type="dxa"/>
              <w:bottom w:w="90" w:type="dxa"/>
              <w:end w:w="90" w:type="dxa"/>
            </w:tcMar>
            <w:vAlign w:val="center"/>
          </w:tcPr>
          <w:p>
            <w:pPr>
              <w:spacing w:after="0"/>
            </w:pPr>
            <w:r/>
            <w:r>
              <w:rPr>
                <w:rFonts w:ascii="Aptos" w:hAnsi="Aptos"/>
                <w:b w:val="0"/>
                <w:sz w:val="17"/>
              </w:rPr>
              <w:t>Courses, the Passport, The Cottage, leadership, External WBL, assessment, and records use shared definitions.</w:t>
            </w:r>
          </w:p>
        </w:tc>
      </w:tr>
      <w:tr>
        <w:tc>
          <w:tcPr>
            <w:tcW w:type="dxa" w:w="2664"/>
            <w:tcMar>
              <w:top w:w="90" w:type="dxa"/>
              <w:start w:w="90" w:type="dxa"/>
              <w:bottom w:w="90" w:type="dxa"/>
              <w:end w:w="90" w:type="dxa"/>
            </w:tcMar>
            <w:vAlign w:val="center"/>
            <w:shd w:fill="EAF2F8"/>
          </w:tcPr>
          <w:p>
            <w:pPr>
              <w:spacing w:after="0"/>
            </w:pPr>
            <w:r/>
            <w:r>
              <w:rPr>
                <w:rFonts w:ascii="Aptos" w:hAnsi="Aptos"/>
                <w:b w:val="0"/>
                <w:sz w:val="17"/>
              </w:rPr>
              <w:t>Collaboration</w:t>
            </w:r>
          </w:p>
        </w:tc>
        <w:tc>
          <w:tcPr>
            <w:tcW w:type="dxa" w:w="7416"/>
            <w:tcMar>
              <w:top w:w="90" w:type="dxa"/>
              <w:start w:w="90" w:type="dxa"/>
              <w:bottom w:w="90" w:type="dxa"/>
              <w:end w:w="90" w:type="dxa"/>
            </w:tcMar>
            <w:vAlign w:val="center"/>
            <w:shd w:fill="EAF2F8"/>
          </w:tcPr>
          <w:p>
            <w:pPr>
              <w:spacing w:after="0"/>
            </w:pPr>
            <w:r/>
            <w:r>
              <w:rPr>
                <w:rFonts w:ascii="Aptos" w:hAnsi="Aptos"/>
                <w:b w:val="0"/>
                <w:sz w:val="17"/>
              </w:rPr>
              <w:t>District leadership, teachers, the WBL Coordinator, students, families, employers, counselors, and support staff work within defined roles.</w:t>
            </w:r>
          </w:p>
        </w:tc>
      </w:tr>
      <w:tr>
        <w:tc>
          <w:tcPr>
            <w:tcW w:type="dxa" w:w="2664"/>
            <w:tcMar>
              <w:top w:w="90" w:type="dxa"/>
              <w:start w:w="90" w:type="dxa"/>
              <w:bottom w:w="90" w:type="dxa"/>
              <w:end w:w="90" w:type="dxa"/>
            </w:tcMar>
            <w:vAlign w:val="center"/>
          </w:tcPr>
          <w:p>
            <w:pPr>
              <w:spacing w:after="0"/>
            </w:pPr>
            <w:r/>
            <w:r>
              <w:rPr>
                <w:rFonts w:ascii="Aptos" w:hAnsi="Aptos"/>
                <w:b w:val="0"/>
                <w:sz w:val="17"/>
              </w:rPr>
              <w:t>Inviting Voice</w:t>
            </w:r>
          </w:p>
        </w:tc>
        <w:tc>
          <w:tcPr>
            <w:tcW w:type="dxa" w:w="7416"/>
            <w:tcMar>
              <w:top w:w="90" w:type="dxa"/>
              <w:start w:w="90" w:type="dxa"/>
              <w:bottom w:w="90" w:type="dxa"/>
              <w:end w:w="90" w:type="dxa"/>
            </w:tcMar>
            <w:vAlign w:val="center"/>
          </w:tcPr>
          <w:p>
            <w:pPr>
              <w:spacing w:after="0"/>
            </w:pPr>
            <w:r/>
            <w:r>
              <w:rPr>
                <w:rFonts w:ascii="Aptos" w:hAnsi="Aptos"/>
                <w:b w:val="0"/>
                <w:sz w:val="17"/>
              </w:rPr>
              <w:t>Student, family, employer, teacher, and program evidence informs improvement.</w:t>
            </w:r>
          </w:p>
        </w:tc>
      </w:tr>
      <w:tr>
        <w:tc>
          <w:tcPr>
            <w:tcW w:type="dxa" w:w="2664"/>
            <w:tcMar>
              <w:top w:w="90" w:type="dxa"/>
              <w:start w:w="90" w:type="dxa"/>
              <w:bottom w:w="90" w:type="dxa"/>
              <w:end w:w="90" w:type="dxa"/>
            </w:tcMar>
            <w:vAlign w:val="center"/>
            <w:shd w:fill="EAF2F8"/>
          </w:tcPr>
          <w:p>
            <w:pPr>
              <w:spacing w:after="0"/>
            </w:pPr>
            <w:r/>
            <w:r>
              <w:rPr>
                <w:rFonts w:ascii="Aptos" w:hAnsi="Aptos"/>
                <w:b w:val="0"/>
                <w:sz w:val="17"/>
              </w:rPr>
              <w:t>Approved Culinary Arts pathway</w:t>
            </w:r>
          </w:p>
        </w:tc>
        <w:tc>
          <w:tcPr>
            <w:tcW w:type="dxa" w:w="7416"/>
            <w:tcMar>
              <w:top w:w="90" w:type="dxa"/>
              <w:start w:w="90" w:type="dxa"/>
              <w:bottom w:w="90" w:type="dxa"/>
              <w:end w:w="90" w:type="dxa"/>
            </w:tcMar>
            <w:vAlign w:val="center"/>
            <w:shd w:fill="EAF2F8"/>
          </w:tcPr>
          <w:p>
            <w:pPr>
              <w:spacing w:after="0"/>
            </w:pPr>
            <w:r/>
            <w:r>
              <w:rPr>
                <w:rFonts w:ascii="Aptos" w:hAnsi="Aptos"/>
                <w:b w:val="0"/>
                <w:sz w:val="17"/>
              </w:rPr>
              <w:t>Provides the instructional, credentialing, and technical-assessment foundation.</w:t>
            </w:r>
          </w:p>
        </w:tc>
      </w:tr>
      <w:tr>
        <w:tc>
          <w:tcPr>
            <w:tcW w:type="dxa" w:w="2664"/>
            <w:tcMar>
              <w:top w:w="90" w:type="dxa"/>
              <w:start w:w="90" w:type="dxa"/>
              <w:bottom w:w="90" w:type="dxa"/>
              <w:end w:w="90" w:type="dxa"/>
            </w:tcMar>
            <w:vAlign w:val="center"/>
          </w:tcPr>
          <w:p>
            <w:pPr>
              <w:spacing w:after="0"/>
            </w:pPr>
            <w:r/>
            <w:r>
              <w:rPr>
                <w:rFonts w:ascii="Aptos" w:hAnsi="Aptos"/>
                <w:b w:val="0"/>
                <w:sz w:val="17"/>
              </w:rPr>
              <w:t>Culinary 1 and 2</w:t>
            </w:r>
          </w:p>
        </w:tc>
        <w:tc>
          <w:tcPr>
            <w:tcW w:type="dxa" w:w="7416"/>
            <w:tcMar>
              <w:top w:w="90" w:type="dxa"/>
              <w:start w:w="90" w:type="dxa"/>
              <w:bottom w:w="90" w:type="dxa"/>
              <w:end w:w="90" w:type="dxa"/>
            </w:tcMar>
            <w:vAlign w:val="center"/>
          </w:tcPr>
          <w:p>
            <w:pPr>
              <w:spacing w:after="0"/>
            </w:pPr>
            <w:r/>
            <w:r>
              <w:rPr>
                <w:rFonts w:ascii="Aptos" w:hAnsi="Aptos"/>
                <w:b w:val="0"/>
                <w:sz w:val="17"/>
              </w:rPr>
              <w:t>Provide the foundation for safety, equipment, production, mathematics, nutrition, communication, and professional habits.</w:t>
            </w:r>
          </w:p>
        </w:tc>
      </w:tr>
      <w:tr>
        <w:tc>
          <w:tcPr>
            <w:tcW w:type="dxa" w:w="2664"/>
            <w:tcMar>
              <w:top w:w="90" w:type="dxa"/>
              <w:start w:w="90" w:type="dxa"/>
              <w:bottom w:w="90" w:type="dxa"/>
              <w:end w:w="90" w:type="dxa"/>
            </w:tcMar>
            <w:vAlign w:val="center"/>
            <w:shd w:fill="EAF2F8"/>
          </w:tcPr>
          <w:p>
            <w:pPr>
              <w:spacing w:after="0"/>
            </w:pPr>
            <w:r/>
            <w:r>
              <w:rPr>
                <w:rFonts w:ascii="Aptos" w:hAnsi="Aptos"/>
                <w:b w:val="0"/>
                <w:sz w:val="17"/>
              </w:rPr>
              <w:t>Advanced Culinary</w:t>
            </w:r>
          </w:p>
        </w:tc>
        <w:tc>
          <w:tcPr>
            <w:tcW w:type="dxa" w:w="7416"/>
            <w:tcMar>
              <w:top w:w="90" w:type="dxa"/>
              <w:start w:w="90" w:type="dxa"/>
              <w:bottom w:w="90" w:type="dxa"/>
              <w:end w:w="90" w:type="dxa"/>
            </w:tcMar>
            <w:vAlign w:val="center"/>
            <w:shd w:fill="EAF2F8"/>
          </w:tcPr>
          <w:p>
            <w:pPr>
              <w:spacing w:after="0"/>
            </w:pPr>
            <w:r/>
            <w:r>
              <w:rPr>
                <w:rFonts w:ascii="Aptos" w:hAnsi="Aptos"/>
                <w:b w:val="0"/>
                <w:sz w:val="17"/>
              </w:rPr>
              <w:t>Provides client-centered production, service, professional execution, and authentic projects.</w:t>
            </w:r>
          </w:p>
        </w:tc>
      </w:tr>
      <w:tr>
        <w:tc>
          <w:tcPr>
            <w:tcW w:type="dxa" w:w="2664"/>
            <w:tcMar>
              <w:top w:w="90" w:type="dxa"/>
              <w:start w:w="90" w:type="dxa"/>
              <w:bottom w:w="90" w:type="dxa"/>
              <w:end w:w="90" w:type="dxa"/>
            </w:tcMar>
            <w:vAlign w:val="center"/>
          </w:tcPr>
          <w:p>
            <w:pPr>
              <w:spacing w:after="0"/>
            </w:pPr>
            <w:r/>
            <w:r>
              <w:rPr>
                <w:rFonts w:ascii="Aptos" w:hAnsi="Aptos"/>
                <w:b w:val="0"/>
                <w:sz w:val="17"/>
              </w:rPr>
              <w:t>Employability Profile and Skills Map</w:t>
            </w:r>
          </w:p>
        </w:tc>
        <w:tc>
          <w:tcPr>
            <w:tcW w:type="dxa" w:w="7416"/>
            <w:tcMar>
              <w:top w:w="90" w:type="dxa"/>
              <w:start w:w="90" w:type="dxa"/>
              <w:bottom w:w="90" w:type="dxa"/>
              <w:end w:w="90" w:type="dxa"/>
            </w:tcMar>
            <w:vAlign w:val="center"/>
          </w:tcPr>
          <w:p>
            <w:pPr>
              <w:spacing w:after="0"/>
            </w:pPr>
            <w:r/>
            <w:r>
              <w:rPr>
                <w:rFonts w:ascii="Aptos" w:hAnsi="Aptos"/>
                <w:b w:val="0"/>
                <w:sz w:val="17"/>
              </w:rPr>
              <w:t>Provide aligned technical and work-related evidence.</w:t>
            </w:r>
          </w:p>
        </w:tc>
      </w:tr>
      <w:tr>
        <w:tc>
          <w:tcPr>
            <w:tcW w:type="dxa" w:w="2664"/>
            <w:tcMar>
              <w:top w:w="90" w:type="dxa"/>
              <w:start w:w="90" w:type="dxa"/>
              <w:bottom w:w="90" w:type="dxa"/>
              <w:end w:w="90" w:type="dxa"/>
            </w:tcMar>
            <w:vAlign w:val="center"/>
            <w:shd w:fill="EAF2F8"/>
          </w:tcPr>
          <w:p>
            <w:pPr>
              <w:spacing w:after="0"/>
            </w:pPr>
            <w:r/>
            <w:r>
              <w:rPr>
                <w:rFonts w:ascii="Aptos" w:hAnsi="Aptos"/>
                <w:b w:val="0"/>
                <w:sz w:val="17"/>
              </w:rPr>
              <w:t>The Cottage</w:t>
            </w:r>
          </w:p>
        </w:tc>
        <w:tc>
          <w:tcPr>
            <w:tcW w:type="dxa" w:w="7416"/>
            <w:tcMar>
              <w:top w:w="90" w:type="dxa"/>
              <w:start w:w="90" w:type="dxa"/>
              <w:bottom w:w="90" w:type="dxa"/>
              <w:end w:w="90" w:type="dxa"/>
            </w:tcMar>
            <w:vAlign w:val="center"/>
            <w:shd w:fill="EAF2F8"/>
          </w:tcPr>
          <w:p>
            <w:pPr>
              <w:spacing w:after="0"/>
            </w:pPr>
            <w:r/>
            <w:r>
              <w:rPr>
                <w:rFonts w:ascii="Aptos" w:hAnsi="Aptos"/>
                <w:b w:val="0"/>
                <w:sz w:val="17"/>
              </w:rPr>
              <w:t>Provides authentic client-centered experience under school supervision.</w:t>
            </w:r>
          </w:p>
        </w:tc>
      </w:tr>
    </w:tbl>
    <w:p>
      <w:pPr>
        <w:spacing w:after="0"/>
      </w:pPr>
    </w:p>
    <w:p>
      <w:r>
        <w:br w:type="page"/>
      </w:r>
    </w:p>
    <w:p>
      <w:pPr>
        <w:pStyle w:val="PartTitle"/>
      </w:pPr>
      <w:r>
        <w:t>PART II</w:t>
        <w:br/>
        <w:t>Progression and the Culinary Passport</w:t>
      </w:r>
    </w:p>
    <w:p>
      <w:pPr>
        <w:pStyle w:val="Heading3"/>
      </w:pPr>
      <w:r>
        <w:t>The three-year sequence and the competency record that makes progression visible.</w:t>
      </w:r>
    </w:p>
    <w:p>
      <w:pPr>
        <w:pStyle w:val="Heading1"/>
      </w:pPr>
      <w:r>
        <w:t>Chapter 3: The Three-Year Educational Continuum</w:t>
      </w:r>
    </w:p>
    <w:p>
      <w:r>
        <w:t>Responsibility increases as students demonstrate the knowledge, technical performance, professional habits, leadership, and judgment required for the next environment.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008"/>
            <w:tcMar>
              <w:top w:w="90" w:type="dxa"/>
              <w:start w:w="90" w:type="dxa"/>
              <w:bottom w:w="90" w:type="dxa"/>
              <w:end w:w="90" w:type="dxa"/>
            </w:tcMar>
            <w:vAlign w:val="center"/>
            <w:shd w:fill="1F4E78"/>
          </w:tcPr>
          <w:p>
            <w:pPr>
              <w:spacing w:after="0"/>
            </w:pPr>
            <w:r/>
            <w:r>
              <w:rPr>
                <w:rFonts w:ascii="Aptos" w:hAnsi="Aptos"/>
                <w:b/>
                <w:color w:val="FFFFFF"/>
                <w:sz w:val="17"/>
              </w:rPr>
              <w:t>Year</w:t>
            </w:r>
          </w:p>
        </w:tc>
        <w:tc>
          <w:tcPr>
            <w:tcW w:type="dxa" w:w="1944"/>
            <w:tcMar>
              <w:top w:w="90" w:type="dxa"/>
              <w:start w:w="90" w:type="dxa"/>
              <w:bottom w:w="90" w:type="dxa"/>
              <w:end w:w="90" w:type="dxa"/>
            </w:tcMar>
            <w:vAlign w:val="center"/>
            <w:shd w:fill="1F4E78"/>
          </w:tcPr>
          <w:p>
            <w:pPr>
              <w:spacing w:after="0"/>
            </w:pPr>
            <w:r/>
            <w:r>
              <w:rPr>
                <w:rFonts w:ascii="Aptos" w:hAnsi="Aptos"/>
                <w:b/>
                <w:color w:val="FFFFFF"/>
                <w:sz w:val="17"/>
              </w:rPr>
              <w:t>Courses</w:t>
            </w:r>
          </w:p>
        </w:tc>
        <w:tc>
          <w:tcPr>
            <w:tcW w:type="dxa" w:w="3384"/>
            <w:tcMar>
              <w:top w:w="90" w:type="dxa"/>
              <w:start w:w="90" w:type="dxa"/>
              <w:bottom w:w="90" w:type="dxa"/>
              <w:end w:w="90" w:type="dxa"/>
            </w:tcMar>
            <w:vAlign w:val="center"/>
            <w:shd w:fill="1F4E78"/>
          </w:tcPr>
          <w:p>
            <w:pPr>
              <w:spacing w:after="0"/>
            </w:pPr>
            <w:r/>
            <w:r>
              <w:rPr>
                <w:rFonts w:ascii="Aptos" w:hAnsi="Aptos"/>
                <w:b/>
                <w:color w:val="FFFFFF"/>
                <w:sz w:val="17"/>
              </w:rPr>
              <w:t>Primary focus</w:t>
            </w:r>
          </w:p>
        </w:tc>
        <w:tc>
          <w:tcPr>
            <w:tcW w:type="dxa" w:w="3240"/>
            <w:tcMar>
              <w:top w:w="90" w:type="dxa"/>
              <w:start w:w="90" w:type="dxa"/>
              <w:bottom w:w="90" w:type="dxa"/>
              <w:end w:w="90" w:type="dxa"/>
            </w:tcMar>
            <w:vAlign w:val="center"/>
            <w:shd w:fill="1F4E78"/>
          </w:tcPr>
          <w:p>
            <w:pPr>
              <w:spacing w:after="0"/>
            </w:pPr>
            <w:r/>
            <w:r>
              <w:rPr>
                <w:rFonts w:ascii="Aptos" w:hAnsi="Aptos"/>
                <w:b/>
                <w:color w:val="FFFFFF"/>
                <w:sz w:val="17"/>
              </w:rPr>
              <w:t>Environment</w:t>
            </w:r>
          </w:p>
        </w:tc>
        <w:tc>
          <w:tcPr>
            <w:tcW w:type="dxa" w:w="720"/>
            <w:tcMar>
              <w:top w:w="90" w:type="dxa"/>
              <w:start w:w="90" w:type="dxa"/>
              <w:bottom w:w="90" w:type="dxa"/>
              <w:end w:w="90" w:type="dxa"/>
            </w:tcMar>
            <w:vAlign w:val="center"/>
            <w:shd w:fill="1F4E78"/>
          </w:tcPr>
          <w:p>
            <w:pPr>
              <w:spacing w:after="0"/>
            </w:pPr>
            <w:r/>
            <w:r>
              <w:rPr>
                <w:rFonts w:ascii="Aptos" w:hAnsi="Aptos"/>
                <w:b/>
                <w:color w:val="FFFFFF"/>
                <w:sz w:val="17"/>
              </w:rPr>
              <w:t>Gateways</w:t>
            </w:r>
          </w:p>
        </w:tc>
      </w:tr>
      <w:tr>
        <w:tc>
          <w:tcPr>
            <w:tcW w:type="dxa" w:w="1008"/>
            <w:tcMar>
              <w:top w:w="90" w:type="dxa"/>
              <w:start w:w="90" w:type="dxa"/>
              <w:bottom w:w="90" w:type="dxa"/>
              <w:end w:w="90" w:type="dxa"/>
            </w:tcMar>
            <w:vAlign w:val="center"/>
            <w:shd w:fill="EAF2F8"/>
          </w:tcPr>
          <w:p>
            <w:pPr>
              <w:spacing w:after="0"/>
            </w:pPr>
            <w:r/>
            <w:r>
              <w:rPr>
                <w:rFonts w:ascii="Aptos" w:hAnsi="Aptos"/>
                <w:b w:val="0"/>
                <w:sz w:val="17"/>
              </w:rPr>
              <w:t>Grade 10</w:t>
            </w:r>
          </w:p>
        </w:tc>
        <w:tc>
          <w:tcPr>
            <w:tcW w:type="dxa" w:w="1944"/>
            <w:tcMar>
              <w:top w:w="90" w:type="dxa"/>
              <w:start w:w="90" w:type="dxa"/>
              <w:bottom w:w="90" w:type="dxa"/>
              <w:end w:w="90" w:type="dxa"/>
            </w:tcMar>
            <w:vAlign w:val="center"/>
            <w:shd w:fill="EAF2F8"/>
          </w:tcPr>
          <w:p>
            <w:pPr>
              <w:spacing w:after="0"/>
            </w:pPr>
            <w:r/>
            <w:r>
              <w:rPr>
                <w:rFonts w:ascii="Aptos" w:hAnsi="Aptos"/>
                <w:b w:val="0"/>
                <w:sz w:val="17"/>
              </w:rPr>
              <w:t>Culinary 1 and Culinary 2</w:t>
            </w:r>
          </w:p>
        </w:tc>
        <w:tc>
          <w:tcPr>
            <w:tcW w:type="dxa" w:w="3384"/>
            <w:tcMar>
              <w:top w:w="90" w:type="dxa"/>
              <w:start w:w="90" w:type="dxa"/>
              <w:bottom w:w="90" w:type="dxa"/>
              <w:end w:w="90" w:type="dxa"/>
            </w:tcMar>
            <w:vAlign w:val="center"/>
            <w:shd w:fill="EAF2F8"/>
          </w:tcPr>
          <w:p>
            <w:pPr>
              <w:spacing w:after="0"/>
            </w:pPr>
            <w:r/>
            <w:r>
              <w:rPr>
                <w:rFonts w:ascii="Aptos" w:hAnsi="Aptos"/>
                <w:b w:val="0"/>
                <w:sz w:val="17"/>
              </w:rPr>
              <w:t>Safety, kitchen operations, foundational culinary competence.</w:t>
            </w:r>
          </w:p>
        </w:tc>
        <w:tc>
          <w:tcPr>
            <w:tcW w:type="dxa" w:w="3240"/>
            <w:tcMar>
              <w:top w:w="90" w:type="dxa"/>
              <w:start w:w="90" w:type="dxa"/>
              <w:bottom w:w="90" w:type="dxa"/>
              <w:end w:w="90" w:type="dxa"/>
            </w:tcMar>
            <w:vAlign w:val="center"/>
            <w:shd w:fill="EAF2F8"/>
          </w:tcPr>
          <w:p>
            <w:pPr>
              <w:spacing w:after="0"/>
            </w:pPr>
            <w:r/>
            <w:r>
              <w:rPr>
                <w:rFonts w:ascii="Aptos" w:hAnsi="Aptos"/>
                <w:b w:val="0"/>
                <w:sz w:val="17"/>
              </w:rPr>
              <w:t>Classroom and instructional kitchen.</w:t>
            </w:r>
          </w:p>
        </w:tc>
        <w:tc>
          <w:tcPr>
            <w:tcW w:type="dxa" w:w="720"/>
            <w:tcMar>
              <w:top w:w="90" w:type="dxa"/>
              <w:start w:w="90" w:type="dxa"/>
              <w:bottom w:w="90" w:type="dxa"/>
              <w:end w:w="90" w:type="dxa"/>
            </w:tcMar>
            <w:vAlign w:val="center"/>
            <w:shd w:fill="EAF2F8"/>
          </w:tcPr>
          <w:p>
            <w:pPr>
              <w:spacing w:after="0"/>
            </w:pPr>
            <w:r/>
            <w:r>
              <w:rPr>
                <w:rFonts w:ascii="Aptos" w:hAnsi="Aptos"/>
                <w:b w:val="0"/>
                <w:sz w:val="17"/>
              </w:rPr>
              <w:t>1-3</w:t>
            </w:r>
          </w:p>
        </w:tc>
      </w:tr>
      <w:tr>
        <w:tc>
          <w:tcPr>
            <w:tcW w:type="dxa" w:w="1008"/>
            <w:tcMar>
              <w:top w:w="90" w:type="dxa"/>
              <w:start w:w="90" w:type="dxa"/>
              <w:bottom w:w="90" w:type="dxa"/>
              <w:end w:w="90" w:type="dxa"/>
            </w:tcMar>
            <w:vAlign w:val="center"/>
          </w:tcPr>
          <w:p>
            <w:pPr>
              <w:spacing w:after="0"/>
            </w:pPr>
            <w:r/>
            <w:r>
              <w:rPr>
                <w:rFonts w:ascii="Aptos" w:hAnsi="Aptos"/>
                <w:b w:val="0"/>
                <w:sz w:val="17"/>
              </w:rPr>
              <w:t>Grade 11</w:t>
            </w:r>
          </w:p>
        </w:tc>
        <w:tc>
          <w:tcPr>
            <w:tcW w:type="dxa" w:w="1944"/>
            <w:tcMar>
              <w:top w:w="90" w:type="dxa"/>
              <w:start w:w="90" w:type="dxa"/>
              <w:bottom w:w="90" w:type="dxa"/>
              <w:end w:w="90" w:type="dxa"/>
            </w:tcMar>
            <w:vAlign w:val="center"/>
          </w:tcPr>
          <w:p>
            <w:pPr>
              <w:spacing w:after="0"/>
            </w:pPr>
            <w:r/>
            <w:r>
              <w:rPr>
                <w:rFonts w:ascii="Aptos" w:hAnsi="Aptos"/>
                <w:b w:val="0"/>
                <w:sz w:val="17"/>
              </w:rPr>
              <w:t>Advanced Culinary and Kitchen Management</w:t>
            </w:r>
          </w:p>
        </w:tc>
        <w:tc>
          <w:tcPr>
            <w:tcW w:type="dxa" w:w="3384"/>
            <w:tcMar>
              <w:top w:w="90" w:type="dxa"/>
              <w:start w:w="90" w:type="dxa"/>
              <w:bottom w:w="90" w:type="dxa"/>
              <w:end w:w="90" w:type="dxa"/>
            </w:tcMar>
            <w:vAlign w:val="center"/>
          </w:tcPr>
          <w:p>
            <w:pPr>
              <w:spacing w:after="0"/>
            </w:pPr>
            <w:r/>
            <w:r>
              <w:rPr>
                <w:rFonts w:ascii="Aptos" w:hAnsi="Aptos"/>
                <w:b w:val="0"/>
                <w:sz w:val="17"/>
              </w:rPr>
              <w:t>Client-centered production, leadership, management, and career readiness.</w:t>
            </w:r>
          </w:p>
        </w:tc>
        <w:tc>
          <w:tcPr>
            <w:tcW w:type="dxa" w:w="3240"/>
            <w:tcMar>
              <w:top w:w="90" w:type="dxa"/>
              <w:start w:w="90" w:type="dxa"/>
              <w:bottom w:w="90" w:type="dxa"/>
              <w:end w:w="90" w:type="dxa"/>
            </w:tcMar>
            <w:vAlign w:val="center"/>
          </w:tcPr>
          <w:p>
            <w:pPr>
              <w:spacing w:after="0"/>
            </w:pPr>
            <w:r/>
            <w:r>
              <w:rPr>
                <w:rFonts w:ascii="Aptos" w:hAnsi="Aptos"/>
                <w:b w:val="0"/>
                <w:sz w:val="17"/>
              </w:rPr>
              <w:t>The Cottage, authentic school-based production, and leadership practice.</w:t>
            </w:r>
          </w:p>
        </w:tc>
        <w:tc>
          <w:tcPr>
            <w:tcW w:type="dxa" w:w="720"/>
            <w:tcMar>
              <w:top w:w="90" w:type="dxa"/>
              <w:start w:w="90" w:type="dxa"/>
              <w:bottom w:w="90" w:type="dxa"/>
              <w:end w:w="90" w:type="dxa"/>
            </w:tcMar>
            <w:vAlign w:val="center"/>
          </w:tcPr>
          <w:p>
            <w:pPr>
              <w:spacing w:after="0"/>
            </w:pPr>
            <w:r/>
            <w:r>
              <w:rPr>
                <w:rFonts w:ascii="Aptos" w:hAnsi="Aptos"/>
                <w:b w:val="0"/>
                <w:sz w:val="17"/>
              </w:rPr>
              <w:t>4-5</w:t>
            </w:r>
          </w:p>
        </w:tc>
      </w:tr>
      <w:tr>
        <w:tc>
          <w:tcPr>
            <w:tcW w:type="dxa" w:w="1008"/>
            <w:tcMar>
              <w:top w:w="90" w:type="dxa"/>
              <w:start w:w="90" w:type="dxa"/>
              <w:bottom w:w="90" w:type="dxa"/>
              <w:end w:w="90" w:type="dxa"/>
            </w:tcMar>
            <w:vAlign w:val="center"/>
            <w:shd w:fill="EAF2F8"/>
          </w:tcPr>
          <w:p>
            <w:pPr>
              <w:spacing w:after="0"/>
            </w:pPr>
            <w:r/>
            <w:r>
              <w:rPr>
                <w:rFonts w:ascii="Aptos" w:hAnsi="Aptos"/>
                <w:b w:val="0"/>
                <w:sz w:val="17"/>
              </w:rPr>
              <w:t>Grade 12</w:t>
            </w:r>
          </w:p>
        </w:tc>
        <w:tc>
          <w:tcPr>
            <w:tcW w:type="dxa" w:w="1944"/>
            <w:tcMar>
              <w:top w:w="90" w:type="dxa"/>
              <w:start w:w="90" w:type="dxa"/>
              <w:bottom w:w="90" w:type="dxa"/>
              <w:end w:w="90" w:type="dxa"/>
            </w:tcMar>
            <w:vAlign w:val="center"/>
            <w:shd w:fill="EAF2F8"/>
          </w:tcPr>
          <w:p>
            <w:pPr>
              <w:spacing w:after="0"/>
            </w:pPr>
            <w:r/>
            <w:r>
              <w:rPr>
                <w:rFonts w:ascii="Aptos" w:hAnsi="Aptos"/>
                <w:b w:val="0"/>
                <w:sz w:val="17"/>
              </w:rPr>
              <w:t>External Work-Based Learning, 1.0 credit</w:t>
            </w:r>
          </w:p>
        </w:tc>
        <w:tc>
          <w:tcPr>
            <w:tcW w:type="dxa" w:w="3384"/>
            <w:tcMar>
              <w:top w:w="90" w:type="dxa"/>
              <w:start w:w="90" w:type="dxa"/>
              <w:bottom w:w="90" w:type="dxa"/>
              <w:end w:w="90" w:type="dxa"/>
            </w:tcMar>
            <w:vAlign w:val="center"/>
            <w:shd w:fill="EAF2F8"/>
          </w:tcPr>
          <w:p>
            <w:pPr>
              <w:spacing w:after="0"/>
            </w:pPr>
            <w:r/>
            <w:r>
              <w:rPr>
                <w:rFonts w:ascii="Aptos" w:hAnsi="Aptos"/>
                <w:b w:val="0"/>
                <w:sz w:val="17"/>
              </w:rPr>
              <w:t>Workplace application, career transition, portfolio, and reflection.</w:t>
            </w:r>
          </w:p>
        </w:tc>
        <w:tc>
          <w:tcPr>
            <w:tcW w:type="dxa" w:w="3240"/>
            <w:tcMar>
              <w:top w:w="90" w:type="dxa"/>
              <w:start w:w="90" w:type="dxa"/>
              <w:bottom w:w="90" w:type="dxa"/>
              <w:end w:w="90" w:type="dxa"/>
            </w:tcMar>
            <w:vAlign w:val="center"/>
            <w:shd w:fill="EAF2F8"/>
          </w:tcPr>
          <w:p>
            <w:pPr>
              <w:spacing w:after="0"/>
            </w:pPr>
            <w:r/>
            <w:r>
              <w:rPr>
                <w:rFonts w:ascii="Aptos" w:hAnsi="Aptos"/>
                <w:b w:val="0"/>
                <w:sz w:val="17"/>
              </w:rPr>
              <w:t>Approved external workplace with employer supervision and WBL Coordinator oversight.</w:t>
            </w:r>
          </w:p>
        </w:tc>
        <w:tc>
          <w:tcPr>
            <w:tcW w:type="dxa" w:w="720"/>
            <w:tcMar>
              <w:top w:w="90" w:type="dxa"/>
              <w:start w:w="90" w:type="dxa"/>
              <w:bottom w:w="90" w:type="dxa"/>
              <w:end w:w="90" w:type="dxa"/>
            </w:tcMar>
            <w:vAlign w:val="center"/>
            <w:shd w:fill="EAF2F8"/>
          </w:tcPr>
          <w:p>
            <w:pPr>
              <w:spacing w:after="0"/>
            </w:pPr>
            <w:r/>
            <w:r>
              <w:rPr>
                <w:rFonts w:ascii="Aptos" w:hAnsi="Aptos"/>
                <w:b w:val="0"/>
                <w:sz w:val="17"/>
              </w:rPr>
              <w:t>6</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Preparation Before Independence</w:t>
            </w:r>
          </w:p>
          <w:p>
            <w:pPr>
              <w:spacing w:after="0"/>
            </w:pPr>
            <w:r>
              <w:rPr>
                <w:rFonts w:ascii="Aptos" w:hAnsi="Aptos"/>
                <w:sz w:val="18"/>
              </w:rPr>
              <w:t>Students receive greater freedom, responsibility, and authentic access only after demonstrating the competence required to use that opportunity safely and effectively.</w:t>
            </w:r>
          </w:p>
        </w:tc>
      </w:tr>
    </w:tbl>
    <w:p>
      <w:pPr>
        <w:spacing w:after="0"/>
      </w:pPr>
    </w:p>
    <w:p>
      <w:pPr>
        <w:pStyle w:val="Heading1"/>
      </w:pPr>
      <w:r>
        <w:t>Chapter 4: The Six Gateway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tcMar>
              <w:top w:w="90" w:type="dxa"/>
              <w:start w:w="90" w:type="dxa"/>
              <w:bottom w:w="90" w:type="dxa"/>
              <w:end w:w="90" w:type="dxa"/>
            </w:tcMar>
            <w:vAlign w:val="center"/>
            <w:shd w:fill="1F4E78"/>
          </w:tcPr>
          <w:p>
            <w:pPr>
              <w:spacing w:after="0"/>
            </w:pPr>
            <w:r/>
            <w:r>
              <w:rPr>
                <w:rFonts w:ascii="Aptos" w:hAnsi="Aptos"/>
                <w:b/>
                <w:color w:val="FFFFFF"/>
                <w:sz w:val="17"/>
              </w:rPr>
              <w:t>Gateway</w:t>
            </w:r>
          </w:p>
        </w:tc>
        <w:tc>
          <w:tcPr>
            <w:tcW w:type="dxa" w:w="3384"/>
            <w:tcMar>
              <w:top w:w="90" w:type="dxa"/>
              <w:start w:w="90" w:type="dxa"/>
              <w:bottom w:w="90" w:type="dxa"/>
              <w:end w:w="90" w:type="dxa"/>
            </w:tcMar>
            <w:vAlign w:val="center"/>
            <w:shd w:fill="1F4E78"/>
          </w:tcPr>
          <w:p>
            <w:pPr>
              <w:spacing w:after="0"/>
            </w:pPr>
            <w:r/>
            <w:r>
              <w:rPr>
                <w:rFonts w:ascii="Aptos" w:hAnsi="Aptos"/>
                <w:b/>
                <w:color w:val="FFFFFF"/>
                <w:sz w:val="17"/>
              </w:rPr>
              <w:t>Canonical title</w:t>
            </w:r>
          </w:p>
        </w:tc>
        <w:tc>
          <w:tcPr>
            <w:tcW w:type="dxa" w:w="5616"/>
            <w:tcMar>
              <w:top w:w="90" w:type="dxa"/>
              <w:start w:w="90" w:type="dxa"/>
              <w:bottom w:w="90" w:type="dxa"/>
              <w:end w:w="90" w:type="dxa"/>
            </w:tcMar>
            <w:vAlign w:val="center"/>
            <w:shd w:fill="1F4E78"/>
          </w:tcPr>
          <w:p>
            <w:pPr>
              <w:spacing w:after="0"/>
            </w:pPr>
            <w:r/>
            <w:r>
              <w:rPr>
                <w:rFonts w:ascii="Aptos" w:hAnsi="Aptos"/>
                <w:b/>
                <w:color w:val="FFFFFF"/>
                <w:sz w:val="17"/>
              </w:rPr>
              <w:t>Verified outcome</w:t>
            </w:r>
          </w:p>
        </w:tc>
      </w:tr>
      <w:tr>
        <w:tc>
          <w:tcPr>
            <w:tcW w:type="dxa" w:w="1080"/>
            <w:tcMar>
              <w:top w:w="90" w:type="dxa"/>
              <w:start w:w="90" w:type="dxa"/>
              <w:bottom w:w="90" w:type="dxa"/>
              <w:end w:w="90" w:type="dxa"/>
            </w:tcMar>
            <w:vAlign w:val="center"/>
            <w:shd w:fill="EAF2F8"/>
          </w:tcPr>
          <w:p>
            <w:pPr>
              <w:spacing w:after="0"/>
            </w:pPr>
            <w:r/>
            <w:r>
              <w:rPr>
                <w:rFonts w:ascii="Aptos" w:hAnsi="Aptos"/>
                <w:b w:val="0"/>
                <w:sz w:val="17"/>
              </w:rPr>
              <w:t>Gateway 1</w:t>
            </w:r>
          </w:p>
        </w:tc>
        <w:tc>
          <w:tcPr>
            <w:tcW w:type="dxa" w:w="3384"/>
            <w:tcMar>
              <w:top w:w="90" w:type="dxa"/>
              <w:start w:w="90" w:type="dxa"/>
              <w:bottom w:w="90" w:type="dxa"/>
              <w:end w:w="90" w:type="dxa"/>
            </w:tcMar>
            <w:vAlign w:val="center"/>
            <w:shd w:fill="EAF2F8"/>
          </w:tcPr>
          <w:p>
            <w:pPr>
              <w:spacing w:after="0"/>
            </w:pPr>
            <w:r/>
            <w:r>
              <w:rPr>
                <w:rFonts w:ascii="Aptos" w:hAnsi="Aptos"/>
                <w:b w:val="0"/>
                <w:sz w:val="17"/>
              </w:rPr>
              <w:t>Cleared for Supervised Kitchen Participation</w:t>
            </w:r>
          </w:p>
        </w:tc>
        <w:tc>
          <w:tcPr>
            <w:tcW w:type="dxa" w:w="5616"/>
            <w:tcMar>
              <w:top w:w="90" w:type="dxa"/>
              <w:start w:w="90" w:type="dxa"/>
              <w:bottom w:w="90" w:type="dxa"/>
              <w:end w:w="90" w:type="dxa"/>
            </w:tcMar>
            <w:vAlign w:val="center"/>
            <w:shd w:fill="EAF2F8"/>
          </w:tcPr>
          <w:p>
            <w:pPr>
              <w:spacing w:after="0"/>
            </w:pPr>
            <w:r/>
            <w:r>
              <w:rPr>
                <w:rFonts w:ascii="Aptos" w:hAnsi="Aptos"/>
                <w:b w:val="0"/>
                <w:sz w:val="17"/>
              </w:rPr>
              <w:t>Safety, sanitation, food safety, personal hygiene, emergency procedures, basic equipment safety, and professional expectations.</w:t>
            </w:r>
          </w:p>
        </w:tc>
      </w:tr>
      <w:tr>
        <w:tc>
          <w:tcPr>
            <w:tcW w:type="dxa" w:w="1080"/>
            <w:tcMar>
              <w:top w:w="90" w:type="dxa"/>
              <w:start w:w="90" w:type="dxa"/>
              <w:bottom w:w="90" w:type="dxa"/>
              <w:end w:w="90" w:type="dxa"/>
            </w:tcMar>
            <w:vAlign w:val="center"/>
          </w:tcPr>
          <w:p>
            <w:pPr>
              <w:spacing w:after="0"/>
            </w:pPr>
            <w:r/>
            <w:r>
              <w:rPr>
                <w:rFonts w:ascii="Aptos" w:hAnsi="Aptos"/>
                <w:b w:val="0"/>
                <w:sz w:val="17"/>
              </w:rPr>
              <w:t>Gateway 2</w:t>
            </w:r>
          </w:p>
        </w:tc>
        <w:tc>
          <w:tcPr>
            <w:tcW w:type="dxa" w:w="3384"/>
            <w:tcMar>
              <w:top w:w="90" w:type="dxa"/>
              <w:start w:w="90" w:type="dxa"/>
              <w:bottom w:w="90" w:type="dxa"/>
              <w:end w:w="90" w:type="dxa"/>
            </w:tcMar>
            <w:vAlign w:val="center"/>
          </w:tcPr>
          <w:p>
            <w:pPr>
              <w:spacing w:after="0"/>
            </w:pPr>
            <w:r/>
            <w:r>
              <w:rPr>
                <w:rFonts w:ascii="Aptos" w:hAnsi="Aptos"/>
                <w:b w:val="0"/>
                <w:sz w:val="17"/>
              </w:rPr>
              <w:t>Demonstrated Kitchen-Work Readiness</w:t>
            </w:r>
          </w:p>
        </w:tc>
        <w:tc>
          <w:tcPr>
            <w:tcW w:type="dxa" w:w="5616"/>
            <w:tcMar>
              <w:top w:w="90" w:type="dxa"/>
              <w:start w:w="90" w:type="dxa"/>
              <w:bottom w:w="90" w:type="dxa"/>
              <w:end w:w="90" w:type="dxa"/>
            </w:tcMar>
            <w:vAlign w:val="center"/>
          </w:tcPr>
          <w:p>
            <w:pPr>
              <w:spacing w:after="0"/>
            </w:pPr>
            <w:r/>
            <w:r>
              <w:rPr>
                <w:rFonts w:ascii="Aptos" w:hAnsi="Aptos"/>
                <w:b w:val="0"/>
                <w:sz w:val="17"/>
              </w:rPr>
              <w:t>Mise en place, station organization, recipe interpretation, measuring and scaling, knife skills, time management, team communication, kitchen systems, cleanup, and closing.</w:t>
            </w:r>
          </w:p>
        </w:tc>
      </w:tr>
      <w:tr>
        <w:tc>
          <w:tcPr>
            <w:tcW w:type="dxa" w:w="1080"/>
            <w:tcMar>
              <w:top w:w="90" w:type="dxa"/>
              <w:start w:w="90" w:type="dxa"/>
              <w:bottom w:w="90" w:type="dxa"/>
              <w:end w:w="90" w:type="dxa"/>
            </w:tcMar>
            <w:vAlign w:val="center"/>
            <w:shd w:fill="EAF2F8"/>
          </w:tcPr>
          <w:p>
            <w:pPr>
              <w:spacing w:after="0"/>
            </w:pPr>
            <w:r/>
            <w:r>
              <w:rPr>
                <w:rFonts w:ascii="Aptos" w:hAnsi="Aptos"/>
                <w:b w:val="0"/>
                <w:sz w:val="17"/>
              </w:rPr>
              <w:t>Gateway 3</w:t>
            </w:r>
          </w:p>
        </w:tc>
        <w:tc>
          <w:tcPr>
            <w:tcW w:type="dxa" w:w="3384"/>
            <w:tcMar>
              <w:top w:w="90" w:type="dxa"/>
              <w:start w:w="90" w:type="dxa"/>
              <w:bottom w:w="90" w:type="dxa"/>
              <w:end w:w="90" w:type="dxa"/>
            </w:tcMar>
            <w:vAlign w:val="center"/>
            <w:shd w:fill="EAF2F8"/>
          </w:tcPr>
          <w:p>
            <w:pPr>
              <w:spacing w:after="0"/>
            </w:pPr>
            <w:r/>
            <w:r>
              <w:rPr>
                <w:rFonts w:ascii="Aptos" w:hAnsi="Aptos"/>
                <w:b w:val="0"/>
                <w:sz w:val="17"/>
              </w:rPr>
              <w:t>Demonstrated Foundational Culinary Competence</w:t>
            </w:r>
          </w:p>
        </w:tc>
        <w:tc>
          <w:tcPr>
            <w:tcW w:type="dxa" w:w="5616"/>
            <w:tcMar>
              <w:top w:w="90" w:type="dxa"/>
              <w:start w:w="90" w:type="dxa"/>
              <w:bottom w:w="90" w:type="dxa"/>
              <w:end w:w="90" w:type="dxa"/>
            </w:tcMar>
            <w:vAlign w:val="center"/>
            <w:shd w:fill="EAF2F8"/>
          </w:tcPr>
          <w:p>
            <w:pPr>
              <w:spacing w:after="0"/>
            </w:pPr>
            <w:r/>
            <w:r>
              <w:rPr>
                <w:rFonts w:ascii="Aptos" w:hAnsi="Aptos"/>
                <w:b w:val="0"/>
                <w:sz w:val="17"/>
              </w:rPr>
              <w:t>Foundational techniques, ingredient knowledge, product quality, and consistent instructional performance across Culinary 1 and 2. Completion marks readiness for Advanced Culinary.</w:t>
            </w:r>
          </w:p>
        </w:tc>
      </w:tr>
      <w:tr>
        <w:tc>
          <w:tcPr>
            <w:tcW w:type="dxa" w:w="1080"/>
            <w:tcMar>
              <w:top w:w="90" w:type="dxa"/>
              <w:start w:w="90" w:type="dxa"/>
              <w:bottom w:w="90" w:type="dxa"/>
              <w:end w:w="90" w:type="dxa"/>
            </w:tcMar>
            <w:vAlign w:val="center"/>
          </w:tcPr>
          <w:p>
            <w:pPr>
              <w:spacing w:after="0"/>
            </w:pPr>
            <w:r/>
            <w:r>
              <w:rPr>
                <w:rFonts w:ascii="Aptos" w:hAnsi="Aptos"/>
                <w:b w:val="0"/>
                <w:sz w:val="17"/>
              </w:rPr>
              <w:t>Gateway 4</w:t>
            </w:r>
          </w:p>
        </w:tc>
        <w:tc>
          <w:tcPr>
            <w:tcW w:type="dxa" w:w="3384"/>
            <w:tcMar>
              <w:top w:w="90" w:type="dxa"/>
              <w:start w:w="90" w:type="dxa"/>
              <w:bottom w:w="90" w:type="dxa"/>
              <w:end w:w="90" w:type="dxa"/>
            </w:tcMar>
            <w:vAlign w:val="center"/>
          </w:tcPr>
          <w:p>
            <w:pPr>
              <w:spacing w:after="0"/>
            </w:pPr>
            <w:r/>
            <w:r>
              <w:rPr>
                <w:rFonts w:ascii="Aptos" w:hAnsi="Aptos"/>
                <w:b w:val="0"/>
                <w:sz w:val="17"/>
              </w:rPr>
              <w:t>Demonstrated Client-Centered Culinary Performance</w:t>
            </w:r>
          </w:p>
        </w:tc>
        <w:tc>
          <w:tcPr>
            <w:tcW w:type="dxa" w:w="5616"/>
            <w:tcMar>
              <w:top w:w="90" w:type="dxa"/>
              <w:start w:w="90" w:type="dxa"/>
              <w:bottom w:w="90" w:type="dxa"/>
              <w:end w:w="90" w:type="dxa"/>
            </w:tcMar>
            <w:vAlign w:val="center"/>
          </w:tcPr>
          <w:p>
            <w:pPr>
              <w:spacing w:after="0"/>
            </w:pPr>
            <w:r/>
            <w:r>
              <w:rPr>
                <w:rFonts w:ascii="Aptos" w:hAnsi="Aptos"/>
                <w:b w:val="0"/>
                <w:sz w:val="17"/>
              </w:rPr>
              <w:t>Authentic production, catering, client expectations, event execution, quality control, and professional service through Advanced Culinary and The Cottage.</w:t>
            </w:r>
          </w:p>
        </w:tc>
      </w:tr>
      <w:tr>
        <w:tc>
          <w:tcPr>
            <w:tcW w:type="dxa" w:w="1080"/>
            <w:tcMar>
              <w:top w:w="90" w:type="dxa"/>
              <w:start w:w="90" w:type="dxa"/>
              <w:bottom w:w="90" w:type="dxa"/>
              <w:end w:w="90" w:type="dxa"/>
            </w:tcMar>
            <w:vAlign w:val="center"/>
            <w:shd w:fill="EAF2F8"/>
          </w:tcPr>
          <w:p>
            <w:pPr>
              <w:spacing w:after="0"/>
            </w:pPr>
            <w:r/>
            <w:r>
              <w:rPr>
                <w:rFonts w:ascii="Aptos" w:hAnsi="Aptos"/>
                <w:b w:val="0"/>
                <w:sz w:val="17"/>
              </w:rPr>
              <w:t>Gateway 5</w:t>
            </w:r>
          </w:p>
        </w:tc>
        <w:tc>
          <w:tcPr>
            <w:tcW w:type="dxa" w:w="3384"/>
            <w:tcMar>
              <w:top w:w="90" w:type="dxa"/>
              <w:start w:w="90" w:type="dxa"/>
              <w:bottom w:w="90" w:type="dxa"/>
              <w:end w:w="90" w:type="dxa"/>
            </w:tcMar>
            <w:vAlign w:val="center"/>
            <w:shd w:fill="EAF2F8"/>
          </w:tcPr>
          <w:p>
            <w:pPr>
              <w:spacing w:after="0"/>
            </w:pPr>
            <w:r/>
            <w:r>
              <w:rPr>
                <w:rFonts w:ascii="Aptos" w:hAnsi="Aptos"/>
                <w:b w:val="0"/>
                <w:sz w:val="17"/>
              </w:rPr>
              <w:t>Professional, Leadership, and Career Readiness</w:t>
            </w:r>
          </w:p>
        </w:tc>
        <w:tc>
          <w:tcPr>
            <w:tcW w:type="dxa" w:w="5616"/>
            <w:tcMar>
              <w:top w:w="90" w:type="dxa"/>
              <w:start w:w="90" w:type="dxa"/>
              <w:bottom w:w="90" w:type="dxa"/>
              <w:end w:w="90" w:type="dxa"/>
            </w:tcMar>
            <w:vAlign w:val="center"/>
            <w:shd w:fill="EAF2F8"/>
          </w:tcPr>
          <w:p>
            <w:pPr>
              <w:spacing w:after="0"/>
            </w:pPr>
            <w:r/>
            <w:r>
              <w:rPr>
                <w:rFonts w:ascii="Aptos" w:hAnsi="Aptos"/>
                <w:b w:val="0"/>
                <w:sz w:val="17"/>
              </w:rPr>
              <w:t>Leadership, kitchen management, supervision, employment preparation, résumé, portfolio, interview skills, and career readiness through Kitchen Management. Completion earns External WBL Educational Readiness, or Travel Rights.</w:t>
            </w:r>
          </w:p>
        </w:tc>
      </w:tr>
      <w:tr>
        <w:tc>
          <w:tcPr>
            <w:tcW w:type="dxa" w:w="1080"/>
            <w:tcMar>
              <w:top w:w="90" w:type="dxa"/>
              <w:start w:w="90" w:type="dxa"/>
              <w:bottom w:w="90" w:type="dxa"/>
              <w:end w:w="90" w:type="dxa"/>
            </w:tcMar>
            <w:vAlign w:val="center"/>
          </w:tcPr>
          <w:p>
            <w:pPr>
              <w:spacing w:after="0"/>
            </w:pPr>
            <w:r/>
            <w:r>
              <w:rPr>
                <w:rFonts w:ascii="Aptos" w:hAnsi="Aptos"/>
                <w:b w:val="0"/>
                <w:sz w:val="17"/>
              </w:rPr>
              <w:t>Gateway 6</w:t>
            </w:r>
          </w:p>
        </w:tc>
        <w:tc>
          <w:tcPr>
            <w:tcW w:type="dxa" w:w="3384"/>
            <w:tcMar>
              <w:top w:w="90" w:type="dxa"/>
              <w:start w:w="90" w:type="dxa"/>
              <w:bottom w:w="90" w:type="dxa"/>
              <w:end w:w="90" w:type="dxa"/>
            </w:tcMar>
            <w:vAlign w:val="center"/>
          </w:tcPr>
          <w:p>
            <w:pPr>
              <w:spacing w:after="0"/>
            </w:pPr>
            <w:r/>
            <w:r>
              <w:rPr>
                <w:rFonts w:ascii="Aptos" w:hAnsi="Aptos"/>
                <w:b w:val="0"/>
                <w:sz w:val="17"/>
              </w:rPr>
              <w:t>Completed Authentic Workplace Learning</w:t>
            </w:r>
          </w:p>
        </w:tc>
        <w:tc>
          <w:tcPr>
            <w:tcW w:type="dxa" w:w="5616"/>
            <w:tcMar>
              <w:top w:w="90" w:type="dxa"/>
              <w:start w:w="90" w:type="dxa"/>
              <w:bottom w:w="90" w:type="dxa"/>
              <w:end w:w="90" w:type="dxa"/>
            </w:tcMar>
            <w:vAlign w:val="center"/>
          </w:tcPr>
          <w:p>
            <w:pPr>
              <w:spacing w:after="0"/>
            </w:pPr>
            <w:r/>
            <w:r>
              <w:rPr>
                <w:rFonts w:ascii="Aptos" w:hAnsi="Aptos"/>
                <w:b w:val="0"/>
                <w:sz w:val="17"/>
              </w:rPr>
              <w:t>Successful completion of the senior External Work-Based Learning course, including 300 verified workplace hours, portfolio, employer evaluation, coordinator evaluation, and final presentation.</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Experiences Provide Evidence. Competencies Determine Progression.</w:t>
            </w:r>
          </w:p>
          <w:p>
            <w:pPr>
              <w:spacing w:after="0"/>
            </w:pPr>
            <w:r>
              <w:rPr>
                <w:rFonts w:ascii="Aptos" w:hAnsi="Aptos"/>
                <w:sz w:val="18"/>
              </w:rPr>
              <w:t>Labs, events, catering, leadership, competitions, and workplace assignments create evidence. Gateway completion records what the student has demonstrated.</w:t>
            </w:r>
          </w:p>
        </w:tc>
      </w:tr>
    </w:tbl>
    <w:p>
      <w:pPr>
        <w:spacing w:after="0"/>
      </w:pPr>
    </w:p>
    <w:p>
      <w:pPr>
        <w:pStyle w:val="Heading1"/>
      </w:pPr>
      <w:r>
        <w:t>Chapter 5: The Culinary Passport</w:t>
      </w:r>
    </w:p>
    <w:p>
      <w:r>
        <w:t>The Culinary Passport is the student's official competency and progression record. It records verified Gateway status, date, verifier, completion level, and the location of supporting evidence.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tcMar>
              <w:top w:w="90" w:type="dxa"/>
              <w:start w:w="90" w:type="dxa"/>
              <w:bottom w:w="90" w:type="dxa"/>
              <w:end w:w="90" w:type="dxa"/>
            </w:tcMar>
            <w:vAlign w:val="center"/>
            <w:shd w:fill="1F4E78"/>
          </w:tcPr>
          <w:p>
            <w:pPr>
              <w:spacing w:after="0"/>
            </w:pPr>
            <w:r/>
            <w:r>
              <w:rPr>
                <w:rFonts w:ascii="Aptos" w:hAnsi="Aptos"/>
                <w:b/>
                <w:color w:val="FFFFFF"/>
                <w:sz w:val="17"/>
              </w:rPr>
              <w:t>Function</w:t>
            </w:r>
          </w:p>
        </w:tc>
        <w:tc>
          <w:tcPr>
            <w:tcW w:type="dxa" w:w="7704"/>
            <w:tcMar>
              <w:top w:w="90" w:type="dxa"/>
              <w:start w:w="90" w:type="dxa"/>
              <w:bottom w:w="90" w:type="dxa"/>
              <w:end w:w="90" w:type="dxa"/>
            </w:tcMar>
            <w:vAlign w:val="center"/>
            <w:shd w:fill="1F4E78"/>
          </w:tcPr>
          <w:p>
            <w:pPr>
              <w:spacing w:after="0"/>
            </w:pPr>
            <w:r/>
            <w:r>
              <w:rPr>
                <w:rFonts w:ascii="Aptos" w:hAnsi="Aptos"/>
                <w:b/>
                <w:color w:val="FFFFFF"/>
                <w:sz w:val="17"/>
              </w:rPr>
              <w:t>Use</w:t>
            </w:r>
          </w:p>
        </w:tc>
      </w:tr>
      <w:tr>
        <w:tc>
          <w:tcPr>
            <w:tcW w:type="dxa" w:w="2376"/>
            <w:tcMar>
              <w:top w:w="90" w:type="dxa"/>
              <w:start w:w="90" w:type="dxa"/>
              <w:bottom w:w="90" w:type="dxa"/>
              <w:end w:w="90" w:type="dxa"/>
            </w:tcMar>
            <w:vAlign w:val="center"/>
            <w:shd w:fill="EAF2F8"/>
          </w:tcPr>
          <w:p>
            <w:pPr>
              <w:spacing w:after="0"/>
            </w:pPr>
            <w:r/>
            <w:r>
              <w:rPr>
                <w:rFonts w:ascii="Aptos" w:hAnsi="Aptos"/>
                <w:b w:val="0"/>
                <w:sz w:val="17"/>
              </w:rPr>
              <w:t>Competency record</w:t>
            </w:r>
          </w:p>
        </w:tc>
        <w:tc>
          <w:tcPr>
            <w:tcW w:type="dxa" w:w="7704"/>
            <w:tcMar>
              <w:top w:w="90" w:type="dxa"/>
              <w:start w:w="90" w:type="dxa"/>
              <w:bottom w:w="90" w:type="dxa"/>
              <w:end w:w="90" w:type="dxa"/>
            </w:tcMar>
            <w:vAlign w:val="center"/>
            <w:shd w:fill="EAF2F8"/>
          </w:tcPr>
          <w:p>
            <w:pPr>
              <w:spacing w:after="0"/>
            </w:pPr>
            <w:r/>
            <w:r>
              <w:rPr>
                <w:rFonts w:ascii="Aptos" w:hAnsi="Aptos"/>
                <w:b w:val="0"/>
                <w:sz w:val="17"/>
              </w:rPr>
              <w:t>Records verified Gateway competencies.</w:t>
            </w:r>
          </w:p>
        </w:tc>
      </w:tr>
      <w:tr>
        <w:tc>
          <w:tcPr>
            <w:tcW w:type="dxa" w:w="2376"/>
            <w:tcMar>
              <w:top w:w="90" w:type="dxa"/>
              <w:start w:w="90" w:type="dxa"/>
              <w:bottom w:w="90" w:type="dxa"/>
              <w:end w:w="90" w:type="dxa"/>
            </w:tcMar>
            <w:vAlign w:val="center"/>
          </w:tcPr>
          <w:p>
            <w:pPr>
              <w:spacing w:after="0"/>
            </w:pPr>
            <w:r/>
            <w:r>
              <w:rPr>
                <w:rFonts w:ascii="Aptos" w:hAnsi="Aptos"/>
                <w:b w:val="0"/>
                <w:sz w:val="17"/>
              </w:rPr>
              <w:t>Progression record</w:t>
            </w:r>
          </w:p>
        </w:tc>
        <w:tc>
          <w:tcPr>
            <w:tcW w:type="dxa" w:w="7704"/>
            <w:tcMar>
              <w:top w:w="90" w:type="dxa"/>
              <w:start w:w="90" w:type="dxa"/>
              <w:bottom w:w="90" w:type="dxa"/>
              <w:end w:w="90" w:type="dxa"/>
            </w:tcMar>
            <w:vAlign w:val="center"/>
          </w:tcPr>
          <w:p>
            <w:pPr>
              <w:spacing w:after="0"/>
            </w:pPr>
            <w:r/>
            <w:r>
              <w:rPr>
                <w:rFonts w:ascii="Aptos" w:hAnsi="Aptos"/>
                <w:b w:val="0"/>
                <w:sz w:val="17"/>
              </w:rPr>
              <w:t>Shows current status and the next available responsibility.</w:t>
            </w:r>
          </w:p>
        </w:tc>
      </w:tr>
      <w:tr>
        <w:tc>
          <w:tcPr>
            <w:tcW w:type="dxa" w:w="2376"/>
            <w:tcMar>
              <w:top w:w="90" w:type="dxa"/>
              <w:start w:w="90" w:type="dxa"/>
              <w:bottom w:w="90" w:type="dxa"/>
              <w:end w:w="90" w:type="dxa"/>
            </w:tcMar>
            <w:vAlign w:val="center"/>
            <w:shd w:fill="EAF2F8"/>
          </w:tcPr>
          <w:p>
            <w:pPr>
              <w:spacing w:after="0"/>
            </w:pPr>
            <w:r/>
            <w:r>
              <w:rPr>
                <w:rFonts w:ascii="Aptos" w:hAnsi="Aptos"/>
                <w:b w:val="0"/>
                <w:sz w:val="17"/>
              </w:rPr>
              <w:t>Articulation record</w:t>
            </w:r>
          </w:p>
        </w:tc>
        <w:tc>
          <w:tcPr>
            <w:tcW w:type="dxa" w:w="7704"/>
            <w:tcMar>
              <w:top w:w="90" w:type="dxa"/>
              <w:start w:w="90" w:type="dxa"/>
              <w:bottom w:w="90" w:type="dxa"/>
              <w:end w:w="90" w:type="dxa"/>
            </w:tcMar>
            <w:vAlign w:val="center"/>
            <w:shd w:fill="EAF2F8"/>
          </w:tcPr>
          <w:p>
            <w:pPr>
              <w:spacing w:after="0"/>
            </w:pPr>
            <w:r/>
            <w:r>
              <w:rPr>
                <w:rFonts w:ascii="Aptos" w:hAnsi="Aptos"/>
                <w:b w:val="0"/>
                <w:sz w:val="17"/>
              </w:rPr>
              <w:t>Allows teachers and the WBL Coordinator to review verified prior learning.</w:t>
            </w:r>
          </w:p>
        </w:tc>
      </w:tr>
      <w:tr>
        <w:tc>
          <w:tcPr>
            <w:tcW w:type="dxa" w:w="2376"/>
            <w:tcMar>
              <w:top w:w="90" w:type="dxa"/>
              <w:start w:w="90" w:type="dxa"/>
              <w:bottom w:w="90" w:type="dxa"/>
              <w:end w:w="90" w:type="dxa"/>
            </w:tcMar>
            <w:vAlign w:val="center"/>
          </w:tcPr>
          <w:p>
            <w:pPr>
              <w:spacing w:after="0"/>
            </w:pPr>
            <w:r/>
            <w:r>
              <w:rPr>
                <w:rFonts w:ascii="Aptos" w:hAnsi="Aptos"/>
                <w:b w:val="0"/>
                <w:sz w:val="17"/>
              </w:rPr>
              <w:t>Instructional planning</w:t>
            </w:r>
          </w:p>
        </w:tc>
        <w:tc>
          <w:tcPr>
            <w:tcW w:type="dxa" w:w="7704"/>
            <w:tcMar>
              <w:top w:w="90" w:type="dxa"/>
              <w:start w:w="90" w:type="dxa"/>
              <w:bottom w:w="90" w:type="dxa"/>
              <w:end w:w="90" w:type="dxa"/>
            </w:tcMar>
            <w:vAlign w:val="center"/>
          </w:tcPr>
          <w:p>
            <w:pPr>
              <w:spacing w:after="0"/>
            </w:pPr>
            <w:r/>
            <w:r>
              <w:rPr>
                <w:rFonts w:ascii="Aptos" w:hAnsi="Aptos"/>
                <w:b w:val="0"/>
                <w:sz w:val="17"/>
              </w:rPr>
              <w:t>Identifies incomplete competencies, remediation needs, and appropriate next practice.</w:t>
            </w:r>
          </w:p>
        </w:tc>
      </w:tr>
      <w:tr>
        <w:tc>
          <w:tcPr>
            <w:tcW w:type="dxa" w:w="2376"/>
            <w:tcMar>
              <w:top w:w="90" w:type="dxa"/>
              <w:start w:w="90" w:type="dxa"/>
              <w:bottom w:w="90" w:type="dxa"/>
              <w:end w:w="90" w:type="dxa"/>
            </w:tcMar>
            <w:vAlign w:val="center"/>
            <w:shd w:fill="EAF2F8"/>
          </w:tcPr>
          <w:p>
            <w:pPr>
              <w:spacing w:after="0"/>
            </w:pPr>
            <w:r/>
            <w:r>
              <w:rPr>
                <w:rFonts w:ascii="Aptos" w:hAnsi="Aptos"/>
                <w:b w:val="0"/>
                <w:sz w:val="17"/>
              </w:rPr>
              <w:t>Readiness verification</w:t>
            </w:r>
          </w:p>
        </w:tc>
        <w:tc>
          <w:tcPr>
            <w:tcW w:type="dxa" w:w="7704"/>
            <w:tcMar>
              <w:top w:w="90" w:type="dxa"/>
              <w:start w:w="90" w:type="dxa"/>
              <w:bottom w:w="90" w:type="dxa"/>
              <w:end w:w="90" w:type="dxa"/>
            </w:tcMar>
            <w:vAlign w:val="center"/>
            <w:shd w:fill="EAF2F8"/>
          </w:tcPr>
          <w:p>
            <w:pPr>
              <w:spacing w:after="0"/>
            </w:pPr>
            <w:r/>
            <w:r>
              <w:rPr>
                <w:rFonts w:ascii="Aptos" w:hAnsi="Aptos"/>
                <w:b w:val="0"/>
                <w:sz w:val="17"/>
              </w:rPr>
              <w:t>Supports decisions about kitchen, client-centered, leadership, and workplace responsibility.</w:t>
            </w:r>
          </w:p>
        </w:tc>
      </w:tr>
      <w:tr>
        <w:tc>
          <w:tcPr>
            <w:tcW w:type="dxa" w:w="2376"/>
            <w:tcMar>
              <w:top w:w="90" w:type="dxa"/>
              <w:start w:w="90" w:type="dxa"/>
              <w:bottom w:w="90" w:type="dxa"/>
              <w:end w:w="90" w:type="dxa"/>
            </w:tcMar>
            <w:vAlign w:val="center"/>
          </w:tcPr>
          <w:p>
            <w:pPr>
              <w:spacing w:after="0"/>
            </w:pPr>
            <w:r/>
            <w:r>
              <w:rPr>
                <w:rFonts w:ascii="Aptos" w:hAnsi="Aptos"/>
                <w:b w:val="0"/>
                <w:sz w:val="17"/>
              </w:rPr>
              <w:t>Student visibility</w:t>
            </w:r>
          </w:p>
        </w:tc>
        <w:tc>
          <w:tcPr>
            <w:tcW w:type="dxa" w:w="7704"/>
            <w:tcMar>
              <w:top w:w="90" w:type="dxa"/>
              <w:start w:w="90" w:type="dxa"/>
              <w:bottom w:w="90" w:type="dxa"/>
              <w:end w:w="90" w:type="dxa"/>
            </w:tcMar>
            <w:vAlign w:val="center"/>
          </w:tcPr>
          <w:p>
            <w:pPr>
              <w:spacing w:after="0"/>
            </w:pPr>
            <w:r/>
            <w:r>
              <w:rPr>
                <w:rFonts w:ascii="Aptos" w:hAnsi="Aptos"/>
                <w:b w:val="0"/>
                <w:sz w:val="17"/>
              </w:rPr>
              <w:t>Makes progress understandable without duplicating the gradebook.</w:t>
            </w:r>
          </w:p>
        </w:tc>
      </w:tr>
    </w:tbl>
    <w:p>
      <w:pPr>
        <w:spacing w:after="0"/>
      </w:pPr>
    </w:p>
    <w:p>
      <w:r>
        <w:t>The student-facing record displays completed milestones. Internal evidence preserves the basis for the decision, including the verifier and date. Participation alone does not establish competency.</w:t>
      </w:r>
    </w:p>
    <w:p>
      <w:pPr>
        <w:pStyle w:val="Heading1"/>
      </w:pPr>
      <w:r>
        <w:t>Chapter 6: Completion, Reassessment, and Reverification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tcMar>
              <w:top w:w="90" w:type="dxa"/>
              <w:start w:w="90" w:type="dxa"/>
              <w:bottom w:w="90" w:type="dxa"/>
              <w:end w:w="90" w:type="dxa"/>
            </w:tcMar>
            <w:vAlign w:val="center"/>
            <w:shd w:fill="1F4E78"/>
          </w:tcPr>
          <w:p>
            <w:pPr>
              <w:spacing w:after="0"/>
            </w:pPr>
            <w:r/>
            <w:r>
              <w:rPr>
                <w:rFonts w:ascii="Aptos" w:hAnsi="Aptos"/>
                <w:b/>
                <w:color w:val="FFFFFF"/>
                <w:sz w:val="17"/>
              </w:rPr>
              <w:t>Completion level</w:t>
            </w:r>
          </w:p>
        </w:tc>
        <w:tc>
          <w:tcPr>
            <w:tcW w:type="dxa" w:w="7200"/>
            <w:tcMar>
              <w:top w:w="90" w:type="dxa"/>
              <w:start w:w="90" w:type="dxa"/>
              <w:bottom w:w="90" w:type="dxa"/>
              <w:end w:w="90" w:type="dxa"/>
            </w:tcMar>
            <w:vAlign w:val="center"/>
            <w:shd w:fill="1F4E78"/>
          </w:tcPr>
          <w:p>
            <w:pPr>
              <w:spacing w:after="0"/>
            </w:pPr>
            <w:r/>
            <w:r>
              <w:rPr>
                <w:rFonts w:ascii="Aptos" w:hAnsi="Aptos"/>
                <w:b/>
                <w:color w:val="FFFFFF"/>
                <w:sz w:val="17"/>
              </w:rPr>
              <w:t>Meaning</w:t>
            </w:r>
          </w:p>
        </w:tc>
      </w:tr>
      <w:tr>
        <w:tc>
          <w:tcPr>
            <w:tcW w:type="dxa" w:w="2880"/>
            <w:tcMar>
              <w:top w:w="90" w:type="dxa"/>
              <w:start w:w="90" w:type="dxa"/>
              <w:bottom w:w="90" w:type="dxa"/>
              <w:end w:w="90" w:type="dxa"/>
            </w:tcMar>
            <w:vAlign w:val="center"/>
            <w:shd w:fill="EAF2F8"/>
          </w:tcPr>
          <w:p>
            <w:pPr>
              <w:spacing w:after="0"/>
            </w:pPr>
            <w:r/>
            <w:r>
              <w:rPr>
                <w:rFonts w:ascii="Aptos" w:hAnsi="Aptos"/>
                <w:b w:val="0"/>
                <w:sz w:val="17"/>
              </w:rPr>
              <w:t>Completion with Distinction</w:t>
            </w:r>
          </w:p>
        </w:tc>
        <w:tc>
          <w:tcPr>
            <w:tcW w:type="dxa" w:w="7200"/>
            <w:tcMar>
              <w:top w:w="90" w:type="dxa"/>
              <w:start w:w="90" w:type="dxa"/>
              <w:bottom w:w="90" w:type="dxa"/>
              <w:end w:w="90" w:type="dxa"/>
            </w:tcMar>
            <w:vAlign w:val="center"/>
            <w:shd w:fill="EAF2F8"/>
          </w:tcPr>
          <w:p>
            <w:pPr>
              <w:spacing w:after="0"/>
            </w:pPr>
            <w:r/>
            <w:r>
              <w:rPr>
                <w:rFonts w:ascii="Aptos" w:hAnsi="Aptos"/>
                <w:b w:val="0"/>
                <w:sz w:val="17"/>
              </w:rPr>
              <w:t>The student exceeds pathway expectations.</w:t>
            </w:r>
          </w:p>
        </w:tc>
      </w:tr>
      <w:tr>
        <w:tc>
          <w:tcPr>
            <w:tcW w:type="dxa" w:w="2880"/>
            <w:tcMar>
              <w:top w:w="90" w:type="dxa"/>
              <w:start w:w="90" w:type="dxa"/>
              <w:bottom w:w="90" w:type="dxa"/>
              <w:end w:w="90" w:type="dxa"/>
            </w:tcMar>
            <w:vAlign w:val="center"/>
          </w:tcPr>
          <w:p>
            <w:pPr>
              <w:spacing w:after="0"/>
            </w:pPr>
            <w:r/>
            <w:r>
              <w:rPr>
                <w:rFonts w:ascii="Aptos" w:hAnsi="Aptos"/>
                <w:b w:val="0"/>
                <w:sz w:val="17"/>
              </w:rPr>
              <w:t>Completion</w:t>
            </w:r>
          </w:p>
        </w:tc>
        <w:tc>
          <w:tcPr>
            <w:tcW w:type="dxa" w:w="7200"/>
            <w:tcMar>
              <w:top w:w="90" w:type="dxa"/>
              <w:start w:w="90" w:type="dxa"/>
              <w:bottom w:w="90" w:type="dxa"/>
              <w:end w:w="90" w:type="dxa"/>
            </w:tcMar>
            <w:vAlign w:val="center"/>
          </w:tcPr>
          <w:p>
            <w:pPr>
              <w:spacing w:after="0"/>
            </w:pPr>
            <w:r/>
            <w:r>
              <w:rPr>
                <w:rFonts w:ascii="Aptos" w:hAnsi="Aptos"/>
                <w:b w:val="0"/>
                <w:sz w:val="17"/>
              </w:rPr>
              <w:t>The student meets pathway expectations.</w:t>
            </w:r>
          </w:p>
        </w:tc>
      </w:tr>
      <w:tr>
        <w:tc>
          <w:tcPr>
            <w:tcW w:type="dxa" w:w="2880"/>
            <w:tcMar>
              <w:top w:w="90" w:type="dxa"/>
              <w:start w:w="90" w:type="dxa"/>
              <w:bottom w:w="90" w:type="dxa"/>
              <w:end w:w="90" w:type="dxa"/>
            </w:tcMar>
            <w:vAlign w:val="center"/>
            <w:shd w:fill="EAF2F8"/>
          </w:tcPr>
          <w:p>
            <w:pPr>
              <w:spacing w:after="0"/>
            </w:pPr>
            <w:r/>
            <w:r>
              <w:rPr>
                <w:rFonts w:ascii="Aptos" w:hAnsi="Aptos"/>
                <w:b w:val="0"/>
                <w:sz w:val="17"/>
              </w:rPr>
              <w:t>Not Yet Completed</w:t>
            </w:r>
          </w:p>
        </w:tc>
        <w:tc>
          <w:tcPr>
            <w:tcW w:type="dxa" w:w="7200"/>
            <w:tcMar>
              <w:top w:w="90" w:type="dxa"/>
              <w:start w:w="90" w:type="dxa"/>
              <w:bottom w:w="90" w:type="dxa"/>
              <w:end w:w="90" w:type="dxa"/>
            </w:tcMar>
            <w:vAlign w:val="center"/>
            <w:shd w:fill="EAF2F8"/>
          </w:tcPr>
          <w:p>
            <w:pPr>
              <w:spacing w:after="0"/>
            </w:pPr>
            <w:r/>
            <w:r>
              <w:rPr>
                <w:rFonts w:ascii="Aptos" w:hAnsi="Aptos"/>
                <w:b w:val="0"/>
                <w:sz w:val="17"/>
              </w:rPr>
              <w:t>Additional instruction and reassessment are required. No Passport completion is awarded.</w:t>
            </w:r>
          </w:p>
        </w:tc>
      </w:tr>
    </w:tbl>
    <w:p>
      <w:pPr>
        <w:spacing w:after="0"/>
      </w:pPr>
    </w:p>
    <w:p>
      <w:pPr>
        <w:pStyle w:val="Heading2"/>
      </w:pPr>
      <w:r>
        <w:t>Reassessment</w:t>
      </w:r>
    </w:p>
    <w:p>
      <w:r>
        <w:t>Reassessment follows feedback, reflection, additional practice, or remediation. Immediate repetition of the same assessment is not permitted. Equivalent assessments preserve the intended competency and level of rigor.</w:t>
      </w:r>
    </w:p>
    <w:p>
      <w:pPr>
        <w:pStyle w:val="Heading2"/>
      </w:pPr>
      <w:r>
        <w:t>Reverification</w:t>
      </w:r>
    </w:p>
    <w:p>
      <w:r>
        <w:t>Completed competencies remain part of the permanent Passport record. Critical competencies may be reverified when students enter more advanced environments or prepare for External Work-Based Learning.</w:t>
      </w:r>
    </w:p>
    <w:tbl>
      <w:tblPr>
        <w:tblStyle w:val="TableGrid"/>
        <w:tblW w:type="auto" w:w="0"/>
        <w:jc w:val="center"/>
        <w:tblLook w:firstColumn="1" w:firstRow="1" w:lastColumn="0" w:lastRow="0" w:noHBand="0" w:noVBand="1" w:val="04A0"/>
      </w:tblPr>
      <w:tblGrid>
        <w:gridCol w:w="5083"/>
        <w:gridCol w:w="5083"/>
      </w:tblGrid>
      <w:tr>
        <w:tc>
          <w:tcPr>
            <w:tcW w:type="dxa" w:w="5083"/>
            <w:shd w:fill="E8F5F5"/>
            <w:tcMar>
              <w:top w:w="110" w:type="dxa"/>
              <w:start w:w="120" w:type="dxa"/>
              <w:bottom w:w="110" w:type="dxa"/>
              <w:end w:w="120" w:type="dxa"/>
            </w:tcMar>
          </w:tcPr>
          <w:p>
            <w:pPr>
              <w:spacing w:after="30"/>
            </w:pPr>
            <w:r/>
            <w:r>
              <w:rPr>
                <w:b/>
                <w:color w:val="1C8C8C"/>
                <w:sz w:val="19"/>
              </w:rPr>
              <w:t>Provide Clear Direction</w:t>
            </w:r>
          </w:p>
          <w:p>
            <w:pPr>
              <w:spacing w:after="0"/>
            </w:pPr>
            <w:r>
              <w:rPr>
                <w:sz w:val="18"/>
              </w:rPr>
              <w:t>Students know the standard, the evidence required, and the next step before reassessment.</w:t>
            </w:r>
          </w:p>
        </w:tc>
        <w:tc>
          <w:tcPr>
            <w:tcW w:type="dxa" w:w="5083"/>
            <w:shd w:fill="EAF2F8"/>
            <w:tcMar>
              <w:top w:w="110" w:type="dxa"/>
              <w:start w:w="120" w:type="dxa"/>
              <w:bottom w:w="110" w:type="dxa"/>
              <w:end w:w="120" w:type="dxa"/>
            </w:tcMar>
          </w:tcPr>
          <w:p>
            <w:pPr>
              <w:spacing w:after="30"/>
            </w:pPr>
            <w:r/>
            <w:r>
              <w:rPr>
                <w:b/>
                <w:color w:val="1F4E78"/>
                <w:sz w:val="19"/>
              </w:rPr>
              <w:t>Inspect What You Expect</w:t>
            </w:r>
          </w:p>
          <w:p>
            <w:pPr>
              <w:spacing w:after="0"/>
            </w:pPr>
            <w:r>
              <w:rPr>
                <w:sz w:val="18"/>
              </w:rPr>
              <w:t>Teachers verify that previously demonstrated critical competencies remain dependable in more advanced settings.</w:t>
            </w:r>
          </w:p>
        </w:tc>
      </w:tr>
    </w:tbl>
    <w:p>
      <w:pPr>
        <w:spacing w:after="0"/>
      </w:pPr>
    </w:p>
    <w:p>
      <w:r>
        <w:br w:type="page"/>
      </w:r>
    </w:p>
    <w:p>
      <w:pPr>
        <w:pStyle w:val="PartTitle"/>
      </w:pPr>
      <w:r>
        <w:t>PART III</w:t>
        <w:br/>
        <w:t>Authentic Professional Practice</w:t>
      </w:r>
    </w:p>
    <w:p>
      <w:pPr>
        <w:pStyle w:val="Heading3"/>
      </w:pPr>
      <w:r>
        <w:t>The learning environments that move students from instruction to workplace performance.</w:t>
      </w:r>
    </w:p>
    <w:p>
      <w:pPr>
        <w:pStyle w:val="Heading1"/>
      </w:pPr>
      <w:r>
        <w:t>Chapter 7: Classroom and Instructional Kitchen Foundations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Foundation area</w:t>
            </w:r>
          </w:p>
        </w:tc>
        <w:tc>
          <w:tcPr>
            <w:tcW w:type="dxa" w:w="7560"/>
            <w:tcMar>
              <w:top w:w="90" w:type="dxa"/>
              <w:start w:w="90" w:type="dxa"/>
              <w:bottom w:w="90" w:type="dxa"/>
              <w:end w:w="90" w:type="dxa"/>
            </w:tcMar>
            <w:vAlign w:val="center"/>
            <w:shd w:fill="1F4E78"/>
          </w:tcPr>
          <w:p>
            <w:pPr>
              <w:spacing w:after="0"/>
            </w:pPr>
            <w:r/>
            <w:r>
              <w:rPr>
                <w:rFonts w:ascii="Aptos" w:hAnsi="Aptos"/>
                <w:b/>
                <w:color w:val="FFFFFF"/>
                <w:sz w:val="17"/>
              </w:rPr>
              <w:t>Pathway expectation</w:t>
            </w:r>
          </w:p>
        </w:tc>
      </w:tr>
      <w:tr>
        <w:tc>
          <w:tcPr>
            <w:tcW w:type="dxa" w:w="2520"/>
            <w:tcMar>
              <w:top w:w="90" w:type="dxa"/>
              <w:start w:w="90" w:type="dxa"/>
              <w:bottom w:w="90" w:type="dxa"/>
              <w:end w:w="90" w:type="dxa"/>
            </w:tcMar>
            <w:vAlign w:val="center"/>
            <w:shd w:fill="EAF2F8"/>
          </w:tcPr>
          <w:p>
            <w:pPr>
              <w:spacing w:after="0"/>
            </w:pPr>
            <w:r/>
            <w:r>
              <w:rPr>
                <w:rFonts w:ascii="Aptos" w:hAnsi="Aptos"/>
                <w:b w:val="0"/>
                <w:sz w:val="17"/>
              </w:rPr>
              <w:t>Safety and sanitation</w:t>
            </w:r>
          </w:p>
        </w:tc>
        <w:tc>
          <w:tcPr>
            <w:tcW w:type="dxa" w:w="7560"/>
            <w:tcMar>
              <w:top w:w="90" w:type="dxa"/>
              <w:start w:w="90" w:type="dxa"/>
              <w:bottom w:w="90" w:type="dxa"/>
              <w:end w:w="90" w:type="dxa"/>
            </w:tcMar>
            <w:vAlign w:val="center"/>
            <w:shd w:fill="EAF2F8"/>
          </w:tcPr>
          <w:p>
            <w:pPr>
              <w:spacing w:after="0"/>
            </w:pPr>
            <w:r/>
            <w:r>
              <w:rPr>
                <w:rFonts w:ascii="Aptos" w:hAnsi="Aptos"/>
                <w:b w:val="0"/>
                <w:sz w:val="17"/>
              </w:rPr>
              <w:t>Protect students and others through consistent professional practice.</w:t>
            </w:r>
          </w:p>
        </w:tc>
      </w:tr>
      <w:tr>
        <w:tc>
          <w:tcPr>
            <w:tcW w:type="dxa" w:w="2520"/>
            <w:tcMar>
              <w:top w:w="90" w:type="dxa"/>
              <w:start w:w="90" w:type="dxa"/>
              <w:bottom w:w="90" w:type="dxa"/>
              <w:end w:w="90" w:type="dxa"/>
            </w:tcMar>
            <w:vAlign w:val="center"/>
          </w:tcPr>
          <w:p>
            <w:pPr>
              <w:spacing w:after="0"/>
            </w:pPr>
            <w:r/>
            <w:r>
              <w:rPr>
                <w:rFonts w:ascii="Aptos" w:hAnsi="Aptos"/>
                <w:b w:val="0"/>
                <w:sz w:val="17"/>
              </w:rPr>
              <w:t>Kitchen operations</w:t>
            </w:r>
          </w:p>
        </w:tc>
        <w:tc>
          <w:tcPr>
            <w:tcW w:type="dxa" w:w="7560"/>
            <w:tcMar>
              <w:top w:w="90" w:type="dxa"/>
              <w:start w:w="90" w:type="dxa"/>
              <w:bottom w:w="90" w:type="dxa"/>
              <w:end w:w="90" w:type="dxa"/>
            </w:tcMar>
            <w:vAlign w:val="center"/>
          </w:tcPr>
          <w:p>
            <w:pPr>
              <w:spacing w:after="0"/>
            </w:pPr>
            <w:r/>
            <w:r>
              <w:rPr>
                <w:rFonts w:ascii="Aptos" w:hAnsi="Aptos"/>
                <w:b w:val="0"/>
                <w:sz w:val="17"/>
              </w:rPr>
              <w:t>Apply mise en place, station organization, recipe use, time management, cleanup, and team communication.</w:t>
            </w:r>
          </w:p>
        </w:tc>
      </w:tr>
      <w:tr>
        <w:tc>
          <w:tcPr>
            <w:tcW w:type="dxa" w:w="2520"/>
            <w:tcMar>
              <w:top w:w="90" w:type="dxa"/>
              <w:start w:w="90" w:type="dxa"/>
              <w:bottom w:w="90" w:type="dxa"/>
              <w:end w:w="90" w:type="dxa"/>
            </w:tcMar>
            <w:vAlign w:val="center"/>
            <w:shd w:fill="EAF2F8"/>
          </w:tcPr>
          <w:p>
            <w:pPr>
              <w:spacing w:after="0"/>
            </w:pPr>
            <w:r/>
            <w:r>
              <w:rPr>
                <w:rFonts w:ascii="Aptos" w:hAnsi="Aptos"/>
                <w:b w:val="0"/>
                <w:sz w:val="17"/>
              </w:rPr>
              <w:t>Foundational techniques</w:t>
            </w:r>
          </w:p>
        </w:tc>
        <w:tc>
          <w:tcPr>
            <w:tcW w:type="dxa" w:w="7560"/>
            <w:tcMar>
              <w:top w:w="90" w:type="dxa"/>
              <w:start w:w="90" w:type="dxa"/>
              <w:bottom w:w="90" w:type="dxa"/>
              <w:end w:w="90" w:type="dxa"/>
            </w:tcMar>
            <w:vAlign w:val="center"/>
            <w:shd w:fill="EAF2F8"/>
          </w:tcPr>
          <w:p>
            <w:pPr>
              <w:spacing w:after="0"/>
            </w:pPr>
            <w:r/>
            <w:r>
              <w:rPr>
                <w:rFonts w:ascii="Aptos" w:hAnsi="Aptos"/>
                <w:b w:val="0"/>
                <w:sz w:val="17"/>
              </w:rPr>
              <w:t>Use ingredients, equipment, and methods to produce consistent work that meets instructional standards.</w:t>
            </w:r>
          </w:p>
        </w:tc>
      </w:tr>
      <w:tr>
        <w:tc>
          <w:tcPr>
            <w:tcW w:type="dxa" w:w="2520"/>
            <w:tcMar>
              <w:top w:w="90" w:type="dxa"/>
              <w:start w:w="90" w:type="dxa"/>
              <w:bottom w:w="90" w:type="dxa"/>
              <w:end w:w="90" w:type="dxa"/>
            </w:tcMar>
            <w:vAlign w:val="center"/>
          </w:tcPr>
          <w:p>
            <w:pPr>
              <w:spacing w:after="0"/>
            </w:pPr>
            <w:r/>
            <w:r>
              <w:rPr>
                <w:rFonts w:ascii="Aptos" w:hAnsi="Aptos"/>
                <w:b w:val="0"/>
                <w:sz w:val="17"/>
              </w:rPr>
              <w:t>Employability habits</w:t>
            </w:r>
          </w:p>
        </w:tc>
        <w:tc>
          <w:tcPr>
            <w:tcW w:type="dxa" w:w="7560"/>
            <w:tcMar>
              <w:top w:w="90" w:type="dxa"/>
              <w:start w:w="90" w:type="dxa"/>
              <w:bottom w:w="90" w:type="dxa"/>
              <w:end w:w="90" w:type="dxa"/>
            </w:tcMar>
            <w:vAlign w:val="center"/>
          </w:tcPr>
          <w:p>
            <w:pPr>
              <w:spacing w:after="0"/>
            </w:pPr>
            <w:r/>
            <w:r>
              <w:rPr>
                <w:rFonts w:ascii="Aptos" w:hAnsi="Aptos"/>
                <w:b w:val="0"/>
                <w:sz w:val="17"/>
              </w:rPr>
              <w:t>Demonstrate attendance, punctuality, appearance, communication, problem solving, ethics, teamwork, and response to feedback.</w:t>
            </w:r>
          </w:p>
        </w:tc>
      </w:tr>
      <w:tr>
        <w:tc>
          <w:tcPr>
            <w:tcW w:type="dxa" w:w="2520"/>
            <w:tcMar>
              <w:top w:w="90" w:type="dxa"/>
              <w:start w:w="90" w:type="dxa"/>
              <w:bottom w:w="90" w:type="dxa"/>
              <w:end w:w="90" w:type="dxa"/>
            </w:tcMar>
            <w:vAlign w:val="center"/>
            <w:shd w:fill="EAF2F8"/>
          </w:tcPr>
          <w:p>
            <w:pPr>
              <w:spacing w:after="0"/>
            </w:pPr>
            <w:r/>
            <w:r>
              <w:rPr>
                <w:rFonts w:ascii="Aptos" w:hAnsi="Aptos"/>
                <w:b w:val="0"/>
                <w:sz w:val="17"/>
              </w:rPr>
              <w:t>Reflection and evidence</w:t>
            </w:r>
          </w:p>
        </w:tc>
        <w:tc>
          <w:tcPr>
            <w:tcW w:type="dxa" w:w="7560"/>
            <w:tcMar>
              <w:top w:w="90" w:type="dxa"/>
              <w:start w:w="90" w:type="dxa"/>
              <w:bottom w:w="90" w:type="dxa"/>
              <w:end w:w="90" w:type="dxa"/>
            </w:tcMar>
            <w:vAlign w:val="center"/>
            <w:shd w:fill="EAF2F8"/>
          </w:tcPr>
          <w:p>
            <w:pPr>
              <w:spacing w:after="0"/>
            </w:pPr>
            <w:r/>
            <w:r>
              <w:rPr>
                <w:rFonts w:ascii="Aptos" w:hAnsi="Aptos"/>
                <w:b w:val="0"/>
                <w:sz w:val="17"/>
              </w:rPr>
              <w:t>Identify what has been demonstrated, what remains incomplete, and what requires further practice.</w:t>
            </w:r>
          </w:p>
        </w:tc>
      </w:tr>
    </w:tbl>
    <w:p>
      <w:pPr>
        <w:spacing w:after="0"/>
      </w:pPr>
    </w:p>
    <w:p>
      <w:r>
        <w:t>Gateways 1-3 establish readiness for increasingly authentic responsibility.</w:t>
      </w:r>
    </w:p>
    <w:tbl>
      <w:tblPr>
        <w:tblStyle w:val="TableGrid"/>
        <w:tblW w:type="auto" w:w="0"/>
        <w:jc w:val="center"/>
        <w:tblLook w:firstColumn="1" w:firstRow="1" w:lastColumn="0" w:lastRow="0" w:noHBand="0" w:noVBand="1" w:val="04A0"/>
      </w:tblPr>
      <w:tblGrid>
        <w:gridCol w:w="5083"/>
        <w:gridCol w:w="5083"/>
      </w:tblGrid>
      <w:tr>
        <w:tc>
          <w:tcPr>
            <w:tcW w:type="dxa" w:w="5083"/>
            <w:shd w:fill="E8F5F5"/>
            <w:tcMar>
              <w:top w:w="110" w:type="dxa"/>
              <w:start w:w="120" w:type="dxa"/>
              <w:bottom w:w="110" w:type="dxa"/>
              <w:end w:w="120" w:type="dxa"/>
            </w:tcMar>
          </w:tcPr>
          <w:p>
            <w:pPr>
              <w:spacing w:after="30"/>
            </w:pPr>
            <w:r/>
            <w:r>
              <w:rPr>
                <w:b/>
                <w:color w:val="1C8C8C"/>
                <w:sz w:val="19"/>
              </w:rPr>
              <w:t>Provide Clear Direction</w:t>
            </w:r>
          </w:p>
          <w:p>
            <w:pPr>
              <w:spacing w:after="0"/>
            </w:pPr>
            <w:r>
              <w:rPr>
                <w:sz w:val="18"/>
              </w:rPr>
              <w:t>Expectations, success criteria, responsibilities, and next steps are visible before students begin.</w:t>
            </w:r>
          </w:p>
        </w:tc>
        <w:tc>
          <w:tcPr>
            <w:tcW w:type="dxa" w:w="5083"/>
            <w:shd w:fill="EAF2F8"/>
            <w:tcMar>
              <w:top w:w="110" w:type="dxa"/>
              <w:start w:w="120" w:type="dxa"/>
              <w:bottom w:w="110" w:type="dxa"/>
              <w:end w:w="120" w:type="dxa"/>
            </w:tcMar>
          </w:tcPr>
          <w:p>
            <w:pPr>
              <w:spacing w:after="30"/>
            </w:pPr>
            <w:r/>
            <w:r>
              <w:rPr>
                <w:b/>
                <w:color w:val="1F4E78"/>
                <w:sz w:val="19"/>
              </w:rPr>
              <w:t>Inspect What You Expect</w:t>
            </w:r>
          </w:p>
          <w:p>
            <w:pPr>
              <w:spacing w:after="0"/>
            </w:pPr>
            <w:r>
              <w:rPr>
                <w:sz w:val="18"/>
              </w:rPr>
              <w:t>Observation, coaching, feedback, and accountability connect stated standards to actual performance.</w:t>
            </w:r>
          </w:p>
        </w:tc>
      </w:tr>
    </w:tbl>
    <w:p>
      <w:pPr>
        <w:spacing w:after="0"/>
      </w:pPr>
    </w:p>
    <w:p>
      <w:pPr>
        <w:pStyle w:val="Heading1"/>
      </w:pPr>
      <w:r>
        <w:t>Chapter 8: The Cottage and School-Based Enterprise</w:t>
      </w:r>
    </w:p>
    <w:p>
      <w:r>
        <w:t>The Cottage is the Culinary Pathway's School-Based Enterprise. It provides authentic client-centered learning under school supervision and serves as the primary environment for Gateway 4.</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664"/>
            <w:tcMar>
              <w:top w:w="90" w:type="dxa"/>
              <w:start w:w="90" w:type="dxa"/>
              <w:bottom w:w="90" w:type="dxa"/>
              <w:end w:w="90" w:type="dxa"/>
            </w:tcMar>
            <w:vAlign w:val="center"/>
            <w:shd w:fill="1F4E78"/>
          </w:tcPr>
          <w:p>
            <w:pPr>
              <w:spacing w:after="0"/>
            </w:pPr>
            <w:r/>
            <w:r>
              <w:rPr>
                <w:rFonts w:ascii="Aptos" w:hAnsi="Aptos"/>
                <w:b/>
                <w:color w:val="FFFFFF"/>
                <w:sz w:val="17"/>
              </w:rPr>
              <w:t>Application</w:t>
            </w:r>
          </w:p>
        </w:tc>
        <w:tc>
          <w:tcPr>
            <w:tcW w:type="dxa" w:w="7416"/>
            <w:tcMar>
              <w:top w:w="90" w:type="dxa"/>
              <w:start w:w="90" w:type="dxa"/>
              <w:bottom w:w="90" w:type="dxa"/>
              <w:end w:w="90" w:type="dxa"/>
            </w:tcMar>
            <w:vAlign w:val="center"/>
            <w:shd w:fill="1F4E78"/>
          </w:tcPr>
          <w:p>
            <w:pPr>
              <w:spacing w:after="0"/>
            </w:pPr>
            <w:r/>
            <w:r>
              <w:rPr>
                <w:rFonts w:ascii="Aptos" w:hAnsi="Aptos"/>
                <w:b/>
                <w:color w:val="FFFFFF"/>
                <w:sz w:val="17"/>
              </w:rPr>
              <w:t>Student responsibility</w:t>
            </w:r>
          </w:p>
        </w:tc>
      </w:tr>
      <w:tr>
        <w:tc>
          <w:tcPr>
            <w:tcW w:type="dxa" w:w="2664"/>
            <w:tcMar>
              <w:top w:w="90" w:type="dxa"/>
              <w:start w:w="90" w:type="dxa"/>
              <w:bottom w:w="90" w:type="dxa"/>
              <w:end w:w="90" w:type="dxa"/>
            </w:tcMar>
            <w:vAlign w:val="center"/>
            <w:shd w:fill="EAF2F8"/>
          </w:tcPr>
          <w:p>
            <w:pPr>
              <w:spacing w:after="0"/>
            </w:pPr>
            <w:r/>
            <w:r>
              <w:rPr>
                <w:rFonts w:ascii="Aptos" w:hAnsi="Aptos"/>
                <w:b w:val="0"/>
                <w:sz w:val="17"/>
              </w:rPr>
              <w:t>Client-centered production</w:t>
            </w:r>
          </w:p>
        </w:tc>
        <w:tc>
          <w:tcPr>
            <w:tcW w:type="dxa" w:w="7416"/>
            <w:tcMar>
              <w:top w:w="90" w:type="dxa"/>
              <w:start w:w="90" w:type="dxa"/>
              <w:bottom w:w="90" w:type="dxa"/>
              <w:end w:w="90" w:type="dxa"/>
            </w:tcMar>
            <w:vAlign w:val="center"/>
            <w:shd w:fill="EAF2F8"/>
          </w:tcPr>
          <w:p>
            <w:pPr>
              <w:spacing w:after="0"/>
            </w:pPr>
            <w:r/>
            <w:r>
              <w:rPr>
                <w:rFonts w:ascii="Aptos" w:hAnsi="Aptos"/>
                <w:b w:val="0"/>
                <w:sz w:val="17"/>
              </w:rPr>
              <w:t>Clarify the request, audience, quantity, timing, dietary needs, and service expectations.</w:t>
            </w:r>
          </w:p>
        </w:tc>
      </w:tr>
      <w:tr>
        <w:tc>
          <w:tcPr>
            <w:tcW w:type="dxa" w:w="2664"/>
            <w:tcMar>
              <w:top w:w="90" w:type="dxa"/>
              <w:start w:w="90" w:type="dxa"/>
              <w:bottom w:w="90" w:type="dxa"/>
              <w:end w:w="90" w:type="dxa"/>
            </w:tcMar>
            <w:vAlign w:val="center"/>
          </w:tcPr>
          <w:p>
            <w:pPr>
              <w:spacing w:after="0"/>
            </w:pPr>
            <w:r/>
            <w:r>
              <w:rPr>
                <w:rFonts w:ascii="Aptos" w:hAnsi="Aptos"/>
                <w:b w:val="0"/>
                <w:sz w:val="17"/>
              </w:rPr>
              <w:t>Professional execution</w:t>
            </w:r>
          </w:p>
        </w:tc>
        <w:tc>
          <w:tcPr>
            <w:tcW w:type="dxa" w:w="7416"/>
            <w:tcMar>
              <w:top w:w="90" w:type="dxa"/>
              <w:start w:w="90" w:type="dxa"/>
              <w:bottom w:w="90" w:type="dxa"/>
              <w:end w:w="90" w:type="dxa"/>
            </w:tcMar>
            <w:vAlign w:val="center"/>
          </w:tcPr>
          <w:p>
            <w:pPr>
              <w:spacing w:after="0"/>
            </w:pPr>
            <w:r/>
            <w:r>
              <w:rPr>
                <w:rFonts w:ascii="Aptos" w:hAnsi="Aptos"/>
                <w:b w:val="0"/>
                <w:sz w:val="17"/>
              </w:rPr>
              <w:t>Plan production, fulfill assigned roles, maintain quality, meet deadlines, and complete service and closeout.</w:t>
            </w:r>
          </w:p>
        </w:tc>
      </w:tr>
      <w:tr>
        <w:tc>
          <w:tcPr>
            <w:tcW w:type="dxa" w:w="2664"/>
            <w:tcMar>
              <w:top w:w="90" w:type="dxa"/>
              <w:start w:w="90" w:type="dxa"/>
              <w:bottom w:w="90" w:type="dxa"/>
              <w:end w:w="90" w:type="dxa"/>
            </w:tcMar>
            <w:vAlign w:val="center"/>
            <w:shd w:fill="EAF2F8"/>
          </w:tcPr>
          <w:p>
            <w:pPr>
              <w:spacing w:after="0"/>
            </w:pPr>
            <w:r/>
            <w:r>
              <w:rPr>
                <w:rFonts w:ascii="Aptos" w:hAnsi="Aptos"/>
                <w:b w:val="0"/>
                <w:sz w:val="17"/>
              </w:rPr>
              <w:t>Business application</w:t>
            </w:r>
          </w:p>
        </w:tc>
        <w:tc>
          <w:tcPr>
            <w:tcW w:type="dxa" w:w="7416"/>
            <w:tcMar>
              <w:top w:w="90" w:type="dxa"/>
              <w:start w:w="90" w:type="dxa"/>
              <w:bottom w:w="90" w:type="dxa"/>
              <w:end w:w="90" w:type="dxa"/>
            </w:tcMar>
            <w:vAlign w:val="center"/>
            <w:shd w:fill="EAF2F8"/>
          </w:tcPr>
          <w:p>
            <w:pPr>
              <w:spacing w:after="0"/>
            </w:pPr>
            <w:r/>
            <w:r>
              <w:rPr>
                <w:rFonts w:ascii="Aptos" w:hAnsi="Aptos"/>
                <w:b w:val="0"/>
                <w:sz w:val="17"/>
              </w:rPr>
              <w:t>Apply costing, purchasing, inventory, marketing, customer communication, and review of results.</w:t>
            </w:r>
          </w:p>
        </w:tc>
      </w:tr>
      <w:tr>
        <w:tc>
          <w:tcPr>
            <w:tcW w:type="dxa" w:w="2664"/>
            <w:tcMar>
              <w:top w:w="90" w:type="dxa"/>
              <w:start w:w="90" w:type="dxa"/>
              <w:bottom w:w="90" w:type="dxa"/>
              <w:end w:w="90" w:type="dxa"/>
            </w:tcMar>
            <w:vAlign w:val="center"/>
          </w:tcPr>
          <w:p>
            <w:pPr>
              <w:spacing w:after="0"/>
            </w:pPr>
            <w:r/>
            <w:r>
              <w:rPr>
                <w:rFonts w:ascii="Aptos" w:hAnsi="Aptos"/>
                <w:b w:val="0"/>
                <w:sz w:val="17"/>
              </w:rPr>
              <w:t>Leadership and teamwork</w:t>
            </w:r>
          </w:p>
        </w:tc>
        <w:tc>
          <w:tcPr>
            <w:tcW w:type="dxa" w:w="7416"/>
            <w:tcMar>
              <w:top w:w="90" w:type="dxa"/>
              <w:start w:w="90" w:type="dxa"/>
              <w:bottom w:w="90" w:type="dxa"/>
              <w:end w:w="90" w:type="dxa"/>
            </w:tcMar>
            <w:vAlign w:val="center"/>
          </w:tcPr>
          <w:p>
            <w:pPr>
              <w:spacing w:after="0"/>
            </w:pPr>
            <w:r/>
            <w:r>
              <w:rPr>
                <w:rFonts w:ascii="Aptos" w:hAnsi="Aptos"/>
                <w:b w:val="0"/>
                <w:sz w:val="17"/>
              </w:rPr>
              <w:t>Communicate, coordinate stations, accept feedback, support others, and reflect on performance.</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Learning Before Labor</w:t>
            </w:r>
          </w:p>
          <w:p>
            <w:pPr>
              <w:spacing w:after="0"/>
            </w:pPr>
            <w:r>
              <w:rPr>
                <w:rFonts w:ascii="Aptos" w:hAnsi="Aptos"/>
                <w:sz w:val="18"/>
              </w:rPr>
              <w:t>The Cottage exists to develop students. Client and production needs create authentic pressure, but educational purpose, safety, and appropriate support remain primary.</w:t>
            </w:r>
          </w:p>
        </w:tc>
      </w:tr>
    </w:tbl>
    <w:p>
      <w:pPr>
        <w:spacing w:after="0"/>
      </w:pPr>
    </w:p>
    <w:p>
      <w:pPr>
        <w:pStyle w:val="Heading1"/>
      </w:pPr>
      <w:r>
        <w:t>Chapter 9: Kitchen Management</w:t>
      </w:r>
    </w:p>
    <w:p>
      <w:r>
        <w:t>Kitchen Management is the leadership bridge between culinary production and professional employment. Students move beyond managing their own work to organizing systems that help the entire team succeed.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Leadership area</w:t>
            </w:r>
          </w:p>
        </w:tc>
        <w:tc>
          <w:tcPr>
            <w:tcW w:type="dxa" w:w="7560"/>
            <w:tcMar>
              <w:top w:w="90" w:type="dxa"/>
              <w:start w:w="90" w:type="dxa"/>
              <w:bottom w:w="90" w:type="dxa"/>
              <w:end w:w="90" w:type="dxa"/>
            </w:tcMar>
            <w:vAlign w:val="center"/>
            <w:shd w:fill="1F4E78"/>
          </w:tcPr>
          <w:p>
            <w:pPr>
              <w:spacing w:after="0"/>
            </w:pPr>
            <w:r/>
            <w:r>
              <w:rPr>
                <w:rFonts w:ascii="Aptos" w:hAnsi="Aptos"/>
                <w:b/>
                <w:color w:val="FFFFFF"/>
                <w:sz w:val="17"/>
              </w:rPr>
              <w:t>Expected application</w:t>
            </w:r>
          </w:p>
        </w:tc>
      </w:tr>
      <w:tr>
        <w:tc>
          <w:tcPr>
            <w:tcW w:type="dxa" w:w="2520"/>
            <w:tcMar>
              <w:top w:w="90" w:type="dxa"/>
              <w:start w:w="90" w:type="dxa"/>
              <w:bottom w:w="90" w:type="dxa"/>
              <w:end w:w="90" w:type="dxa"/>
            </w:tcMar>
            <w:vAlign w:val="center"/>
            <w:shd w:fill="EAF2F8"/>
          </w:tcPr>
          <w:p>
            <w:pPr>
              <w:spacing w:after="0"/>
            </w:pPr>
            <w:r/>
            <w:r>
              <w:rPr>
                <w:rFonts w:ascii="Aptos" w:hAnsi="Aptos"/>
                <w:b w:val="0"/>
                <w:sz w:val="17"/>
              </w:rPr>
              <w:t>Kitchen management</w:t>
            </w:r>
          </w:p>
        </w:tc>
        <w:tc>
          <w:tcPr>
            <w:tcW w:type="dxa" w:w="7560"/>
            <w:tcMar>
              <w:top w:w="90" w:type="dxa"/>
              <w:start w:w="90" w:type="dxa"/>
              <w:bottom w:w="90" w:type="dxa"/>
              <w:end w:w="90" w:type="dxa"/>
            </w:tcMar>
            <w:vAlign w:val="center"/>
            <w:shd w:fill="EAF2F8"/>
          </w:tcPr>
          <w:p>
            <w:pPr>
              <w:spacing w:after="0"/>
            </w:pPr>
            <w:r/>
            <w:r>
              <w:rPr>
                <w:rFonts w:ascii="Aptos" w:hAnsi="Aptos"/>
                <w:b w:val="0"/>
                <w:sz w:val="17"/>
              </w:rPr>
              <w:t>Organize work, establish priorities, coordinate production, and protect standards.</w:t>
            </w:r>
          </w:p>
        </w:tc>
      </w:tr>
      <w:tr>
        <w:tc>
          <w:tcPr>
            <w:tcW w:type="dxa" w:w="2520"/>
            <w:tcMar>
              <w:top w:w="90" w:type="dxa"/>
              <w:start w:w="90" w:type="dxa"/>
              <w:bottom w:w="90" w:type="dxa"/>
              <w:end w:w="90" w:type="dxa"/>
            </w:tcMar>
            <w:vAlign w:val="center"/>
          </w:tcPr>
          <w:p>
            <w:pPr>
              <w:spacing w:after="0"/>
            </w:pPr>
            <w:r/>
            <w:r>
              <w:rPr>
                <w:rFonts w:ascii="Aptos" w:hAnsi="Aptos"/>
                <w:b w:val="0"/>
                <w:sz w:val="17"/>
              </w:rPr>
              <w:t>Supervision</w:t>
            </w:r>
          </w:p>
        </w:tc>
        <w:tc>
          <w:tcPr>
            <w:tcW w:type="dxa" w:w="7560"/>
            <w:tcMar>
              <w:top w:w="90" w:type="dxa"/>
              <w:start w:w="90" w:type="dxa"/>
              <w:bottom w:w="90" w:type="dxa"/>
              <w:end w:w="90" w:type="dxa"/>
            </w:tcMar>
            <w:vAlign w:val="center"/>
          </w:tcPr>
          <w:p>
            <w:pPr>
              <w:spacing w:after="0"/>
            </w:pPr>
            <w:r/>
            <w:r>
              <w:rPr>
                <w:rFonts w:ascii="Aptos" w:hAnsi="Aptos"/>
                <w:b w:val="0"/>
                <w:sz w:val="17"/>
              </w:rPr>
              <w:t>Give clear direction, observe performance, provide feedback, and respond appropriately to concerns.</w:t>
            </w:r>
          </w:p>
        </w:tc>
      </w:tr>
      <w:tr>
        <w:tc>
          <w:tcPr>
            <w:tcW w:type="dxa" w:w="2520"/>
            <w:tcMar>
              <w:top w:w="90" w:type="dxa"/>
              <w:start w:w="90" w:type="dxa"/>
              <w:bottom w:w="90" w:type="dxa"/>
              <w:end w:w="90" w:type="dxa"/>
            </w:tcMar>
            <w:vAlign w:val="center"/>
            <w:shd w:fill="EAF2F8"/>
          </w:tcPr>
          <w:p>
            <w:pPr>
              <w:spacing w:after="0"/>
            </w:pPr>
            <w:r/>
            <w:r>
              <w:rPr>
                <w:rFonts w:ascii="Aptos" w:hAnsi="Aptos"/>
                <w:b w:val="0"/>
                <w:sz w:val="17"/>
              </w:rPr>
              <w:t>Operational judgment</w:t>
            </w:r>
          </w:p>
        </w:tc>
        <w:tc>
          <w:tcPr>
            <w:tcW w:type="dxa" w:w="7560"/>
            <w:tcMar>
              <w:top w:w="90" w:type="dxa"/>
              <w:start w:w="90" w:type="dxa"/>
              <w:bottom w:w="90" w:type="dxa"/>
              <w:end w:w="90" w:type="dxa"/>
            </w:tcMar>
            <w:vAlign w:val="center"/>
            <w:shd w:fill="EAF2F8"/>
          </w:tcPr>
          <w:p>
            <w:pPr>
              <w:spacing w:after="0"/>
            </w:pPr>
            <w:r/>
            <w:r>
              <w:rPr>
                <w:rFonts w:ascii="Aptos" w:hAnsi="Aptos"/>
                <w:b w:val="0"/>
                <w:sz w:val="17"/>
              </w:rPr>
              <w:t>Use schedules, inventory, purchasing, costing, sanitation, and quality information to make decisions.</w:t>
            </w:r>
          </w:p>
        </w:tc>
      </w:tr>
      <w:tr>
        <w:tc>
          <w:tcPr>
            <w:tcW w:type="dxa" w:w="2520"/>
            <w:tcMar>
              <w:top w:w="90" w:type="dxa"/>
              <w:start w:w="90" w:type="dxa"/>
              <w:bottom w:w="90" w:type="dxa"/>
              <w:end w:w="90" w:type="dxa"/>
            </w:tcMar>
            <w:vAlign w:val="center"/>
          </w:tcPr>
          <w:p>
            <w:pPr>
              <w:spacing w:after="0"/>
            </w:pPr>
            <w:r/>
            <w:r>
              <w:rPr>
                <w:rFonts w:ascii="Aptos" w:hAnsi="Aptos"/>
                <w:b w:val="0"/>
                <w:sz w:val="17"/>
              </w:rPr>
              <w:t>Career readiness</w:t>
            </w:r>
          </w:p>
        </w:tc>
        <w:tc>
          <w:tcPr>
            <w:tcW w:type="dxa" w:w="7560"/>
            <w:tcMar>
              <w:top w:w="90" w:type="dxa"/>
              <w:start w:w="90" w:type="dxa"/>
              <w:bottom w:w="90" w:type="dxa"/>
              <w:end w:w="90" w:type="dxa"/>
            </w:tcMar>
            <w:vAlign w:val="center"/>
          </w:tcPr>
          <w:p>
            <w:pPr>
              <w:spacing w:after="0"/>
            </w:pPr>
            <w:r/>
            <w:r>
              <w:rPr>
                <w:rFonts w:ascii="Aptos" w:hAnsi="Aptos"/>
                <w:b w:val="0"/>
                <w:sz w:val="17"/>
              </w:rPr>
              <w:t>Prepare a résumé, cover letter, portfolio, application materials, interview evidence, and transition plan.</w:t>
            </w:r>
          </w:p>
        </w:tc>
      </w:tr>
      <w:tr>
        <w:tc>
          <w:tcPr>
            <w:tcW w:type="dxa" w:w="2520"/>
            <w:tcMar>
              <w:top w:w="90" w:type="dxa"/>
              <w:start w:w="90" w:type="dxa"/>
              <w:bottom w:w="90" w:type="dxa"/>
              <w:end w:w="90" w:type="dxa"/>
            </w:tcMar>
            <w:vAlign w:val="center"/>
            <w:shd w:fill="EAF2F8"/>
          </w:tcPr>
          <w:p>
            <w:pPr>
              <w:spacing w:after="0"/>
            </w:pPr>
            <w:r/>
            <w:r>
              <w:rPr>
                <w:rFonts w:ascii="Aptos" w:hAnsi="Aptos"/>
                <w:b w:val="0"/>
                <w:sz w:val="17"/>
              </w:rPr>
              <w:t>Gateway 5</w:t>
            </w:r>
          </w:p>
        </w:tc>
        <w:tc>
          <w:tcPr>
            <w:tcW w:type="dxa" w:w="7560"/>
            <w:tcMar>
              <w:top w:w="90" w:type="dxa"/>
              <w:start w:w="90" w:type="dxa"/>
              <w:bottom w:w="90" w:type="dxa"/>
              <w:end w:w="90" w:type="dxa"/>
            </w:tcMar>
            <w:vAlign w:val="center"/>
            <w:shd w:fill="EAF2F8"/>
          </w:tcPr>
          <w:p>
            <w:pPr>
              <w:spacing w:after="0"/>
            </w:pPr>
            <w:r/>
            <w:r>
              <w:rPr>
                <w:rFonts w:ascii="Aptos" w:hAnsi="Aptos"/>
                <w:b w:val="0"/>
                <w:sz w:val="17"/>
              </w:rPr>
              <w:t>Demonstrate professional, leadership, and career readiness and earn Travel Rights.</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Build Leaders, Not Just Cooks</w:t>
            </w:r>
          </w:p>
          <w:p>
            <w:pPr>
              <w:spacing w:after="0"/>
            </w:pPr>
            <w:r>
              <w:rPr>
                <w:rFonts w:ascii="Aptos" w:hAnsi="Aptos"/>
                <w:sz w:val="18"/>
              </w:rPr>
              <w:t>Technical competence is essential. The pathway also develops people who can communicate expectations, organize systems, support a team, make sound decisions, and accept responsibility.</w:t>
            </w:r>
          </w:p>
        </w:tc>
      </w:tr>
    </w:tbl>
    <w:p>
      <w:pPr>
        <w:spacing w:after="0"/>
      </w:pPr>
    </w:p>
    <w:p>
      <w:pPr>
        <w:pStyle w:val="Heading1"/>
      </w:pPr>
      <w:r>
        <w:t>Chapter 10: Senior External Work-Based Learning</w:t>
      </w:r>
    </w:p>
    <w:p>
      <w:r>
        <w:t>External Work-Based Learning is a separate 1.0-credit senior course. Paid employment, unpaid internship, or another approved long-term placement may qualify when duties, supervision, and the training plan connect to culinary, hospitality, food systems, retail food operations, nutrition, research, product development, event operations, food media, or a related approved field.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tcMar>
              <w:top w:w="90" w:type="dxa"/>
              <w:start w:w="90" w:type="dxa"/>
              <w:bottom w:w="90" w:type="dxa"/>
              <w:end w:w="90" w:type="dxa"/>
            </w:tcMar>
            <w:vAlign w:val="center"/>
            <w:shd w:fill="1F4E78"/>
          </w:tcPr>
          <w:p>
            <w:pPr>
              <w:spacing w:after="0"/>
            </w:pPr>
            <w:r/>
            <w:r>
              <w:rPr>
                <w:rFonts w:ascii="Aptos" w:hAnsi="Aptos"/>
                <w:b/>
                <w:color w:val="FFFFFF"/>
                <w:sz w:val="17"/>
              </w:rPr>
              <w:t>Requirement</w:t>
            </w:r>
          </w:p>
        </w:tc>
        <w:tc>
          <w:tcPr>
            <w:tcW w:type="dxa" w:w="7488"/>
            <w:tcMar>
              <w:top w:w="90" w:type="dxa"/>
              <w:start w:w="90" w:type="dxa"/>
              <w:bottom w:w="90" w:type="dxa"/>
              <w:end w:w="90" w:type="dxa"/>
            </w:tcMar>
            <w:vAlign w:val="center"/>
            <w:shd w:fill="1F4E78"/>
          </w:tcPr>
          <w:p>
            <w:pPr>
              <w:spacing w:after="0"/>
            </w:pPr>
            <w:r/>
            <w:r>
              <w:rPr>
                <w:rFonts w:ascii="Aptos" w:hAnsi="Aptos"/>
                <w:b/>
                <w:color w:val="FFFFFF"/>
                <w:sz w:val="17"/>
              </w:rPr>
              <w:t>Standard</w:t>
            </w:r>
          </w:p>
        </w:tc>
      </w:tr>
      <w:tr>
        <w:tc>
          <w:tcPr>
            <w:tcW w:type="dxa" w:w="2592"/>
            <w:tcMar>
              <w:top w:w="90" w:type="dxa"/>
              <w:start w:w="90" w:type="dxa"/>
              <w:bottom w:w="90" w:type="dxa"/>
              <w:end w:w="90" w:type="dxa"/>
            </w:tcMar>
            <w:vAlign w:val="center"/>
            <w:shd w:fill="EAF2F8"/>
          </w:tcPr>
          <w:p>
            <w:pPr>
              <w:spacing w:after="0"/>
            </w:pPr>
            <w:r/>
            <w:r>
              <w:rPr>
                <w:rFonts w:ascii="Aptos" w:hAnsi="Aptos"/>
                <w:b w:val="0"/>
                <w:sz w:val="17"/>
              </w:rPr>
              <w:t>Gateway 5</w:t>
            </w:r>
          </w:p>
        </w:tc>
        <w:tc>
          <w:tcPr>
            <w:tcW w:type="dxa" w:w="7488"/>
            <w:tcMar>
              <w:top w:w="90" w:type="dxa"/>
              <w:start w:w="90" w:type="dxa"/>
              <w:bottom w:w="90" w:type="dxa"/>
              <w:end w:w="90" w:type="dxa"/>
            </w:tcMar>
            <w:vAlign w:val="center"/>
            <w:shd w:fill="EAF2F8"/>
          </w:tcPr>
          <w:p>
            <w:pPr>
              <w:spacing w:after="0"/>
            </w:pPr>
            <w:r/>
            <w:r>
              <w:rPr>
                <w:rFonts w:ascii="Aptos" w:hAnsi="Aptos"/>
                <w:b w:val="0"/>
                <w:sz w:val="17"/>
              </w:rPr>
              <w:t>The student has completed the full school-based course sequence and earned External WBL Educational Readiness.</w:t>
            </w:r>
          </w:p>
        </w:tc>
      </w:tr>
      <w:tr>
        <w:tc>
          <w:tcPr>
            <w:tcW w:type="dxa" w:w="2592"/>
            <w:tcMar>
              <w:top w:w="90" w:type="dxa"/>
              <w:start w:w="90" w:type="dxa"/>
              <w:bottom w:w="90" w:type="dxa"/>
              <w:end w:w="90" w:type="dxa"/>
            </w:tcMar>
            <w:vAlign w:val="center"/>
          </w:tcPr>
          <w:p>
            <w:pPr>
              <w:spacing w:after="0"/>
            </w:pPr>
            <w:r/>
            <w:r>
              <w:rPr>
                <w:rFonts w:ascii="Aptos" w:hAnsi="Aptos"/>
                <w:b w:val="0"/>
                <w:sz w:val="17"/>
              </w:rPr>
              <w:t>Approved training station</w:t>
            </w:r>
          </w:p>
        </w:tc>
        <w:tc>
          <w:tcPr>
            <w:tcW w:type="dxa" w:w="7488"/>
            <w:tcMar>
              <w:top w:w="90" w:type="dxa"/>
              <w:start w:w="90" w:type="dxa"/>
              <w:bottom w:w="90" w:type="dxa"/>
              <w:end w:w="90" w:type="dxa"/>
            </w:tcMar>
            <w:vAlign w:val="center"/>
          </w:tcPr>
          <w:p>
            <w:pPr>
              <w:spacing w:after="0"/>
            </w:pPr>
            <w:r/>
            <w:r>
              <w:rPr>
                <w:rFonts w:ascii="Aptos" w:hAnsi="Aptos"/>
                <w:b w:val="0"/>
                <w:sz w:val="17"/>
              </w:rPr>
              <w:t>The site, mentor, duties, schedule, supervision, safety, support, and documentation are approved.</w:t>
            </w:r>
          </w:p>
        </w:tc>
      </w:tr>
      <w:tr>
        <w:tc>
          <w:tcPr>
            <w:tcW w:type="dxa" w:w="2592"/>
            <w:tcMar>
              <w:top w:w="90" w:type="dxa"/>
              <w:start w:w="90" w:type="dxa"/>
              <w:bottom w:w="90" w:type="dxa"/>
              <w:end w:w="90" w:type="dxa"/>
            </w:tcMar>
            <w:vAlign w:val="center"/>
            <w:shd w:fill="EAF2F8"/>
          </w:tcPr>
          <w:p>
            <w:pPr>
              <w:spacing w:after="0"/>
            </w:pPr>
            <w:r/>
            <w:r>
              <w:rPr>
                <w:rFonts w:ascii="Aptos" w:hAnsi="Aptos"/>
                <w:b w:val="0"/>
                <w:sz w:val="17"/>
              </w:rPr>
              <w:t>300 verified workplace hours</w:t>
            </w:r>
          </w:p>
        </w:tc>
        <w:tc>
          <w:tcPr>
            <w:tcW w:type="dxa" w:w="7488"/>
            <w:tcMar>
              <w:top w:w="90" w:type="dxa"/>
              <w:start w:w="90" w:type="dxa"/>
              <w:bottom w:w="90" w:type="dxa"/>
              <w:end w:w="90" w:type="dxa"/>
            </w:tcMar>
            <w:vAlign w:val="center"/>
            <w:shd w:fill="EAF2F8"/>
          </w:tcPr>
          <w:p>
            <w:pPr>
              <w:spacing w:after="0"/>
            </w:pPr>
            <w:r/>
            <w:r>
              <w:rPr>
                <w:rFonts w:ascii="Aptos" w:hAnsi="Aptos"/>
                <w:b w:val="0"/>
                <w:sz w:val="17"/>
              </w:rPr>
              <w:t>Hours are completed within the approved course window and cannot be replaced by other evidence.</w:t>
            </w:r>
          </w:p>
        </w:tc>
      </w:tr>
      <w:tr>
        <w:tc>
          <w:tcPr>
            <w:tcW w:type="dxa" w:w="2592"/>
            <w:tcMar>
              <w:top w:w="90" w:type="dxa"/>
              <w:start w:w="90" w:type="dxa"/>
              <w:bottom w:w="90" w:type="dxa"/>
              <w:end w:w="90" w:type="dxa"/>
            </w:tcMar>
            <w:vAlign w:val="center"/>
          </w:tcPr>
          <w:p>
            <w:pPr>
              <w:spacing w:after="0"/>
            </w:pPr>
            <w:r/>
            <w:r>
              <w:rPr>
                <w:rFonts w:ascii="Aptos" w:hAnsi="Aptos"/>
                <w:b w:val="0"/>
                <w:sz w:val="17"/>
              </w:rPr>
              <w:t>Portfolio</w:t>
            </w:r>
          </w:p>
        </w:tc>
        <w:tc>
          <w:tcPr>
            <w:tcW w:type="dxa" w:w="7488"/>
            <w:tcMar>
              <w:top w:w="90" w:type="dxa"/>
              <w:start w:w="90" w:type="dxa"/>
              <w:bottom w:w="90" w:type="dxa"/>
              <w:end w:w="90" w:type="dxa"/>
            </w:tcMar>
            <w:vAlign w:val="center"/>
          </w:tcPr>
          <w:p>
            <w:pPr>
              <w:spacing w:after="0"/>
            </w:pPr>
            <w:r/>
            <w:r>
              <w:rPr>
                <w:rFonts w:ascii="Aptos" w:hAnsi="Aptos"/>
                <w:b w:val="0"/>
                <w:sz w:val="17"/>
              </w:rPr>
              <w:t>The student completes common required assignments and individualized placement evidence.</w:t>
            </w:r>
          </w:p>
        </w:tc>
      </w:tr>
      <w:tr>
        <w:tc>
          <w:tcPr>
            <w:tcW w:type="dxa" w:w="2592"/>
            <w:tcMar>
              <w:top w:w="90" w:type="dxa"/>
              <w:start w:w="90" w:type="dxa"/>
              <w:bottom w:w="90" w:type="dxa"/>
              <w:end w:w="90" w:type="dxa"/>
            </w:tcMar>
            <w:vAlign w:val="center"/>
            <w:shd w:fill="EAF2F8"/>
          </w:tcPr>
          <w:p>
            <w:pPr>
              <w:spacing w:after="0"/>
            </w:pPr>
            <w:r/>
            <w:r>
              <w:rPr>
                <w:rFonts w:ascii="Aptos" w:hAnsi="Aptos"/>
                <w:b w:val="0"/>
                <w:sz w:val="17"/>
              </w:rPr>
              <w:t>Employer evaluation</w:t>
            </w:r>
          </w:p>
        </w:tc>
        <w:tc>
          <w:tcPr>
            <w:tcW w:type="dxa" w:w="7488"/>
            <w:tcMar>
              <w:top w:w="90" w:type="dxa"/>
              <w:start w:w="90" w:type="dxa"/>
              <w:bottom w:w="90" w:type="dxa"/>
              <w:end w:w="90" w:type="dxa"/>
            </w:tcMar>
            <w:vAlign w:val="center"/>
            <w:shd w:fill="EAF2F8"/>
          </w:tcPr>
          <w:p>
            <w:pPr>
              <w:spacing w:after="0"/>
            </w:pPr>
            <w:r/>
            <w:r>
              <w:rPr>
                <w:rFonts w:ascii="Aptos" w:hAnsi="Aptos"/>
                <w:b w:val="0"/>
                <w:sz w:val="17"/>
              </w:rPr>
              <w:t>The workplace mentor provides evidence of professional performance.</w:t>
            </w:r>
          </w:p>
        </w:tc>
      </w:tr>
      <w:tr>
        <w:tc>
          <w:tcPr>
            <w:tcW w:type="dxa" w:w="2592"/>
            <w:tcMar>
              <w:top w:w="90" w:type="dxa"/>
              <w:start w:w="90" w:type="dxa"/>
              <w:bottom w:w="90" w:type="dxa"/>
              <w:end w:w="90" w:type="dxa"/>
            </w:tcMar>
            <w:vAlign w:val="center"/>
          </w:tcPr>
          <w:p>
            <w:pPr>
              <w:spacing w:after="0"/>
            </w:pPr>
            <w:r/>
            <w:r>
              <w:rPr>
                <w:rFonts w:ascii="Aptos" w:hAnsi="Aptos"/>
                <w:b w:val="0"/>
                <w:sz w:val="17"/>
              </w:rPr>
              <w:t>Coordinator evaluation</w:t>
            </w:r>
          </w:p>
        </w:tc>
        <w:tc>
          <w:tcPr>
            <w:tcW w:type="dxa" w:w="7488"/>
            <w:tcMar>
              <w:top w:w="90" w:type="dxa"/>
              <w:start w:w="90" w:type="dxa"/>
              <w:bottom w:w="90" w:type="dxa"/>
              <w:end w:w="90" w:type="dxa"/>
            </w:tcMar>
            <w:vAlign w:val="center"/>
          </w:tcPr>
          <w:p>
            <w:pPr>
              <w:spacing w:after="0"/>
            </w:pPr>
            <w:r/>
            <w:r>
              <w:rPr>
                <w:rFonts w:ascii="Aptos" w:hAnsi="Aptos"/>
                <w:b w:val="0"/>
                <w:sz w:val="17"/>
              </w:rPr>
              <w:t>The credentialed WBL Coordinator determines the final standards-based evaluation.</w:t>
            </w:r>
          </w:p>
        </w:tc>
      </w:tr>
      <w:tr>
        <w:tc>
          <w:tcPr>
            <w:tcW w:type="dxa" w:w="2592"/>
            <w:tcMar>
              <w:top w:w="90" w:type="dxa"/>
              <w:start w:w="90" w:type="dxa"/>
              <w:bottom w:w="90" w:type="dxa"/>
              <w:end w:w="90" w:type="dxa"/>
            </w:tcMar>
            <w:vAlign w:val="center"/>
            <w:shd w:fill="EAF2F8"/>
          </w:tcPr>
          <w:p>
            <w:pPr>
              <w:spacing w:after="0"/>
            </w:pPr>
            <w:r/>
            <w:r>
              <w:rPr>
                <w:rFonts w:ascii="Aptos" w:hAnsi="Aptos"/>
                <w:b w:val="0"/>
                <w:sz w:val="17"/>
              </w:rPr>
              <w:t>Final presentation</w:t>
            </w:r>
          </w:p>
        </w:tc>
        <w:tc>
          <w:tcPr>
            <w:tcW w:type="dxa" w:w="7488"/>
            <w:tcMar>
              <w:top w:w="90" w:type="dxa"/>
              <w:start w:w="90" w:type="dxa"/>
              <w:bottom w:w="90" w:type="dxa"/>
              <w:end w:w="90" w:type="dxa"/>
            </w:tcMar>
            <w:vAlign w:val="center"/>
            <w:shd w:fill="EAF2F8"/>
          </w:tcPr>
          <w:p>
            <w:pPr>
              <w:spacing w:after="0"/>
            </w:pPr>
            <w:r/>
            <w:r>
              <w:rPr>
                <w:rFonts w:ascii="Aptos" w:hAnsi="Aptos"/>
                <w:b w:val="0"/>
                <w:sz w:val="17"/>
              </w:rPr>
              <w:t>The student explains learning, growth, evidence, feedback, and next steps.</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Travel Rights Are Earned</w:t>
            </w:r>
          </w:p>
          <w:p>
            <w:pPr>
              <w:spacing w:after="0"/>
            </w:pPr>
            <w:r>
              <w:rPr>
                <w:rFonts w:ascii="Aptos" w:hAnsi="Aptos"/>
                <w:sz w:val="18"/>
              </w:rPr>
              <w:t>Students represent the Culinary Pathway beyond the classroom only after demonstrating the readiness, professionalism, judgment, and responsibility required for an approved placement.</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4F8FA"/>
            <w:tcMar>
              <w:top w:w="115" w:type="dxa"/>
              <w:start w:w="130" w:type="dxa"/>
              <w:bottom w:w="115" w:type="dxa"/>
              <w:end w:w="130" w:type="dxa"/>
            </w:tcMar>
          </w:tcPr>
          <w:p>
            <w:pPr>
              <w:spacing w:after="30"/>
            </w:pPr>
            <w:r/>
            <w:r>
              <w:rPr>
                <w:rFonts w:ascii="Aptos" w:hAnsi="Aptos"/>
                <w:b/>
                <w:color w:val="1C8C8C"/>
                <w:sz w:val="20"/>
              </w:rPr>
              <w:t>External WBL Control</w:t>
            </w:r>
          </w:p>
          <w:p>
            <w:pPr>
              <w:spacing w:after="0"/>
            </w:pPr>
            <w:r>
              <w:rPr>
                <w:rFonts w:ascii="Aptos" w:hAnsi="Aptos"/>
                <w:sz w:val="18"/>
              </w:rPr>
              <w:t>No student begins school-supervised external work until the student, site, duties, schedule, supervision, support, transportation, documentation, insurance, safety preparation, and program requirements are approved.</w:t>
            </w:r>
          </w:p>
        </w:tc>
      </w:tr>
    </w:tbl>
    <w:p>
      <w:pPr>
        <w:spacing w:after="0"/>
      </w:pPr>
    </w:p>
    <w:p>
      <w:pPr>
        <w:pStyle w:val="Heading1"/>
      </w:pPr>
      <w:r>
        <w:t>Chapter 11: Portfolio, Reflection, and Transition</w:t>
      </w:r>
    </w:p>
    <w:p>
      <w:r>
        <w:t>The portfolio is built throughout the senior year. It applies common standards across placements while allowing evidence to reflect the student's actual duties and professional setting.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tcMar>
              <w:top w:w="90" w:type="dxa"/>
              <w:start w:w="90" w:type="dxa"/>
              <w:bottom w:w="90" w:type="dxa"/>
              <w:end w:w="90" w:type="dxa"/>
            </w:tcMar>
            <w:vAlign w:val="center"/>
            <w:shd w:fill="1F4E78"/>
          </w:tcPr>
          <w:p>
            <w:pPr>
              <w:spacing w:after="0"/>
            </w:pPr>
            <w:r/>
            <w:r>
              <w:rPr>
                <w:rFonts w:ascii="Aptos" w:hAnsi="Aptos"/>
                <w:b/>
                <w:color w:val="FFFFFF"/>
                <w:sz w:val="17"/>
              </w:rPr>
              <w:t>Portfolio component</w:t>
            </w:r>
          </w:p>
        </w:tc>
        <w:tc>
          <w:tcPr>
            <w:tcW w:type="dxa" w:w="7488"/>
            <w:tcMar>
              <w:top w:w="90" w:type="dxa"/>
              <w:start w:w="90" w:type="dxa"/>
              <w:bottom w:w="90" w:type="dxa"/>
              <w:end w:w="90" w:type="dxa"/>
            </w:tcMar>
            <w:vAlign w:val="center"/>
            <w:shd w:fill="1F4E78"/>
          </w:tcPr>
          <w:p>
            <w:pPr>
              <w:spacing w:after="0"/>
            </w:pPr>
            <w:r/>
            <w:r>
              <w:rPr>
                <w:rFonts w:ascii="Aptos" w:hAnsi="Aptos"/>
                <w:b/>
                <w:color w:val="FFFFFF"/>
                <w:sz w:val="17"/>
              </w:rPr>
              <w:t>Purpose</w:t>
            </w:r>
          </w:p>
        </w:tc>
      </w:tr>
      <w:tr>
        <w:tc>
          <w:tcPr>
            <w:tcW w:type="dxa" w:w="2592"/>
            <w:tcMar>
              <w:top w:w="90" w:type="dxa"/>
              <w:start w:w="90" w:type="dxa"/>
              <w:bottom w:w="90" w:type="dxa"/>
              <w:end w:w="90" w:type="dxa"/>
            </w:tcMar>
            <w:vAlign w:val="center"/>
            <w:shd w:fill="EAF2F8"/>
          </w:tcPr>
          <w:p>
            <w:pPr>
              <w:spacing w:after="0"/>
            </w:pPr>
            <w:r/>
            <w:r>
              <w:rPr>
                <w:rFonts w:ascii="Aptos" w:hAnsi="Aptos"/>
                <w:b w:val="0"/>
                <w:sz w:val="17"/>
              </w:rPr>
              <w:t>Common assignments</w:t>
            </w:r>
          </w:p>
        </w:tc>
        <w:tc>
          <w:tcPr>
            <w:tcW w:type="dxa" w:w="7488"/>
            <w:tcMar>
              <w:top w:w="90" w:type="dxa"/>
              <w:start w:w="90" w:type="dxa"/>
              <w:bottom w:w="90" w:type="dxa"/>
              <w:end w:w="90" w:type="dxa"/>
            </w:tcMar>
            <w:vAlign w:val="center"/>
            <w:shd w:fill="EAF2F8"/>
          </w:tcPr>
          <w:p>
            <w:pPr>
              <w:spacing w:after="0"/>
            </w:pPr>
            <w:r/>
            <w:r>
              <w:rPr>
                <w:rFonts w:ascii="Aptos" w:hAnsi="Aptos"/>
                <w:b w:val="0"/>
                <w:sz w:val="17"/>
              </w:rPr>
              <w:t>Provide consistent evidence across students and worksites.</w:t>
            </w:r>
          </w:p>
        </w:tc>
      </w:tr>
      <w:tr>
        <w:tc>
          <w:tcPr>
            <w:tcW w:type="dxa" w:w="2592"/>
            <w:tcMar>
              <w:top w:w="90" w:type="dxa"/>
              <w:start w:w="90" w:type="dxa"/>
              <w:bottom w:w="90" w:type="dxa"/>
              <w:end w:w="90" w:type="dxa"/>
            </w:tcMar>
            <w:vAlign w:val="center"/>
          </w:tcPr>
          <w:p>
            <w:pPr>
              <w:spacing w:after="0"/>
            </w:pPr>
            <w:r/>
            <w:r>
              <w:rPr>
                <w:rFonts w:ascii="Aptos" w:hAnsi="Aptos"/>
                <w:b w:val="0"/>
                <w:sz w:val="17"/>
              </w:rPr>
              <w:t>Individualized evidence</w:t>
            </w:r>
          </w:p>
        </w:tc>
        <w:tc>
          <w:tcPr>
            <w:tcW w:type="dxa" w:w="7488"/>
            <w:tcMar>
              <w:top w:w="90" w:type="dxa"/>
              <w:start w:w="90" w:type="dxa"/>
              <w:bottom w:w="90" w:type="dxa"/>
              <w:end w:w="90" w:type="dxa"/>
            </w:tcMar>
            <w:vAlign w:val="center"/>
          </w:tcPr>
          <w:p>
            <w:pPr>
              <w:spacing w:after="0"/>
            </w:pPr>
            <w:r/>
            <w:r>
              <w:rPr>
                <w:rFonts w:ascii="Aptos" w:hAnsi="Aptos"/>
                <w:b w:val="0"/>
                <w:sz w:val="17"/>
              </w:rPr>
              <w:t>Document actual duties, products, projects, problem solving, and increasing responsibility.</w:t>
            </w:r>
          </w:p>
        </w:tc>
      </w:tr>
      <w:tr>
        <w:tc>
          <w:tcPr>
            <w:tcW w:type="dxa" w:w="2592"/>
            <w:tcMar>
              <w:top w:w="90" w:type="dxa"/>
              <w:start w:w="90" w:type="dxa"/>
              <w:bottom w:w="90" w:type="dxa"/>
              <w:end w:w="90" w:type="dxa"/>
            </w:tcMar>
            <w:vAlign w:val="center"/>
            <w:shd w:fill="EAF2F8"/>
          </w:tcPr>
          <w:p>
            <w:pPr>
              <w:spacing w:after="0"/>
            </w:pPr>
            <w:r/>
            <w:r>
              <w:rPr>
                <w:rFonts w:ascii="Aptos" w:hAnsi="Aptos"/>
                <w:b w:val="0"/>
                <w:sz w:val="17"/>
              </w:rPr>
              <w:t>Employer feedback</w:t>
            </w:r>
          </w:p>
        </w:tc>
        <w:tc>
          <w:tcPr>
            <w:tcW w:type="dxa" w:w="7488"/>
            <w:tcMar>
              <w:top w:w="90" w:type="dxa"/>
              <w:start w:w="90" w:type="dxa"/>
              <w:bottom w:w="90" w:type="dxa"/>
              <w:end w:w="90" w:type="dxa"/>
            </w:tcMar>
            <w:vAlign w:val="center"/>
            <w:shd w:fill="EAF2F8"/>
          </w:tcPr>
          <w:p>
            <w:pPr>
              <w:spacing w:after="0"/>
            </w:pPr>
            <w:r/>
            <w:r>
              <w:rPr>
                <w:rFonts w:ascii="Aptos" w:hAnsi="Aptos"/>
                <w:b w:val="0"/>
                <w:sz w:val="17"/>
              </w:rPr>
              <w:t>Add workplace evidence to the student's record.</w:t>
            </w:r>
          </w:p>
        </w:tc>
      </w:tr>
      <w:tr>
        <w:tc>
          <w:tcPr>
            <w:tcW w:type="dxa" w:w="2592"/>
            <w:tcMar>
              <w:top w:w="90" w:type="dxa"/>
              <w:start w:w="90" w:type="dxa"/>
              <w:bottom w:w="90" w:type="dxa"/>
              <w:end w:w="90" w:type="dxa"/>
            </w:tcMar>
            <w:vAlign w:val="center"/>
          </w:tcPr>
          <w:p>
            <w:pPr>
              <w:spacing w:after="0"/>
            </w:pPr>
            <w:r/>
            <w:r>
              <w:rPr>
                <w:rFonts w:ascii="Aptos" w:hAnsi="Aptos"/>
                <w:b w:val="0"/>
                <w:sz w:val="17"/>
              </w:rPr>
              <w:t>Coordinator evaluation</w:t>
            </w:r>
          </w:p>
        </w:tc>
        <w:tc>
          <w:tcPr>
            <w:tcW w:type="dxa" w:w="7488"/>
            <w:tcMar>
              <w:top w:w="90" w:type="dxa"/>
              <w:start w:w="90" w:type="dxa"/>
              <w:bottom w:w="90" w:type="dxa"/>
              <w:end w:w="90" w:type="dxa"/>
            </w:tcMar>
            <w:vAlign w:val="center"/>
          </w:tcPr>
          <w:p>
            <w:pPr>
              <w:spacing w:after="0"/>
            </w:pPr>
            <w:r/>
            <w:r>
              <w:rPr>
                <w:rFonts w:ascii="Aptos" w:hAnsi="Aptos"/>
                <w:b w:val="0"/>
                <w:sz w:val="17"/>
              </w:rPr>
              <w:t>Connect evidence to pathway standards and determine the final course result.</w:t>
            </w:r>
          </w:p>
        </w:tc>
      </w:tr>
      <w:tr>
        <w:tc>
          <w:tcPr>
            <w:tcW w:type="dxa" w:w="2592"/>
            <w:tcMar>
              <w:top w:w="90" w:type="dxa"/>
              <w:start w:w="90" w:type="dxa"/>
              <w:bottom w:w="90" w:type="dxa"/>
              <w:end w:w="90" w:type="dxa"/>
            </w:tcMar>
            <w:vAlign w:val="center"/>
            <w:shd w:fill="EAF2F8"/>
          </w:tcPr>
          <w:p>
            <w:pPr>
              <w:spacing w:after="0"/>
            </w:pPr>
            <w:r/>
            <w:r>
              <w:rPr>
                <w:rFonts w:ascii="Aptos" w:hAnsi="Aptos"/>
                <w:b w:val="0"/>
                <w:sz w:val="17"/>
              </w:rPr>
              <w:t>Student reflection</w:t>
            </w:r>
          </w:p>
        </w:tc>
        <w:tc>
          <w:tcPr>
            <w:tcW w:type="dxa" w:w="7488"/>
            <w:tcMar>
              <w:top w:w="90" w:type="dxa"/>
              <w:start w:w="90" w:type="dxa"/>
              <w:bottom w:w="90" w:type="dxa"/>
              <w:end w:w="90" w:type="dxa"/>
            </w:tcMar>
            <w:vAlign w:val="center"/>
            <w:shd w:fill="EAF2F8"/>
          </w:tcPr>
          <w:p>
            <w:pPr>
              <w:spacing w:after="0"/>
            </w:pPr>
            <w:r/>
            <w:r>
              <w:rPr>
                <w:rFonts w:ascii="Aptos" w:hAnsi="Aptos"/>
                <w:b w:val="0"/>
                <w:sz w:val="17"/>
              </w:rPr>
              <w:t>Explain decisions, feedback, growth, professional identity, and next action.</w:t>
            </w:r>
          </w:p>
        </w:tc>
      </w:tr>
      <w:tr>
        <w:tc>
          <w:tcPr>
            <w:tcW w:type="dxa" w:w="2592"/>
            <w:tcMar>
              <w:top w:w="90" w:type="dxa"/>
              <w:start w:w="90" w:type="dxa"/>
              <w:bottom w:w="90" w:type="dxa"/>
              <w:end w:w="90" w:type="dxa"/>
            </w:tcMar>
            <w:vAlign w:val="center"/>
          </w:tcPr>
          <w:p>
            <w:pPr>
              <w:spacing w:after="0"/>
            </w:pPr>
            <w:r/>
            <w:r>
              <w:rPr>
                <w:rFonts w:ascii="Aptos" w:hAnsi="Aptos"/>
                <w:b w:val="0"/>
                <w:sz w:val="17"/>
              </w:rPr>
              <w:t>Final presentation</w:t>
            </w:r>
          </w:p>
        </w:tc>
        <w:tc>
          <w:tcPr>
            <w:tcW w:type="dxa" w:w="7488"/>
            <w:tcMar>
              <w:top w:w="90" w:type="dxa"/>
              <w:start w:w="90" w:type="dxa"/>
              <w:bottom w:w="90" w:type="dxa"/>
              <w:end w:w="90" w:type="dxa"/>
            </w:tcMar>
            <w:vAlign w:val="center"/>
          </w:tcPr>
          <w:p>
            <w:pPr>
              <w:spacing w:after="0"/>
            </w:pPr>
            <w:r/>
            <w:r>
              <w:rPr>
                <w:rFonts w:ascii="Aptos" w:hAnsi="Aptos"/>
                <w:b w:val="0"/>
                <w:sz w:val="17"/>
              </w:rPr>
              <w:t>Synthesize the experience and demonstrate transition readiness.</w:t>
            </w:r>
          </w:p>
        </w:tc>
      </w:tr>
    </w:tbl>
    <w:p>
      <w:pPr>
        <w:spacing w:after="0"/>
      </w:pPr>
    </w:p>
    <w:p>
      <w:r>
        <w:br w:type="page"/>
      </w:r>
    </w:p>
    <w:p>
      <w:pPr>
        <w:pStyle w:val="PartTitle"/>
      </w:pPr>
      <w:r>
        <w:t>PART IV</w:t>
        <w:br/>
        <w:t>People, Quality, Access, and Trust</w:t>
      </w:r>
    </w:p>
    <w:p>
      <w:pPr>
        <w:pStyle w:val="Heading3"/>
      </w:pPr>
      <w:r>
        <w:t>Responsibilities and conditions that protect students, partners, and the integrity of the pathway.</w:t>
      </w:r>
    </w:p>
    <w:p>
      <w:pPr>
        <w:pStyle w:val="Heading1"/>
      </w:pPr>
      <w:r>
        <w:t>Chapter 12: Governance and Shared Responsibility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tcMar>
              <w:top w:w="90" w:type="dxa"/>
              <w:start w:w="90" w:type="dxa"/>
              <w:bottom w:w="90" w:type="dxa"/>
              <w:end w:w="90" w:type="dxa"/>
            </w:tcMar>
            <w:vAlign w:val="center"/>
            <w:shd w:fill="1F4E78"/>
          </w:tcPr>
          <w:p>
            <w:pPr>
              <w:spacing w:after="0"/>
            </w:pPr>
            <w:r/>
            <w:r>
              <w:rPr>
                <w:rFonts w:ascii="Aptos" w:hAnsi="Aptos"/>
                <w:b/>
                <w:color w:val="FFFFFF"/>
                <w:sz w:val="17"/>
              </w:rPr>
              <w:t>Role</w:t>
            </w:r>
          </w:p>
        </w:tc>
        <w:tc>
          <w:tcPr>
            <w:tcW w:type="dxa" w:w="7632"/>
            <w:tcMar>
              <w:top w:w="90" w:type="dxa"/>
              <w:start w:w="90" w:type="dxa"/>
              <w:bottom w:w="90" w:type="dxa"/>
              <w:end w:w="90" w:type="dxa"/>
            </w:tcMar>
            <w:vAlign w:val="center"/>
            <w:shd w:fill="1F4E78"/>
          </w:tcPr>
          <w:p>
            <w:pPr>
              <w:spacing w:after="0"/>
            </w:pPr>
            <w:r/>
            <w:r>
              <w:rPr>
                <w:rFonts w:ascii="Aptos" w:hAnsi="Aptos"/>
                <w:b/>
                <w:color w:val="FFFFFF"/>
                <w:sz w:val="17"/>
              </w:rPr>
              <w:t>Primary responsibility</w:t>
            </w:r>
          </w:p>
        </w:tc>
      </w:tr>
      <w:tr>
        <w:tc>
          <w:tcPr>
            <w:tcW w:type="dxa" w:w="2448"/>
            <w:tcMar>
              <w:top w:w="90" w:type="dxa"/>
              <w:start w:w="90" w:type="dxa"/>
              <w:bottom w:w="90" w:type="dxa"/>
              <w:end w:w="90" w:type="dxa"/>
            </w:tcMar>
            <w:vAlign w:val="center"/>
            <w:shd w:fill="EAF2F8"/>
          </w:tcPr>
          <w:p>
            <w:pPr>
              <w:spacing w:after="0"/>
            </w:pPr>
            <w:r/>
            <w:r>
              <w:rPr>
                <w:rFonts w:ascii="Aptos" w:hAnsi="Aptos"/>
                <w:b w:val="0"/>
                <w:sz w:val="17"/>
              </w:rPr>
              <w:t>District leadership</w:t>
            </w:r>
          </w:p>
        </w:tc>
        <w:tc>
          <w:tcPr>
            <w:tcW w:type="dxa" w:w="7632"/>
            <w:tcMar>
              <w:top w:w="90" w:type="dxa"/>
              <w:start w:w="90" w:type="dxa"/>
              <w:bottom w:w="90" w:type="dxa"/>
              <w:end w:w="90" w:type="dxa"/>
            </w:tcMar>
            <w:vAlign w:val="center"/>
            <w:shd w:fill="EAF2F8"/>
          </w:tcPr>
          <w:p>
            <w:pPr>
              <w:spacing w:after="0"/>
            </w:pPr>
            <w:r/>
            <w:r>
              <w:rPr>
                <w:rFonts w:ascii="Aptos" w:hAnsi="Aptos"/>
                <w:b w:val="0"/>
                <w:sz w:val="17"/>
              </w:rPr>
              <w:t>Establish policy and authority; approve staffing, resources, structures, and district procedures; maintain accountability.</w:t>
            </w:r>
          </w:p>
        </w:tc>
      </w:tr>
      <w:tr>
        <w:tc>
          <w:tcPr>
            <w:tcW w:type="dxa" w:w="2448"/>
            <w:tcMar>
              <w:top w:w="90" w:type="dxa"/>
              <w:start w:w="90" w:type="dxa"/>
              <w:bottom w:w="90" w:type="dxa"/>
              <w:end w:w="90" w:type="dxa"/>
            </w:tcMar>
            <w:vAlign w:val="center"/>
          </w:tcPr>
          <w:p>
            <w:pPr>
              <w:spacing w:after="0"/>
            </w:pPr>
            <w:r/>
            <w:r>
              <w:rPr>
                <w:rFonts w:ascii="Aptos" w:hAnsi="Aptos"/>
                <w:b w:val="0"/>
                <w:sz w:val="17"/>
              </w:rPr>
              <w:t>Culinary teachers</w:t>
            </w:r>
          </w:p>
        </w:tc>
        <w:tc>
          <w:tcPr>
            <w:tcW w:type="dxa" w:w="7632"/>
            <w:tcMar>
              <w:top w:w="90" w:type="dxa"/>
              <w:start w:w="90" w:type="dxa"/>
              <w:bottom w:w="90" w:type="dxa"/>
              <w:end w:w="90" w:type="dxa"/>
            </w:tcMar>
            <w:vAlign w:val="center"/>
          </w:tcPr>
          <w:p>
            <w:pPr>
              <w:spacing w:after="0"/>
            </w:pPr>
            <w:r/>
            <w:r>
              <w:rPr>
                <w:rFonts w:ascii="Aptos" w:hAnsi="Aptos"/>
                <w:b w:val="0"/>
                <w:sz w:val="17"/>
              </w:rPr>
              <w:t>Implement instruction, develop competency, gather course evidence, support The Cottage and leadership experiences, and contribute to review.</w:t>
            </w:r>
          </w:p>
        </w:tc>
      </w:tr>
      <w:tr>
        <w:tc>
          <w:tcPr>
            <w:tcW w:type="dxa" w:w="2448"/>
            <w:tcMar>
              <w:top w:w="90" w:type="dxa"/>
              <w:start w:w="90" w:type="dxa"/>
              <w:bottom w:w="90" w:type="dxa"/>
              <w:end w:w="90" w:type="dxa"/>
            </w:tcMar>
            <w:vAlign w:val="center"/>
            <w:shd w:fill="EAF2F8"/>
          </w:tcPr>
          <w:p>
            <w:pPr>
              <w:spacing w:after="0"/>
            </w:pPr>
            <w:r/>
            <w:r>
              <w:rPr>
                <w:rFonts w:ascii="Aptos" w:hAnsi="Aptos"/>
                <w:b w:val="0"/>
                <w:sz w:val="17"/>
              </w:rPr>
              <w:t>Credentialed WBL Coordinator</w:t>
            </w:r>
          </w:p>
        </w:tc>
        <w:tc>
          <w:tcPr>
            <w:tcW w:type="dxa" w:w="7632"/>
            <w:tcMar>
              <w:top w:w="90" w:type="dxa"/>
              <w:start w:w="90" w:type="dxa"/>
              <w:bottom w:w="90" w:type="dxa"/>
              <w:end w:w="90" w:type="dxa"/>
            </w:tcMar>
            <w:vAlign w:val="center"/>
            <w:shd w:fill="EAF2F8"/>
          </w:tcPr>
          <w:p>
            <w:pPr>
              <w:spacing w:after="0"/>
            </w:pPr>
            <w:r/>
            <w:r>
              <w:rPr>
                <w:rFonts w:ascii="Aptos" w:hAnsi="Aptos"/>
                <w:b w:val="0"/>
                <w:sz w:val="17"/>
              </w:rPr>
              <w:t>Oversee External Work-Based Learning, training stations, student preparation, matching, monitoring, evaluation, records, and compliance.</w:t>
            </w:r>
          </w:p>
        </w:tc>
      </w:tr>
      <w:tr>
        <w:tc>
          <w:tcPr>
            <w:tcW w:type="dxa" w:w="2448"/>
            <w:tcMar>
              <w:top w:w="90" w:type="dxa"/>
              <w:start w:w="90" w:type="dxa"/>
              <w:bottom w:w="90" w:type="dxa"/>
              <w:end w:w="90" w:type="dxa"/>
            </w:tcMar>
            <w:vAlign w:val="center"/>
          </w:tcPr>
          <w:p>
            <w:pPr>
              <w:spacing w:after="0"/>
            </w:pPr>
            <w:r/>
            <w:r>
              <w:rPr>
                <w:rFonts w:ascii="Aptos" w:hAnsi="Aptos"/>
                <w:b w:val="0"/>
                <w:sz w:val="17"/>
              </w:rPr>
              <w:t>Students</w:t>
            </w:r>
          </w:p>
        </w:tc>
        <w:tc>
          <w:tcPr>
            <w:tcW w:type="dxa" w:w="7632"/>
            <w:tcMar>
              <w:top w:w="90" w:type="dxa"/>
              <w:start w:w="90" w:type="dxa"/>
              <w:bottom w:w="90" w:type="dxa"/>
              <w:end w:w="90" w:type="dxa"/>
            </w:tcMar>
            <w:vAlign w:val="center"/>
          </w:tcPr>
          <w:p>
            <w:pPr>
              <w:spacing w:after="0"/>
            </w:pPr>
            <w:r/>
            <w:r>
              <w:rPr>
                <w:rFonts w:ascii="Aptos" w:hAnsi="Aptos"/>
                <w:b w:val="0"/>
                <w:sz w:val="17"/>
              </w:rPr>
              <w:t>Prepare, communicate, protect safety, apply feedback, complete evidence honestly, and take increasing ownership.</w:t>
            </w:r>
          </w:p>
        </w:tc>
      </w:tr>
      <w:tr>
        <w:tc>
          <w:tcPr>
            <w:tcW w:type="dxa" w:w="2448"/>
            <w:tcMar>
              <w:top w:w="90" w:type="dxa"/>
              <w:start w:w="90" w:type="dxa"/>
              <w:bottom w:w="90" w:type="dxa"/>
              <w:end w:w="90" w:type="dxa"/>
            </w:tcMar>
            <w:vAlign w:val="center"/>
            <w:shd w:fill="EAF2F8"/>
          </w:tcPr>
          <w:p>
            <w:pPr>
              <w:spacing w:after="0"/>
            </w:pPr>
            <w:r/>
            <w:r>
              <w:rPr>
                <w:rFonts w:ascii="Aptos" w:hAnsi="Aptos"/>
                <w:b w:val="0"/>
                <w:sz w:val="17"/>
              </w:rPr>
              <w:t>Families</w:t>
            </w:r>
          </w:p>
        </w:tc>
        <w:tc>
          <w:tcPr>
            <w:tcW w:type="dxa" w:w="7632"/>
            <w:tcMar>
              <w:top w:w="90" w:type="dxa"/>
              <w:start w:w="90" w:type="dxa"/>
              <w:bottom w:w="90" w:type="dxa"/>
              <w:end w:w="90" w:type="dxa"/>
            </w:tcMar>
            <w:vAlign w:val="center"/>
            <w:shd w:fill="EAF2F8"/>
          </w:tcPr>
          <w:p>
            <w:pPr>
              <w:spacing w:after="0"/>
            </w:pPr>
            <w:r/>
            <w:r>
              <w:rPr>
                <w:rFonts w:ascii="Aptos" w:hAnsi="Aptos"/>
                <w:b w:val="0"/>
                <w:sz w:val="17"/>
              </w:rPr>
              <w:t>Support communication, logistics, reflection, and approved participation requirements.</w:t>
            </w:r>
          </w:p>
        </w:tc>
      </w:tr>
      <w:tr>
        <w:tc>
          <w:tcPr>
            <w:tcW w:type="dxa" w:w="2448"/>
            <w:tcMar>
              <w:top w:w="90" w:type="dxa"/>
              <w:start w:w="90" w:type="dxa"/>
              <w:bottom w:w="90" w:type="dxa"/>
              <w:end w:w="90" w:type="dxa"/>
            </w:tcMar>
            <w:vAlign w:val="center"/>
          </w:tcPr>
          <w:p>
            <w:pPr>
              <w:spacing w:after="0"/>
            </w:pPr>
            <w:r/>
            <w:r>
              <w:rPr>
                <w:rFonts w:ascii="Aptos" w:hAnsi="Aptos"/>
                <w:b w:val="0"/>
                <w:sz w:val="17"/>
              </w:rPr>
              <w:t>Employers and mentors</w:t>
            </w:r>
          </w:p>
        </w:tc>
        <w:tc>
          <w:tcPr>
            <w:tcW w:type="dxa" w:w="7632"/>
            <w:tcMar>
              <w:top w:w="90" w:type="dxa"/>
              <w:start w:w="90" w:type="dxa"/>
              <w:bottom w:w="90" w:type="dxa"/>
              <w:end w:w="90" w:type="dxa"/>
            </w:tcMar>
            <w:vAlign w:val="center"/>
          </w:tcPr>
          <w:p>
            <w:pPr>
              <w:spacing w:after="0"/>
            </w:pPr>
            <w:r/>
            <w:r>
              <w:rPr>
                <w:rFonts w:ascii="Aptos" w:hAnsi="Aptos"/>
                <w:b w:val="0"/>
                <w:sz w:val="17"/>
              </w:rPr>
              <w:t>Provide lawful duties, supervision, site-specific instruction, professional feedback, and timely communication.</w:t>
            </w:r>
          </w:p>
        </w:tc>
      </w:tr>
      <w:tr>
        <w:tc>
          <w:tcPr>
            <w:tcW w:type="dxa" w:w="2448"/>
            <w:tcMar>
              <w:top w:w="90" w:type="dxa"/>
              <w:start w:w="90" w:type="dxa"/>
              <w:bottom w:w="90" w:type="dxa"/>
              <w:end w:w="90" w:type="dxa"/>
            </w:tcMar>
            <w:vAlign w:val="center"/>
            <w:shd w:fill="EAF2F8"/>
          </w:tcPr>
          <w:p>
            <w:pPr>
              <w:spacing w:after="0"/>
            </w:pPr>
            <w:r/>
            <w:r>
              <w:rPr>
                <w:rFonts w:ascii="Aptos" w:hAnsi="Aptos"/>
                <w:b w:val="0"/>
                <w:sz w:val="17"/>
              </w:rPr>
              <w:t>Counselors and support staff</w:t>
            </w:r>
          </w:p>
        </w:tc>
        <w:tc>
          <w:tcPr>
            <w:tcW w:type="dxa" w:w="7632"/>
            <w:tcMar>
              <w:top w:w="90" w:type="dxa"/>
              <w:start w:w="90" w:type="dxa"/>
              <w:bottom w:w="90" w:type="dxa"/>
              <w:end w:w="90" w:type="dxa"/>
            </w:tcMar>
            <w:vAlign w:val="center"/>
            <w:shd w:fill="EAF2F8"/>
          </w:tcPr>
          <w:p>
            <w:pPr>
              <w:spacing w:after="0"/>
            </w:pPr>
            <w:r/>
            <w:r>
              <w:rPr>
                <w:rFonts w:ascii="Aptos" w:hAnsi="Aptos"/>
                <w:b w:val="0"/>
                <w:sz w:val="17"/>
              </w:rPr>
              <w:t>Connect the pathway to graduation, career planning, accessibility, accommodations, student support, and transition.</w:t>
            </w:r>
          </w:p>
        </w:tc>
      </w:tr>
    </w:tbl>
    <w:p>
      <w:pPr>
        <w:spacing w:after="0"/>
      </w:pPr>
    </w:p>
    <w:p>
      <w:pPr>
        <w:pStyle w:val="Heading1"/>
      </w:pPr>
      <w:r>
        <w:t>Chapter 13: Employer Partnership and Training-Station Quality</w:t>
      </w:r>
    </w:p>
    <w:p>
      <w:r>
        <w:t>An employer relationship becomes an approved educational partnership only when the workplace can support meaningful student learning.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tcMar>
              <w:top w:w="90" w:type="dxa"/>
              <w:start w:w="90" w:type="dxa"/>
              <w:bottom w:w="90" w:type="dxa"/>
              <w:end w:w="90" w:type="dxa"/>
            </w:tcMar>
            <w:vAlign w:val="center"/>
            <w:shd w:fill="1F4E78"/>
          </w:tcPr>
          <w:p>
            <w:pPr>
              <w:spacing w:after="0"/>
            </w:pPr>
            <w:r/>
            <w:r>
              <w:rPr>
                <w:rFonts w:ascii="Aptos" w:hAnsi="Aptos"/>
                <w:b/>
                <w:color w:val="FFFFFF"/>
                <w:sz w:val="17"/>
              </w:rPr>
              <w:t>Quality condition</w:t>
            </w:r>
          </w:p>
        </w:tc>
        <w:tc>
          <w:tcPr>
            <w:tcW w:type="dxa" w:w="7560"/>
            <w:tcMar>
              <w:top w:w="90" w:type="dxa"/>
              <w:start w:w="90" w:type="dxa"/>
              <w:bottom w:w="90" w:type="dxa"/>
              <w:end w:w="90" w:type="dxa"/>
            </w:tcMar>
            <w:vAlign w:val="center"/>
            <w:shd w:fill="1F4E78"/>
          </w:tcPr>
          <w:p>
            <w:pPr>
              <w:spacing w:after="0"/>
            </w:pPr>
            <w:r/>
            <w:r>
              <w:rPr>
                <w:rFonts w:ascii="Aptos" w:hAnsi="Aptos"/>
                <w:b/>
                <w:color w:val="FFFFFF"/>
                <w:sz w:val="17"/>
              </w:rPr>
              <w:t>Required meaning</w:t>
            </w:r>
          </w:p>
        </w:tc>
      </w:tr>
      <w:tr>
        <w:tc>
          <w:tcPr>
            <w:tcW w:type="dxa" w:w="2520"/>
            <w:tcMar>
              <w:top w:w="90" w:type="dxa"/>
              <w:start w:w="90" w:type="dxa"/>
              <w:bottom w:w="90" w:type="dxa"/>
              <w:end w:w="90" w:type="dxa"/>
            </w:tcMar>
            <w:vAlign w:val="center"/>
            <w:shd w:fill="EAF2F8"/>
          </w:tcPr>
          <w:p>
            <w:pPr>
              <w:spacing w:after="0"/>
            </w:pPr>
            <w:r/>
            <w:r>
              <w:rPr>
                <w:rFonts w:ascii="Aptos" w:hAnsi="Aptos"/>
                <w:b w:val="0"/>
                <w:sz w:val="17"/>
              </w:rPr>
              <w:t>Safe and lawful</w:t>
            </w:r>
          </w:p>
        </w:tc>
        <w:tc>
          <w:tcPr>
            <w:tcW w:type="dxa" w:w="7560"/>
            <w:tcMar>
              <w:top w:w="90" w:type="dxa"/>
              <w:start w:w="90" w:type="dxa"/>
              <w:bottom w:w="90" w:type="dxa"/>
              <w:end w:w="90" w:type="dxa"/>
            </w:tcMar>
            <w:vAlign w:val="center"/>
            <w:shd w:fill="EAF2F8"/>
          </w:tcPr>
          <w:p>
            <w:pPr>
              <w:spacing w:after="0"/>
            </w:pPr>
            <w:r/>
            <w:r>
              <w:rPr>
                <w:rFonts w:ascii="Aptos" w:hAnsi="Aptos"/>
                <w:b w:val="0"/>
                <w:sz w:val="17"/>
              </w:rPr>
              <w:t>Duties, equipment, schedule, supervision, and conditions meet applicable requirements.</w:t>
            </w:r>
          </w:p>
        </w:tc>
      </w:tr>
      <w:tr>
        <w:tc>
          <w:tcPr>
            <w:tcW w:type="dxa" w:w="2520"/>
            <w:tcMar>
              <w:top w:w="90" w:type="dxa"/>
              <w:start w:w="90" w:type="dxa"/>
              <w:bottom w:w="90" w:type="dxa"/>
              <w:end w:w="90" w:type="dxa"/>
            </w:tcMar>
            <w:vAlign w:val="center"/>
          </w:tcPr>
          <w:p>
            <w:pPr>
              <w:spacing w:after="0"/>
            </w:pPr>
            <w:r/>
            <w:r>
              <w:rPr>
                <w:rFonts w:ascii="Aptos" w:hAnsi="Aptos"/>
                <w:b w:val="0"/>
                <w:sz w:val="17"/>
              </w:rPr>
              <w:t>Educationally meaningful</w:t>
            </w:r>
          </w:p>
        </w:tc>
        <w:tc>
          <w:tcPr>
            <w:tcW w:type="dxa" w:w="7560"/>
            <w:tcMar>
              <w:top w:w="90" w:type="dxa"/>
              <w:start w:w="90" w:type="dxa"/>
              <w:bottom w:w="90" w:type="dxa"/>
              <w:end w:w="90" w:type="dxa"/>
            </w:tcMar>
            <w:vAlign w:val="center"/>
          </w:tcPr>
          <w:p>
            <w:pPr>
              <w:spacing w:after="0"/>
            </w:pPr>
            <w:r/>
            <w:r>
              <w:rPr>
                <w:rFonts w:ascii="Aptos" w:hAnsi="Aptos"/>
                <w:b w:val="0"/>
                <w:sz w:val="17"/>
              </w:rPr>
              <w:t>Assigned work supports the student's learning goals and extends beyond repetitive low-value labor.</w:t>
            </w:r>
          </w:p>
        </w:tc>
      </w:tr>
      <w:tr>
        <w:tc>
          <w:tcPr>
            <w:tcW w:type="dxa" w:w="2520"/>
            <w:tcMar>
              <w:top w:w="90" w:type="dxa"/>
              <w:start w:w="90" w:type="dxa"/>
              <w:bottom w:w="90" w:type="dxa"/>
              <w:end w:w="90" w:type="dxa"/>
            </w:tcMar>
            <w:vAlign w:val="center"/>
            <w:shd w:fill="EAF2F8"/>
          </w:tcPr>
          <w:p>
            <w:pPr>
              <w:spacing w:after="0"/>
            </w:pPr>
            <w:r/>
            <w:r>
              <w:rPr>
                <w:rFonts w:ascii="Aptos" w:hAnsi="Aptos"/>
                <w:b w:val="0"/>
                <w:sz w:val="17"/>
              </w:rPr>
              <w:t>Clearly supervised</w:t>
            </w:r>
          </w:p>
        </w:tc>
        <w:tc>
          <w:tcPr>
            <w:tcW w:type="dxa" w:w="7560"/>
            <w:tcMar>
              <w:top w:w="90" w:type="dxa"/>
              <w:start w:w="90" w:type="dxa"/>
              <w:bottom w:w="90" w:type="dxa"/>
              <w:end w:w="90" w:type="dxa"/>
            </w:tcMar>
            <w:vAlign w:val="center"/>
            <w:shd w:fill="EAF2F8"/>
          </w:tcPr>
          <w:p>
            <w:pPr>
              <w:spacing w:after="0"/>
            </w:pPr>
            <w:r/>
            <w:r>
              <w:rPr>
                <w:rFonts w:ascii="Aptos" w:hAnsi="Aptos"/>
                <w:b w:val="0"/>
                <w:sz w:val="17"/>
              </w:rPr>
              <w:t>A designated adult has the time, authority, and willingness to teach, observe, communicate, and provide feedback.</w:t>
            </w:r>
          </w:p>
        </w:tc>
      </w:tr>
      <w:tr>
        <w:tc>
          <w:tcPr>
            <w:tcW w:type="dxa" w:w="2520"/>
            <w:tcMar>
              <w:top w:w="90" w:type="dxa"/>
              <w:start w:w="90" w:type="dxa"/>
              <w:bottom w:w="90" w:type="dxa"/>
              <w:end w:w="90" w:type="dxa"/>
            </w:tcMar>
            <w:vAlign w:val="center"/>
          </w:tcPr>
          <w:p>
            <w:pPr>
              <w:spacing w:after="0"/>
            </w:pPr>
            <w:r/>
            <w:r>
              <w:rPr>
                <w:rFonts w:ascii="Aptos" w:hAnsi="Aptos"/>
                <w:b w:val="0"/>
                <w:sz w:val="17"/>
              </w:rPr>
              <w:t>Progressive</w:t>
            </w:r>
          </w:p>
        </w:tc>
        <w:tc>
          <w:tcPr>
            <w:tcW w:type="dxa" w:w="7560"/>
            <w:tcMar>
              <w:top w:w="90" w:type="dxa"/>
              <w:start w:w="90" w:type="dxa"/>
              <w:bottom w:w="90" w:type="dxa"/>
              <w:end w:w="90" w:type="dxa"/>
            </w:tcMar>
            <w:vAlign w:val="center"/>
          </w:tcPr>
          <w:p>
            <w:pPr>
              <w:spacing w:after="0"/>
            </w:pPr>
            <w:r/>
            <w:r>
              <w:rPr>
                <w:rFonts w:ascii="Aptos" w:hAnsi="Aptos"/>
                <w:b w:val="0"/>
                <w:sz w:val="17"/>
              </w:rPr>
              <w:t>Responsibility may increase as competency is demonstrated.</w:t>
            </w:r>
          </w:p>
        </w:tc>
      </w:tr>
      <w:tr>
        <w:tc>
          <w:tcPr>
            <w:tcW w:type="dxa" w:w="2520"/>
            <w:tcMar>
              <w:top w:w="90" w:type="dxa"/>
              <w:start w:w="90" w:type="dxa"/>
              <w:bottom w:w="90" w:type="dxa"/>
              <w:end w:w="90" w:type="dxa"/>
            </w:tcMar>
            <w:vAlign w:val="center"/>
            <w:shd w:fill="EAF2F8"/>
          </w:tcPr>
          <w:p>
            <w:pPr>
              <w:spacing w:after="0"/>
            </w:pPr>
            <w:r/>
            <w:r>
              <w:rPr>
                <w:rFonts w:ascii="Aptos" w:hAnsi="Aptos"/>
                <w:b w:val="0"/>
                <w:sz w:val="17"/>
              </w:rPr>
              <w:t>Respectful</w:t>
            </w:r>
          </w:p>
        </w:tc>
        <w:tc>
          <w:tcPr>
            <w:tcW w:type="dxa" w:w="7560"/>
            <w:tcMar>
              <w:top w:w="90" w:type="dxa"/>
              <w:start w:w="90" w:type="dxa"/>
              <w:bottom w:w="90" w:type="dxa"/>
              <w:end w:w="90" w:type="dxa"/>
            </w:tcMar>
            <w:vAlign w:val="center"/>
            <w:shd w:fill="EAF2F8"/>
          </w:tcPr>
          <w:p>
            <w:pPr>
              <w:spacing w:after="0"/>
            </w:pPr>
            <w:r/>
            <w:r>
              <w:rPr>
                <w:rFonts w:ascii="Aptos" w:hAnsi="Aptos"/>
                <w:b w:val="0"/>
                <w:sz w:val="17"/>
              </w:rPr>
              <w:t>The student is treated as a learner and emerging professional, not as free labor or substitute staffing.</w:t>
            </w:r>
          </w:p>
        </w:tc>
      </w:tr>
      <w:tr>
        <w:tc>
          <w:tcPr>
            <w:tcW w:type="dxa" w:w="2520"/>
            <w:tcMar>
              <w:top w:w="90" w:type="dxa"/>
              <w:start w:w="90" w:type="dxa"/>
              <w:bottom w:w="90" w:type="dxa"/>
              <w:end w:w="90" w:type="dxa"/>
            </w:tcMar>
            <w:vAlign w:val="center"/>
          </w:tcPr>
          <w:p>
            <w:pPr>
              <w:spacing w:after="0"/>
            </w:pPr>
            <w:r/>
            <w:r>
              <w:rPr>
                <w:rFonts w:ascii="Aptos" w:hAnsi="Aptos"/>
                <w:b w:val="0"/>
                <w:sz w:val="17"/>
              </w:rPr>
              <w:t>Connected to the pathway</w:t>
            </w:r>
          </w:p>
        </w:tc>
        <w:tc>
          <w:tcPr>
            <w:tcW w:type="dxa" w:w="7560"/>
            <w:tcMar>
              <w:top w:w="90" w:type="dxa"/>
              <w:start w:w="90" w:type="dxa"/>
              <w:bottom w:w="90" w:type="dxa"/>
              <w:end w:w="90" w:type="dxa"/>
            </w:tcMar>
            <w:vAlign w:val="center"/>
          </w:tcPr>
          <w:p>
            <w:pPr>
              <w:spacing w:after="0"/>
            </w:pPr>
            <w:r/>
            <w:r>
              <w:rPr>
                <w:rFonts w:ascii="Aptos" w:hAnsi="Aptos"/>
                <w:b w:val="0"/>
                <w:sz w:val="17"/>
              </w:rPr>
              <w:t>The work reinforces technical, employability, service, business, leadership, or transition competencies.</w:t>
            </w:r>
          </w:p>
        </w:tc>
      </w:tr>
      <w:tr>
        <w:tc>
          <w:tcPr>
            <w:tcW w:type="dxa" w:w="2520"/>
            <w:tcMar>
              <w:top w:w="90" w:type="dxa"/>
              <w:start w:w="90" w:type="dxa"/>
              <w:bottom w:w="90" w:type="dxa"/>
              <w:end w:w="90" w:type="dxa"/>
            </w:tcMar>
            <w:vAlign w:val="center"/>
            <w:shd w:fill="EAF2F8"/>
          </w:tcPr>
          <w:p>
            <w:pPr>
              <w:spacing w:after="0"/>
            </w:pPr>
            <w:r/>
            <w:r>
              <w:rPr>
                <w:rFonts w:ascii="Aptos" w:hAnsi="Aptos"/>
                <w:b w:val="0"/>
                <w:sz w:val="17"/>
              </w:rPr>
              <w:t>Feedback-rich and reliable</w:t>
            </w:r>
          </w:p>
        </w:tc>
        <w:tc>
          <w:tcPr>
            <w:tcW w:type="dxa" w:w="7560"/>
            <w:tcMar>
              <w:top w:w="90" w:type="dxa"/>
              <w:start w:w="90" w:type="dxa"/>
              <w:bottom w:w="90" w:type="dxa"/>
              <w:end w:w="90" w:type="dxa"/>
            </w:tcMar>
            <w:vAlign w:val="center"/>
            <w:shd w:fill="EAF2F8"/>
          </w:tcPr>
          <w:p>
            <w:pPr>
              <w:spacing w:after="0"/>
            </w:pPr>
            <w:r/>
            <w:r>
              <w:rPr>
                <w:rFonts w:ascii="Aptos" w:hAnsi="Aptos"/>
                <w:b w:val="0"/>
                <w:sz w:val="17"/>
              </w:rPr>
              <w:t>Expectations, schedules, communication, evaluation, and follow-through support learning.</w:t>
            </w:r>
          </w:p>
        </w:tc>
      </w:tr>
      <w:tr>
        <w:tc>
          <w:tcPr>
            <w:tcW w:type="dxa" w:w="2520"/>
            <w:tcMar>
              <w:top w:w="90" w:type="dxa"/>
              <w:start w:w="90" w:type="dxa"/>
              <w:bottom w:w="90" w:type="dxa"/>
              <w:end w:w="90" w:type="dxa"/>
            </w:tcMar>
            <w:vAlign w:val="center"/>
          </w:tcPr>
          <w:p>
            <w:pPr>
              <w:spacing w:after="0"/>
            </w:pPr>
            <w:r/>
            <w:r>
              <w:rPr>
                <w:rFonts w:ascii="Aptos" w:hAnsi="Aptos"/>
                <w:b w:val="0"/>
                <w:sz w:val="17"/>
              </w:rPr>
              <w:t>Supportable by the district</w:t>
            </w:r>
          </w:p>
        </w:tc>
        <w:tc>
          <w:tcPr>
            <w:tcW w:type="dxa" w:w="7560"/>
            <w:tcMar>
              <w:top w:w="90" w:type="dxa"/>
              <w:start w:w="90" w:type="dxa"/>
              <w:bottom w:w="90" w:type="dxa"/>
              <w:end w:w="90" w:type="dxa"/>
            </w:tcMar>
            <w:vAlign w:val="center"/>
          </w:tcPr>
          <w:p>
            <w:pPr>
              <w:spacing w:after="0"/>
            </w:pPr>
            <w:r/>
            <w:r>
              <w:rPr>
                <w:rFonts w:ascii="Aptos" w:hAnsi="Aptos"/>
                <w:b w:val="0"/>
                <w:sz w:val="17"/>
              </w:rPr>
              <w:t>The district can monitor, communicate, intervene, and maintain required records.</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Learning Before Labor</w:t>
            </w:r>
          </w:p>
          <w:p>
            <w:pPr>
              <w:spacing w:after="0"/>
            </w:pPr>
            <w:r>
              <w:rPr>
                <w:rFonts w:ascii="Aptos" w:hAnsi="Aptos"/>
                <w:sz w:val="18"/>
              </w:rPr>
              <w:t>Employer need never overrides student safety, educational purpose, readiness, support, or district capacity.</w:t>
            </w:r>
          </w:p>
        </w:tc>
      </w:tr>
    </w:tbl>
    <w:p>
      <w:pPr>
        <w:spacing w:after="0"/>
      </w:pPr>
    </w:p>
    <w:p>
      <w:pPr>
        <w:pStyle w:val="Heading1"/>
      </w:pPr>
      <w:r>
        <w:t>Chapter 14: Safety, Access, and Student Support</w:t>
      </w:r>
    </w:p>
    <w:p>
      <w:r>
        <w:t>Safety and access are conditions of quality. Students receive appropriate instruction, support, accommodations, and alternatives without lowering essential safety, technical, professional, or workplace standards.</w:t>
      </w:r>
    </w:p>
    <w:p>
      <w:pPr>
        <w:pStyle w:val="ListBullet"/>
        <w:spacing w:after="40"/>
      </w:pPr>
      <w:r>
        <w:t>Safety concerns are addressed immediately before instruction, assessment, placement, or production continues.</w:t>
      </w:r>
    </w:p>
    <w:p>
      <w:pPr>
        <w:pStyle w:val="ListBullet"/>
        <w:spacing w:after="40"/>
      </w:pPr>
      <w:r>
        <w:t>Approved accommodations preserve the competency being measured.</w:t>
      </w:r>
    </w:p>
    <w:p>
      <w:pPr>
        <w:pStyle w:val="ListBullet"/>
        <w:spacing w:after="40"/>
      </w:pPr>
      <w:r>
        <w:t>Transportation, scheduling, communication, cost, equipment, language, disability access, and family circumstances are considered before commitments are made.</w:t>
      </w:r>
    </w:p>
    <w:p>
      <w:pPr>
        <w:pStyle w:val="ListBullet"/>
        <w:spacing w:after="40"/>
      </w:pPr>
      <w:r>
        <w:t>External placement is not the only form of authentic learning; meaningful school-based alternatives remain available when an external setting is not appropriate or available.</w:t>
      </w:r>
    </w:p>
    <w:p>
      <w:pPr>
        <w:pStyle w:val="ListBullet"/>
        <w:spacing w:after="40"/>
      </w:pPr>
      <w:r>
        <w:t>Student dignity, confidentiality, and freedom from harassment or discrimination are protected in every environment.</w:t>
      </w:r>
    </w:p>
    <w:p>
      <w:pPr>
        <w:pStyle w:val="Heading1"/>
      </w:pPr>
      <w:r>
        <w:t>Chapter 15: Assessment, Evaluation, and Communication</w:t>
      </w:r>
    </w:p>
    <w:p>
      <w:r>
        <w:t>Book Two governs student assessment, Gateway evidence, training-station evaluation, program evaluation, and continuous improvement. Book One establishes the expectation that evidence must be aligned to the decision being made.</w:t>
      </w:r>
    </w:p>
    <w:p>
      <w:pPr>
        <w:pStyle w:val="ListBullet"/>
        <w:spacing w:after="40"/>
      </w:pPr>
      <w:r>
        <w:t>Student performance is judged separately from the quality of the training station or program.</w:t>
      </w:r>
    </w:p>
    <w:p>
      <w:pPr>
        <w:pStyle w:val="ListBullet"/>
        <w:spacing w:after="40"/>
      </w:pPr>
      <w:r>
        <w:t>Consequential decisions use multiple relevant sources of evidence.</w:t>
      </w:r>
    </w:p>
    <w:p>
      <w:pPr>
        <w:pStyle w:val="ListBullet"/>
        <w:spacing w:after="40"/>
      </w:pPr>
      <w:r>
        <w:t>Provide Clear Direction: communication states the purpose, expectation, responsible person, required action, and next step.</w:t>
      </w:r>
    </w:p>
    <w:p>
      <w:pPr>
        <w:pStyle w:val="ListBullet"/>
        <w:spacing w:after="40"/>
      </w:pPr>
      <w:r>
        <w:t>Students, families, staff, employers, and district leaders receive information appropriate to their role.</w:t>
      </w:r>
    </w:p>
    <w:p>
      <w:pPr>
        <w:pStyle w:val="ListBullet"/>
        <w:spacing w:after="40"/>
      </w:pPr>
      <w:r>
        <w:t>Public communication presents verified program information and protects student privacy.</w:t>
      </w: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Inspect What You Expect</w:t>
            </w:r>
          </w:p>
          <w:p>
            <w:pPr>
              <w:spacing w:after="0"/>
            </w:pPr>
            <w:r>
              <w:rPr>
                <w:rFonts w:ascii="Aptos" w:hAnsi="Aptos"/>
                <w:sz w:val="18"/>
              </w:rPr>
              <w:t>Clear expectations matter only when the pathway consistently observes performance, reviews evidence, communicates feedback, and follows through.</w:t>
            </w:r>
          </w:p>
        </w:tc>
      </w:tr>
    </w:tbl>
    <w:p>
      <w:pPr>
        <w:spacing w:after="0"/>
      </w:pPr>
    </w:p>
    <w:p>
      <w:r>
        <w:br w:type="page"/>
      </w:r>
    </w:p>
    <w:p>
      <w:pPr>
        <w:pStyle w:val="PartTitle"/>
      </w:pPr>
      <w:r>
        <w:t>PART V</w:t>
        <w:br/>
        <w:t>Stewardship and Responsible Growth</w:t>
      </w:r>
    </w:p>
    <w:p>
      <w:pPr>
        <w:pStyle w:val="Heading3"/>
      </w:pPr>
      <w:r>
        <w:t>Program boundaries, capacity, continuous improvement, and document ownership.</w:t>
      </w:r>
    </w:p>
    <w:p>
      <w:pPr>
        <w:pStyle w:val="Heading1"/>
      </w:pPr>
      <w:r>
        <w:t>Chapter 16: Continuous Improvement</w:t>
      </w:r>
    </w:p>
    <w:p>
      <w:r>
        <w:t>Student outcomes, Gateway patterns, credential results, employer feedback, teacher reflection, access, training-station quality, staffing, resources, and transition evidence are reviewed through Book Two's annual improvement cycle.</w:t>
      </w: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Inspect What You Expect</w:t>
            </w:r>
          </w:p>
          <w:p>
            <w:pPr>
              <w:spacing w:after="0"/>
            </w:pPr>
            <w:r>
              <w:rPr>
                <w:rFonts w:ascii="Aptos" w:hAnsi="Aptos"/>
                <w:sz w:val="18"/>
              </w:rPr>
              <w:t>A finding is not an improvement. Responsibility must be assigned, action must occur, and later evidence must show whether the action helped.</w:t>
            </w:r>
          </w:p>
        </w:tc>
      </w:tr>
    </w:tbl>
    <w:p>
      <w:pPr>
        <w:spacing w:after="0"/>
      </w:pPr>
    </w:p>
    <w:p>
      <w:pPr>
        <w:pStyle w:val="Heading1"/>
      </w:pPr>
      <w:r>
        <w:t>Chapter 17: Capacity and Responsible Growth</w:t>
      </w:r>
    </w:p>
    <w:p>
      <w:r>
        <w:t>Program commitments must remain within staffing, coordinator time, site-visit capacity, transportation, scheduling, student support, technology, records, fiscal resources, and administrative authority.</w:t>
      </w:r>
    </w:p>
    <w:p>
      <w:pPr>
        <w:pStyle w:val="ListBullet"/>
        <w:spacing w:after="40"/>
      </w:pPr>
      <w:r>
        <w:t>Quality and supervision take priority over participation counts.</w:t>
      </w:r>
    </w:p>
    <w:p>
      <w:pPr>
        <w:pStyle w:val="ListBullet"/>
        <w:spacing w:after="40"/>
      </w:pPr>
      <w:r>
        <w:t>External placements expand only when qualified coordination and approved training stations are available.</w:t>
      </w:r>
    </w:p>
    <w:p>
      <w:pPr>
        <w:pStyle w:val="ListBullet"/>
        <w:spacing w:after="40"/>
      </w:pPr>
      <w:r>
        <w:t>The Cottage and internal authentic learning remain essential program components, not substitutes of lesser value.</w:t>
      </w:r>
    </w:p>
    <w:p>
      <w:pPr>
        <w:pStyle w:val="ListBullet"/>
        <w:spacing w:after="40"/>
      </w:pPr>
      <w:r>
        <w:t>New commitments are added only when existing responsibilities can be supported reliably.</w:t>
      </w:r>
    </w:p>
    <w:p>
      <w:pPr>
        <w:pStyle w:val="ListBullet"/>
        <w:spacing w:after="40"/>
      </w:pPr>
      <w:r>
        <w:t>District review determines whether the pathway continues, modifies, pauses, or expands.</w:t>
      </w: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Quality Before Quantity</w:t>
            </w:r>
          </w:p>
          <w:p>
            <w:pPr>
              <w:spacing w:after="0"/>
            </w:pPr>
            <w:r>
              <w:rPr>
                <w:rFonts w:ascii="Aptos" w:hAnsi="Aptos"/>
                <w:sz w:val="18"/>
              </w:rPr>
              <w:t>The pathway grows only when student learning, safety, supervision, partnership quality, and program integrity can be maintained.</w:t>
            </w:r>
          </w:p>
        </w:tc>
      </w:tr>
    </w:tbl>
    <w:p>
      <w:pPr>
        <w:spacing w:after="0"/>
      </w:pPr>
    </w:p>
    <w:p>
      <w:pPr>
        <w:pStyle w:val="Heading1"/>
      </w:pPr>
      <w:r>
        <w:t>Chapter 18: Non-Negotiable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tcMar>
              <w:top w:w="90" w:type="dxa"/>
              <w:start w:w="90" w:type="dxa"/>
              <w:bottom w:w="90" w:type="dxa"/>
              <w:end w:w="90" w:type="dxa"/>
            </w:tcMar>
            <w:vAlign w:val="center"/>
            <w:shd w:fill="1F4E78"/>
          </w:tcPr>
          <w:p>
            <w:pPr>
              <w:spacing w:after="0"/>
            </w:pPr>
            <w:r/>
            <w:r>
              <w:rPr>
                <w:rFonts w:ascii="Aptos" w:hAnsi="Aptos"/>
                <w:b/>
                <w:color w:val="FFFFFF"/>
                <w:sz w:val="17"/>
              </w:rPr>
              <w:t>Boundary</w:t>
            </w:r>
          </w:p>
        </w:tc>
        <w:tc>
          <w:tcPr>
            <w:tcW w:type="dxa" w:w="7344"/>
            <w:tcMar>
              <w:top w:w="90" w:type="dxa"/>
              <w:start w:w="90" w:type="dxa"/>
              <w:bottom w:w="90" w:type="dxa"/>
              <w:end w:w="90" w:type="dxa"/>
            </w:tcMar>
            <w:vAlign w:val="center"/>
            <w:shd w:fill="1F4E78"/>
          </w:tcPr>
          <w:p>
            <w:pPr>
              <w:spacing w:after="0"/>
            </w:pPr>
            <w:r/>
            <w:r>
              <w:rPr>
                <w:rFonts w:ascii="Aptos" w:hAnsi="Aptos"/>
                <w:b/>
                <w:color w:val="FFFFFF"/>
                <w:sz w:val="17"/>
              </w:rPr>
              <w:t>Meaning</w:t>
            </w:r>
          </w:p>
        </w:tc>
      </w:tr>
      <w:tr>
        <w:tc>
          <w:tcPr>
            <w:tcW w:type="dxa" w:w="2736"/>
            <w:tcMar>
              <w:top w:w="90" w:type="dxa"/>
              <w:start w:w="90" w:type="dxa"/>
              <w:bottom w:w="90" w:type="dxa"/>
              <w:end w:w="90" w:type="dxa"/>
            </w:tcMar>
            <w:vAlign w:val="center"/>
            <w:shd w:fill="EAF2F8"/>
          </w:tcPr>
          <w:p>
            <w:pPr>
              <w:spacing w:after="0"/>
            </w:pPr>
            <w:r/>
            <w:r>
              <w:rPr>
                <w:rFonts w:ascii="Aptos" w:hAnsi="Aptos"/>
                <w:b w:val="0"/>
                <w:sz w:val="17"/>
              </w:rPr>
              <w:t>Safety before opportunity</w:t>
            </w:r>
          </w:p>
        </w:tc>
        <w:tc>
          <w:tcPr>
            <w:tcW w:type="dxa" w:w="7344"/>
            <w:tcMar>
              <w:top w:w="90" w:type="dxa"/>
              <w:start w:w="90" w:type="dxa"/>
              <w:bottom w:w="90" w:type="dxa"/>
              <w:end w:w="90" w:type="dxa"/>
            </w:tcMar>
            <w:vAlign w:val="center"/>
            <w:shd w:fill="EAF2F8"/>
          </w:tcPr>
          <w:p>
            <w:pPr>
              <w:spacing w:after="0"/>
            </w:pPr>
            <w:r/>
            <w:r>
              <w:rPr>
                <w:rFonts w:ascii="Aptos" w:hAnsi="Aptos"/>
                <w:b w:val="0"/>
                <w:sz w:val="17"/>
              </w:rPr>
              <w:t>No experience continues when safety, legality, dignity, or appropriate supervision cannot be maintained.</w:t>
            </w:r>
          </w:p>
        </w:tc>
      </w:tr>
      <w:tr>
        <w:tc>
          <w:tcPr>
            <w:tcW w:type="dxa" w:w="2736"/>
            <w:tcMar>
              <w:top w:w="90" w:type="dxa"/>
              <w:start w:w="90" w:type="dxa"/>
              <w:bottom w:w="90" w:type="dxa"/>
              <w:end w:w="90" w:type="dxa"/>
            </w:tcMar>
            <w:vAlign w:val="center"/>
          </w:tcPr>
          <w:p>
            <w:pPr>
              <w:spacing w:after="0"/>
            </w:pPr>
            <w:r/>
            <w:r>
              <w:rPr>
                <w:rFonts w:ascii="Aptos" w:hAnsi="Aptos"/>
                <w:b w:val="0"/>
                <w:sz w:val="17"/>
              </w:rPr>
              <w:t>Learning before labor</w:t>
            </w:r>
          </w:p>
        </w:tc>
        <w:tc>
          <w:tcPr>
            <w:tcW w:type="dxa" w:w="7344"/>
            <w:tcMar>
              <w:top w:w="90" w:type="dxa"/>
              <w:start w:w="90" w:type="dxa"/>
              <w:bottom w:w="90" w:type="dxa"/>
              <w:end w:w="90" w:type="dxa"/>
            </w:tcMar>
            <w:vAlign w:val="center"/>
          </w:tcPr>
          <w:p>
            <w:pPr>
              <w:spacing w:after="0"/>
            </w:pPr>
            <w:r/>
            <w:r>
              <w:rPr>
                <w:rFonts w:ascii="Aptos" w:hAnsi="Aptos"/>
                <w:b w:val="0"/>
                <w:sz w:val="17"/>
              </w:rPr>
              <w:t>Work must retain a visible educational purpose.</w:t>
            </w:r>
          </w:p>
        </w:tc>
      </w:tr>
      <w:tr>
        <w:tc>
          <w:tcPr>
            <w:tcW w:type="dxa" w:w="2736"/>
            <w:tcMar>
              <w:top w:w="90" w:type="dxa"/>
              <w:start w:w="90" w:type="dxa"/>
              <w:bottom w:w="90" w:type="dxa"/>
              <w:end w:w="90" w:type="dxa"/>
            </w:tcMar>
            <w:vAlign w:val="center"/>
            <w:shd w:fill="EAF2F8"/>
          </w:tcPr>
          <w:p>
            <w:pPr>
              <w:spacing w:after="0"/>
            </w:pPr>
            <w:r/>
            <w:r>
              <w:rPr>
                <w:rFonts w:ascii="Aptos" w:hAnsi="Aptos"/>
                <w:b w:val="0"/>
                <w:sz w:val="17"/>
              </w:rPr>
              <w:t>Quality before quantity</w:t>
            </w:r>
          </w:p>
        </w:tc>
        <w:tc>
          <w:tcPr>
            <w:tcW w:type="dxa" w:w="7344"/>
            <w:tcMar>
              <w:top w:w="90" w:type="dxa"/>
              <w:start w:w="90" w:type="dxa"/>
              <w:bottom w:w="90" w:type="dxa"/>
              <w:end w:w="90" w:type="dxa"/>
            </w:tcMar>
            <w:vAlign w:val="center"/>
            <w:shd w:fill="EAF2F8"/>
          </w:tcPr>
          <w:p>
            <w:pPr>
              <w:spacing w:after="0"/>
            </w:pPr>
            <w:r/>
            <w:r>
              <w:rPr>
                <w:rFonts w:ascii="Aptos" w:hAnsi="Aptos"/>
                <w:b w:val="0"/>
                <w:sz w:val="17"/>
              </w:rPr>
              <w:t>Participation counts do not justify weak sites, poor matches, or insufficient monitoring.</w:t>
            </w:r>
          </w:p>
        </w:tc>
      </w:tr>
      <w:tr>
        <w:tc>
          <w:tcPr>
            <w:tcW w:type="dxa" w:w="2736"/>
            <w:tcMar>
              <w:top w:w="90" w:type="dxa"/>
              <w:start w:w="90" w:type="dxa"/>
              <w:bottom w:w="90" w:type="dxa"/>
              <w:end w:w="90" w:type="dxa"/>
            </w:tcMar>
            <w:vAlign w:val="center"/>
          </w:tcPr>
          <w:p>
            <w:pPr>
              <w:spacing w:after="0"/>
            </w:pPr>
            <w:r/>
            <w:r>
              <w:rPr>
                <w:rFonts w:ascii="Aptos" w:hAnsi="Aptos"/>
                <w:b w:val="0"/>
                <w:sz w:val="17"/>
              </w:rPr>
              <w:t>Preparation before independence</w:t>
            </w:r>
          </w:p>
        </w:tc>
        <w:tc>
          <w:tcPr>
            <w:tcW w:type="dxa" w:w="7344"/>
            <w:tcMar>
              <w:top w:w="90" w:type="dxa"/>
              <w:start w:w="90" w:type="dxa"/>
              <w:bottom w:w="90" w:type="dxa"/>
              <w:end w:w="90" w:type="dxa"/>
            </w:tcMar>
            <w:vAlign w:val="center"/>
          </w:tcPr>
          <w:p>
            <w:pPr>
              <w:spacing w:after="0"/>
            </w:pPr>
            <w:r/>
            <w:r>
              <w:rPr>
                <w:rFonts w:ascii="Aptos" w:hAnsi="Aptos"/>
                <w:b w:val="0"/>
                <w:sz w:val="17"/>
              </w:rPr>
              <w:t>Responsibility increases only with verified competency and support.</w:t>
            </w:r>
          </w:p>
        </w:tc>
      </w:tr>
      <w:tr>
        <w:tc>
          <w:tcPr>
            <w:tcW w:type="dxa" w:w="2736"/>
            <w:tcMar>
              <w:top w:w="90" w:type="dxa"/>
              <w:start w:w="90" w:type="dxa"/>
              <w:bottom w:w="90" w:type="dxa"/>
              <w:end w:w="90" w:type="dxa"/>
            </w:tcMar>
            <w:vAlign w:val="center"/>
            <w:shd w:fill="EAF2F8"/>
          </w:tcPr>
          <w:p>
            <w:pPr>
              <w:spacing w:after="0"/>
            </w:pPr>
            <w:r/>
            <w:r>
              <w:rPr>
                <w:rFonts w:ascii="Aptos" w:hAnsi="Aptos"/>
                <w:b w:val="0"/>
                <w:sz w:val="17"/>
              </w:rPr>
              <w:t>Access before exclusivity</w:t>
            </w:r>
          </w:p>
        </w:tc>
        <w:tc>
          <w:tcPr>
            <w:tcW w:type="dxa" w:w="7344"/>
            <w:tcMar>
              <w:top w:w="90" w:type="dxa"/>
              <w:start w:w="90" w:type="dxa"/>
              <w:bottom w:w="90" w:type="dxa"/>
              <w:end w:w="90" w:type="dxa"/>
            </w:tcMar>
            <w:vAlign w:val="center"/>
            <w:shd w:fill="EAF2F8"/>
          </w:tcPr>
          <w:p>
            <w:pPr>
              <w:spacing w:after="0"/>
            </w:pPr>
            <w:r/>
            <w:r>
              <w:rPr>
                <w:rFonts w:ascii="Aptos" w:hAnsi="Aptos"/>
                <w:b w:val="0"/>
                <w:sz w:val="17"/>
              </w:rPr>
              <w:t>Barriers are addressed and meaningful alternatives are maintained.</w:t>
            </w:r>
          </w:p>
        </w:tc>
      </w:tr>
      <w:tr>
        <w:tc>
          <w:tcPr>
            <w:tcW w:type="dxa" w:w="2736"/>
            <w:tcMar>
              <w:top w:w="90" w:type="dxa"/>
              <w:start w:w="90" w:type="dxa"/>
              <w:bottom w:w="90" w:type="dxa"/>
              <w:end w:w="90" w:type="dxa"/>
            </w:tcMar>
            <w:vAlign w:val="center"/>
          </w:tcPr>
          <w:p>
            <w:pPr>
              <w:spacing w:after="0"/>
            </w:pPr>
            <w:r/>
            <w:r>
              <w:rPr>
                <w:rFonts w:ascii="Aptos" w:hAnsi="Aptos"/>
                <w:b w:val="0"/>
                <w:sz w:val="17"/>
              </w:rPr>
              <w:t>Clear direction before assumption</w:t>
            </w:r>
          </w:p>
        </w:tc>
        <w:tc>
          <w:tcPr>
            <w:tcW w:type="dxa" w:w="7344"/>
            <w:tcMar>
              <w:top w:w="90" w:type="dxa"/>
              <w:start w:w="90" w:type="dxa"/>
              <w:bottom w:w="90" w:type="dxa"/>
              <w:end w:w="90" w:type="dxa"/>
            </w:tcMar>
            <w:vAlign w:val="center"/>
          </w:tcPr>
          <w:p>
            <w:pPr>
              <w:spacing w:after="0"/>
            </w:pPr>
            <w:r/>
            <w:r>
              <w:rPr>
                <w:rFonts w:ascii="Aptos" w:hAnsi="Aptos"/>
                <w:b w:val="0"/>
                <w:sz w:val="17"/>
              </w:rPr>
              <w:t>Roles, duties, expectations, communication, and decision authority are established before work begins.</w:t>
            </w:r>
          </w:p>
        </w:tc>
      </w:tr>
      <w:tr>
        <w:tc>
          <w:tcPr>
            <w:tcW w:type="dxa" w:w="2736"/>
            <w:tcMar>
              <w:top w:w="90" w:type="dxa"/>
              <w:start w:w="90" w:type="dxa"/>
              <w:bottom w:w="90" w:type="dxa"/>
              <w:end w:w="90" w:type="dxa"/>
            </w:tcMar>
            <w:vAlign w:val="center"/>
            <w:shd w:fill="EAF2F8"/>
          </w:tcPr>
          <w:p>
            <w:pPr>
              <w:spacing w:after="0"/>
            </w:pPr>
            <w:r/>
            <w:r>
              <w:rPr>
                <w:rFonts w:ascii="Aptos" w:hAnsi="Aptos"/>
                <w:b w:val="0"/>
                <w:sz w:val="17"/>
              </w:rPr>
              <w:t>Evidence before expansion</w:t>
            </w:r>
          </w:p>
        </w:tc>
        <w:tc>
          <w:tcPr>
            <w:tcW w:type="dxa" w:w="7344"/>
            <w:tcMar>
              <w:top w:w="90" w:type="dxa"/>
              <w:start w:w="90" w:type="dxa"/>
              <w:bottom w:w="90" w:type="dxa"/>
              <w:end w:w="90" w:type="dxa"/>
            </w:tcMar>
            <w:vAlign w:val="center"/>
            <w:shd w:fill="EAF2F8"/>
          </w:tcPr>
          <w:p>
            <w:pPr>
              <w:spacing w:after="0"/>
            </w:pPr>
            <w:r/>
            <w:r>
              <w:rPr>
                <w:rFonts w:ascii="Aptos" w:hAnsi="Aptos"/>
                <w:b w:val="0"/>
                <w:sz w:val="17"/>
              </w:rPr>
              <w:t>Growth follows demonstrated quality and capacity.</w:t>
            </w:r>
          </w:p>
        </w:tc>
      </w:tr>
      <w:tr>
        <w:tc>
          <w:tcPr>
            <w:tcW w:type="dxa" w:w="2736"/>
            <w:tcMar>
              <w:top w:w="90" w:type="dxa"/>
              <w:start w:w="90" w:type="dxa"/>
              <w:bottom w:w="90" w:type="dxa"/>
              <w:end w:w="90" w:type="dxa"/>
            </w:tcMar>
            <w:vAlign w:val="center"/>
          </w:tcPr>
          <w:p>
            <w:pPr>
              <w:spacing w:after="0"/>
            </w:pPr>
            <w:r/>
            <w:r>
              <w:rPr>
                <w:rFonts w:ascii="Aptos" w:hAnsi="Aptos"/>
                <w:b w:val="0"/>
                <w:sz w:val="17"/>
              </w:rPr>
              <w:t>Institution before personality</w:t>
            </w:r>
          </w:p>
        </w:tc>
        <w:tc>
          <w:tcPr>
            <w:tcW w:type="dxa" w:w="7344"/>
            <w:tcMar>
              <w:top w:w="90" w:type="dxa"/>
              <w:start w:w="90" w:type="dxa"/>
              <w:bottom w:w="90" w:type="dxa"/>
              <w:end w:w="90" w:type="dxa"/>
            </w:tcMar>
            <w:vAlign w:val="center"/>
          </w:tcPr>
          <w:p>
            <w:pPr>
              <w:spacing w:after="0"/>
            </w:pPr>
            <w:r/>
            <w:r>
              <w:rPr>
                <w:rFonts w:ascii="Aptos" w:hAnsi="Aptos"/>
                <w:b w:val="0"/>
                <w:sz w:val="17"/>
              </w:rPr>
              <w:t>Records, relationships, and procedures are preserved across staff changes.</w:t>
            </w:r>
          </w:p>
        </w:tc>
      </w:tr>
    </w:tbl>
    <w:p>
      <w:pPr>
        <w:spacing w:after="0"/>
      </w:pPr>
    </w:p>
    <w:p>
      <w:pPr>
        <w:pStyle w:val="Heading1"/>
      </w:pPr>
      <w:r>
        <w:t>Chapter 19: Document Ownership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112"/>
            <w:tcMar>
              <w:top w:w="90" w:type="dxa"/>
              <w:start w:w="90" w:type="dxa"/>
              <w:bottom w:w="90" w:type="dxa"/>
              <w:end w:w="90" w:type="dxa"/>
            </w:tcMar>
            <w:vAlign w:val="center"/>
            <w:shd w:fill="1F4E78"/>
          </w:tcPr>
          <w:p>
            <w:pPr>
              <w:spacing w:after="0"/>
            </w:pPr>
            <w:r/>
            <w:r>
              <w:rPr>
                <w:rFonts w:ascii="Aptos" w:hAnsi="Aptos"/>
                <w:b/>
                <w:color w:val="FFFFFF"/>
                <w:sz w:val="17"/>
              </w:rPr>
              <w:t>Question</w:t>
            </w:r>
          </w:p>
        </w:tc>
        <w:tc>
          <w:tcPr>
            <w:tcW w:type="dxa" w:w="4968"/>
            <w:tcMar>
              <w:top w:w="90" w:type="dxa"/>
              <w:start w:w="90" w:type="dxa"/>
              <w:bottom w:w="90" w:type="dxa"/>
              <w:end w:w="90" w:type="dxa"/>
            </w:tcMar>
            <w:vAlign w:val="center"/>
            <w:shd w:fill="1F4E78"/>
          </w:tcPr>
          <w:p>
            <w:pPr>
              <w:spacing w:after="0"/>
            </w:pPr>
            <w:r/>
            <w:r>
              <w:rPr>
                <w:rFonts w:ascii="Aptos" w:hAnsi="Aptos"/>
                <w:b/>
                <w:color w:val="FFFFFF"/>
                <w:sz w:val="17"/>
              </w:rPr>
              <w:t>Primary source</w:t>
            </w:r>
          </w:p>
        </w:tc>
      </w:tr>
      <w:tr>
        <w:tc>
          <w:tcPr>
            <w:tcW w:type="dxa" w:w="5112"/>
            <w:tcMar>
              <w:top w:w="90" w:type="dxa"/>
              <w:start w:w="90" w:type="dxa"/>
              <w:bottom w:w="90" w:type="dxa"/>
              <w:end w:w="90" w:type="dxa"/>
            </w:tcMar>
            <w:vAlign w:val="center"/>
            <w:shd w:fill="EAF2F8"/>
          </w:tcPr>
          <w:p>
            <w:pPr>
              <w:spacing w:after="0"/>
            </w:pPr>
            <w:r/>
            <w:r>
              <w:rPr>
                <w:rFonts w:ascii="Aptos" w:hAnsi="Aptos"/>
                <w:b w:val="0"/>
                <w:sz w:val="17"/>
              </w:rPr>
              <w:t>What is the pathway, how do students progress, and which architecture controls?</w:t>
            </w:r>
          </w:p>
        </w:tc>
        <w:tc>
          <w:tcPr>
            <w:tcW w:type="dxa" w:w="4968"/>
            <w:tcMar>
              <w:top w:w="90" w:type="dxa"/>
              <w:start w:w="90" w:type="dxa"/>
              <w:bottom w:w="90" w:type="dxa"/>
              <w:end w:w="90" w:type="dxa"/>
            </w:tcMar>
            <w:vAlign w:val="center"/>
            <w:shd w:fill="EAF2F8"/>
          </w:tcPr>
          <w:p>
            <w:pPr>
              <w:spacing w:after="0"/>
            </w:pPr>
            <w:r/>
            <w:r>
              <w:rPr>
                <w:rFonts w:ascii="Aptos" w:hAnsi="Aptos"/>
                <w:b w:val="0"/>
                <w:sz w:val="17"/>
              </w:rPr>
              <w:t>Book One: Program Blueprint</w:t>
            </w:r>
          </w:p>
        </w:tc>
      </w:tr>
      <w:tr>
        <w:tc>
          <w:tcPr>
            <w:tcW w:type="dxa" w:w="5112"/>
            <w:tcMar>
              <w:top w:w="90" w:type="dxa"/>
              <w:start w:w="90" w:type="dxa"/>
              <w:bottom w:w="90" w:type="dxa"/>
              <w:end w:w="90" w:type="dxa"/>
            </w:tcMar>
            <w:vAlign w:val="center"/>
          </w:tcPr>
          <w:p>
            <w:pPr>
              <w:spacing w:after="0"/>
            </w:pPr>
            <w:r/>
            <w:r>
              <w:rPr>
                <w:rFonts w:ascii="Aptos" w:hAnsi="Aptos"/>
                <w:b w:val="0"/>
                <w:sz w:val="17"/>
              </w:rPr>
              <w:t>What evidence is used, how is competency judged, and how are students, sites, and the pathway evaluated?</w:t>
            </w:r>
          </w:p>
        </w:tc>
        <w:tc>
          <w:tcPr>
            <w:tcW w:type="dxa" w:w="4968"/>
            <w:tcMar>
              <w:top w:w="90" w:type="dxa"/>
              <w:start w:w="90" w:type="dxa"/>
              <w:bottom w:w="90" w:type="dxa"/>
              <w:end w:w="90" w:type="dxa"/>
            </w:tcMar>
            <w:vAlign w:val="center"/>
          </w:tcPr>
          <w:p>
            <w:pPr>
              <w:spacing w:after="0"/>
            </w:pPr>
            <w:r/>
            <w:r>
              <w:rPr>
                <w:rFonts w:ascii="Aptos" w:hAnsi="Aptos"/>
                <w:b w:val="0"/>
                <w:sz w:val="17"/>
              </w:rPr>
              <w:t>Book Two: Assessment, Evaluation &amp; Continuous Improvement</w:t>
            </w:r>
          </w:p>
        </w:tc>
      </w:tr>
      <w:tr>
        <w:tc>
          <w:tcPr>
            <w:tcW w:type="dxa" w:w="5112"/>
            <w:tcMar>
              <w:top w:w="90" w:type="dxa"/>
              <w:start w:w="90" w:type="dxa"/>
              <w:bottom w:w="90" w:type="dxa"/>
              <w:end w:w="90" w:type="dxa"/>
            </w:tcMar>
            <w:vAlign w:val="center"/>
            <w:shd w:fill="EAF2F8"/>
          </w:tcPr>
          <w:p>
            <w:pPr>
              <w:spacing w:after="0"/>
            </w:pPr>
            <w:r/>
            <w:r>
              <w:rPr>
                <w:rFonts w:ascii="Aptos" w:hAnsi="Aptos"/>
                <w:b w:val="0"/>
                <w:sz w:val="17"/>
              </w:rPr>
              <w:t>Who completes the next step, when, using which approved procedure or record?</w:t>
            </w:r>
          </w:p>
        </w:tc>
        <w:tc>
          <w:tcPr>
            <w:tcW w:type="dxa" w:w="4968"/>
            <w:tcMar>
              <w:top w:w="90" w:type="dxa"/>
              <w:start w:w="90" w:type="dxa"/>
              <w:bottom w:w="90" w:type="dxa"/>
              <w:end w:w="90" w:type="dxa"/>
            </w:tcMar>
            <w:vAlign w:val="center"/>
            <w:shd w:fill="EAF2F8"/>
          </w:tcPr>
          <w:p>
            <w:pPr>
              <w:spacing w:after="0"/>
            </w:pPr>
            <w:r/>
            <w:r>
              <w:rPr>
                <w:rFonts w:ascii="Aptos" w:hAnsi="Aptos"/>
                <w:b w:val="0"/>
                <w:sz w:val="17"/>
              </w:rPr>
              <w:t>Book Three: Operations Manual</w:t>
            </w:r>
          </w:p>
        </w:tc>
      </w:tr>
      <w:tr>
        <w:tc>
          <w:tcPr>
            <w:tcW w:type="dxa" w:w="5112"/>
            <w:tcMar>
              <w:top w:w="90" w:type="dxa"/>
              <w:start w:w="90" w:type="dxa"/>
              <w:bottom w:w="90" w:type="dxa"/>
              <w:end w:w="90" w:type="dxa"/>
            </w:tcMar>
            <w:vAlign w:val="center"/>
          </w:tcPr>
          <w:p>
            <w:pPr>
              <w:spacing w:after="0"/>
            </w:pPr>
            <w:r/>
            <w:r>
              <w:rPr>
                <w:rFonts w:ascii="Aptos" w:hAnsi="Aptos"/>
                <w:b w:val="0"/>
                <w:sz w:val="17"/>
              </w:rPr>
              <w:t>What must the Board and district authorize, staff, fund, phase, communicate, or review?</w:t>
            </w:r>
          </w:p>
        </w:tc>
        <w:tc>
          <w:tcPr>
            <w:tcW w:type="dxa" w:w="4968"/>
            <w:tcMar>
              <w:top w:w="90" w:type="dxa"/>
              <w:start w:w="90" w:type="dxa"/>
              <w:bottom w:w="90" w:type="dxa"/>
              <w:end w:w="90" w:type="dxa"/>
            </w:tcMar>
            <w:vAlign w:val="center"/>
          </w:tcPr>
          <w:p>
            <w:pPr>
              <w:spacing w:after="0"/>
            </w:pPr>
            <w:r/>
            <w:r>
              <w:rPr>
                <w:rFonts w:ascii="Aptos" w:hAnsi="Aptos"/>
                <w:b w:val="0"/>
                <w:sz w:val="17"/>
              </w:rPr>
              <w:t>Book Four: Board Proposal &amp; Implementation Plan</w:t>
            </w:r>
          </w:p>
        </w:tc>
      </w:tr>
      <w:tr>
        <w:tc>
          <w:tcPr>
            <w:tcW w:type="dxa" w:w="5112"/>
            <w:tcMar>
              <w:top w:w="90" w:type="dxa"/>
              <w:start w:w="90" w:type="dxa"/>
              <w:bottom w:w="90" w:type="dxa"/>
              <w:end w:w="90" w:type="dxa"/>
            </w:tcMar>
            <w:vAlign w:val="center"/>
            <w:shd w:fill="EAF2F8"/>
          </w:tcPr>
          <w:p>
            <w:pPr>
              <w:spacing w:after="0"/>
            </w:pPr>
            <w:r/>
            <w:r>
              <w:rPr>
                <w:rFonts w:ascii="Aptos" w:hAnsi="Aptos"/>
                <w:b w:val="0"/>
                <w:sz w:val="17"/>
              </w:rPr>
              <w:t>Which terms, Gateways, course roles, and philosophies are authoritative?</w:t>
            </w:r>
          </w:p>
        </w:tc>
        <w:tc>
          <w:tcPr>
            <w:tcW w:type="dxa" w:w="4968"/>
            <w:tcMar>
              <w:top w:w="90" w:type="dxa"/>
              <w:start w:w="90" w:type="dxa"/>
              <w:bottom w:w="90" w:type="dxa"/>
              <w:end w:w="90" w:type="dxa"/>
            </w:tcMar>
            <w:vAlign w:val="center"/>
            <w:shd w:fill="EAF2F8"/>
          </w:tcPr>
          <w:p>
            <w:pPr>
              <w:spacing w:after="0"/>
            </w:pPr>
            <w:r/>
            <w:r>
              <w:rPr>
                <w:rFonts w:ascii="Aptos" w:hAnsi="Aptos"/>
                <w:b w:val="0"/>
                <w:sz w:val="17"/>
              </w:rPr>
              <w:t>Culinary Pathway Canon, Version 3.0</w:t>
            </w:r>
          </w:p>
        </w:tc>
      </w:tr>
      <w:tr>
        <w:tc>
          <w:tcPr>
            <w:tcW w:type="dxa" w:w="5112"/>
            <w:tcMar>
              <w:top w:w="90" w:type="dxa"/>
              <w:start w:w="90" w:type="dxa"/>
              <w:bottom w:w="90" w:type="dxa"/>
              <w:end w:w="90" w:type="dxa"/>
            </w:tcMar>
            <w:vAlign w:val="center"/>
          </w:tcPr>
          <w:p>
            <w:pPr>
              <w:spacing w:after="0"/>
            </w:pPr>
            <w:r/>
            <w:r>
              <w:rPr>
                <w:rFonts w:ascii="Aptos" w:hAnsi="Aptos"/>
                <w:b w:val="0"/>
                <w:sz w:val="17"/>
              </w:rPr>
              <w:t>Which cultural commitments guide judgment and behavior?</w:t>
            </w:r>
          </w:p>
        </w:tc>
        <w:tc>
          <w:tcPr>
            <w:tcW w:type="dxa" w:w="4968"/>
            <w:tcMar>
              <w:top w:w="90" w:type="dxa"/>
              <w:start w:w="90" w:type="dxa"/>
              <w:bottom w:w="90" w:type="dxa"/>
              <w:end w:w="90" w:type="dxa"/>
            </w:tcMar>
            <w:vAlign w:val="center"/>
          </w:tcPr>
          <w:p>
            <w:pPr>
              <w:spacing w:after="0"/>
            </w:pPr>
            <w:r/>
            <w:r>
              <w:rPr>
                <w:rFonts w:ascii="Aptos" w:hAnsi="Aptos"/>
                <w:b w:val="0"/>
                <w:sz w:val="17"/>
              </w:rPr>
              <w:t>Culinary Pathway Operating Principles, Version 1.0</w:t>
            </w:r>
          </w:p>
        </w:tc>
      </w:tr>
    </w:tbl>
    <w:p>
      <w:pPr>
        <w:spacing w:after="0"/>
      </w:pPr>
    </w:p>
    <w:p>
      <w:pPr>
        <w:pStyle w:val="Heading1"/>
      </w:pPr>
      <w:r>
        <w:t>Conclusion</w:t>
      </w:r>
    </w:p>
    <w:p>
      <w:r>
        <w:t>The Culinary Pathway moves students from safe participation to effective kitchen work, foundational culinary competence, client-centered performance, leadership and career readiness, and authentic workplace learning.</w:t>
      </w:r>
    </w:p>
    <w:p>
      <w:r>
        <w:t>The six Gateways make progression visible. The Culinary Passport preserves verified competency. The Cottage provides authentic school-based practice. Kitchen Management develops leaders. External Work-Based Learning completes the continuum.</w:t>
      </w:r>
    </w:p>
    <w:tbl>
      <w:tblPr>
        <w:tblStyle w:val="TableGrid"/>
        <w:tblW w:type="auto" w:w="0"/>
        <w:jc w:val="center"/>
        <w:tblLook w:firstColumn="1" w:firstRow="1" w:lastColumn="0" w:lastRow="0" w:noHBand="0" w:noVBand="1" w:val="04A0"/>
      </w:tblPr>
      <w:tblGrid>
        <w:gridCol w:w="10166"/>
      </w:tblGrid>
      <w:tr>
        <w:tc>
          <w:tcPr>
            <w:tcW w:type="dxa" w:w="10166"/>
            <w:shd w:fill="E8F5F5"/>
            <w:tcMar>
              <w:top w:w="115" w:type="dxa"/>
              <w:start w:w="130" w:type="dxa"/>
              <w:bottom w:w="115" w:type="dxa"/>
              <w:end w:w="130" w:type="dxa"/>
            </w:tcMar>
          </w:tcPr>
          <w:p>
            <w:pPr>
              <w:spacing w:after="30"/>
            </w:pPr>
            <w:r/>
            <w:r>
              <w:rPr>
                <w:rFonts w:ascii="Aptos" w:hAnsi="Aptos"/>
                <w:b/>
                <w:color w:val="1C8C8C"/>
                <w:sz w:val="20"/>
              </w:rPr>
              <w:t>The Pathway Commitment</w:t>
            </w:r>
          </w:p>
          <w:p>
            <w:pPr>
              <w:spacing w:after="0"/>
            </w:pPr>
            <w:r>
              <w:rPr>
                <w:rFonts w:ascii="Aptos" w:hAnsi="Aptos"/>
                <w:sz w:val="18"/>
              </w:rPr>
              <w:t>Provide clear direction. Inspect what you expect. Prepare students. Verify competence. Increase responsibility. Support the transition to professional practice.</w:t>
            </w:r>
          </w:p>
        </w:tc>
      </w:tr>
    </w:tbl>
    <w:p>
      <w:pPr>
        <w:spacing w:after="0"/>
      </w:pPr>
    </w:p>
    <w:p>
      <w:r>
        <w:br w:type="page"/>
      </w:r>
    </w:p>
    <w:p>
      <w:pPr>
        <w:pStyle w:val="PartTitle"/>
      </w:pPr>
      <w:r>
        <w:t>APPENDICES</w:t>
      </w:r>
    </w:p>
    <w:p>
      <w:pPr>
        <w:pStyle w:val="Heading3"/>
      </w:pPr>
      <w:r>
        <w:t>Concise reference tools for the Program Blueprint.</w:t>
      </w:r>
    </w:p>
    <w:p>
      <w:pPr>
        <w:pStyle w:val="Heading1"/>
      </w:pPr>
      <w:r>
        <w:t>Appendix A: Culinary Pathway at a Glance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tcMar>
              <w:top w:w="90" w:type="dxa"/>
              <w:start w:w="90" w:type="dxa"/>
              <w:bottom w:w="90" w:type="dxa"/>
              <w:end w:w="90" w:type="dxa"/>
            </w:tcMar>
            <w:vAlign w:val="center"/>
            <w:shd w:fill="1F4E78"/>
          </w:tcPr>
          <w:p>
            <w:pPr>
              <w:spacing w:after="0"/>
            </w:pPr>
            <w:r/>
            <w:r>
              <w:rPr>
                <w:rFonts w:ascii="Aptos" w:hAnsi="Aptos"/>
                <w:b/>
                <w:color w:val="FFFFFF"/>
                <w:sz w:val="17"/>
              </w:rPr>
              <w:t>Stage</w:t>
            </w:r>
          </w:p>
        </w:tc>
        <w:tc>
          <w:tcPr>
            <w:tcW w:type="dxa" w:w="3168"/>
            <w:tcMar>
              <w:top w:w="90" w:type="dxa"/>
              <w:start w:w="90" w:type="dxa"/>
              <w:bottom w:w="90" w:type="dxa"/>
              <w:end w:w="90" w:type="dxa"/>
            </w:tcMar>
            <w:vAlign w:val="center"/>
            <w:shd w:fill="1F4E78"/>
          </w:tcPr>
          <w:p>
            <w:pPr>
              <w:spacing w:after="0"/>
            </w:pPr>
            <w:r/>
            <w:r>
              <w:rPr>
                <w:rFonts w:ascii="Aptos" w:hAnsi="Aptos"/>
                <w:b/>
                <w:color w:val="FFFFFF"/>
                <w:sz w:val="17"/>
              </w:rPr>
              <w:t>Courses / environment</w:t>
            </w:r>
          </w:p>
        </w:tc>
        <w:tc>
          <w:tcPr>
            <w:tcW w:type="dxa" w:w="4032"/>
            <w:tcMar>
              <w:top w:w="90" w:type="dxa"/>
              <w:start w:w="90" w:type="dxa"/>
              <w:bottom w:w="90" w:type="dxa"/>
              <w:end w:w="90" w:type="dxa"/>
            </w:tcMar>
            <w:vAlign w:val="center"/>
            <w:shd w:fill="1F4E78"/>
          </w:tcPr>
          <w:p>
            <w:pPr>
              <w:spacing w:after="0"/>
            </w:pPr>
            <w:r/>
            <w:r>
              <w:rPr>
                <w:rFonts w:ascii="Aptos" w:hAnsi="Aptos"/>
                <w:b/>
                <w:color w:val="FFFFFF"/>
                <w:sz w:val="17"/>
              </w:rPr>
              <w:t>Focus</w:t>
            </w:r>
          </w:p>
        </w:tc>
        <w:tc>
          <w:tcPr>
            <w:tcW w:type="dxa" w:w="1800"/>
            <w:tcMar>
              <w:top w:w="90" w:type="dxa"/>
              <w:start w:w="90" w:type="dxa"/>
              <w:bottom w:w="90" w:type="dxa"/>
              <w:end w:w="90" w:type="dxa"/>
            </w:tcMar>
            <w:vAlign w:val="center"/>
            <w:shd w:fill="1F4E78"/>
          </w:tcPr>
          <w:p>
            <w:pPr>
              <w:spacing w:after="0"/>
            </w:pPr>
            <w:r/>
            <w:r>
              <w:rPr>
                <w:rFonts w:ascii="Aptos" w:hAnsi="Aptos"/>
                <w:b/>
                <w:color w:val="FFFFFF"/>
                <w:sz w:val="17"/>
              </w:rPr>
              <w:t>Gateway result</w:t>
            </w:r>
          </w:p>
        </w:tc>
      </w:tr>
      <w:tr>
        <w:tc>
          <w:tcPr>
            <w:tcW w:type="dxa" w:w="1800"/>
            <w:tcMar>
              <w:top w:w="90" w:type="dxa"/>
              <w:start w:w="90" w:type="dxa"/>
              <w:bottom w:w="90" w:type="dxa"/>
              <w:end w:w="90" w:type="dxa"/>
            </w:tcMar>
            <w:vAlign w:val="center"/>
            <w:shd w:fill="EAF2F8"/>
          </w:tcPr>
          <w:p>
            <w:pPr>
              <w:spacing w:after="0"/>
            </w:pPr>
            <w:r/>
            <w:r>
              <w:rPr>
                <w:rFonts w:ascii="Aptos" w:hAnsi="Aptos"/>
                <w:b w:val="0"/>
                <w:sz w:val="17"/>
              </w:rPr>
              <w:t>Grade 10 Foundation</w:t>
            </w:r>
          </w:p>
        </w:tc>
        <w:tc>
          <w:tcPr>
            <w:tcW w:type="dxa" w:w="3168"/>
            <w:tcMar>
              <w:top w:w="90" w:type="dxa"/>
              <w:start w:w="90" w:type="dxa"/>
              <w:bottom w:w="90" w:type="dxa"/>
              <w:end w:w="90" w:type="dxa"/>
            </w:tcMar>
            <w:vAlign w:val="center"/>
            <w:shd w:fill="EAF2F8"/>
          </w:tcPr>
          <w:p>
            <w:pPr>
              <w:spacing w:after="0"/>
            </w:pPr>
            <w:r/>
            <w:r>
              <w:rPr>
                <w:rFonts w:ascii="Aptos" w:hAnsi="Aptos"/>
                <w:b w:val="0"/>
                <w:sz w:val="17"/>
              </w:rPr>
              <w:t>Culinary 1 and Culinary 2; classroom and instructional kitchen</w:t>
            </w:r>
          </w:p>
        </w:tc>
        <w:tc>
          <w:tcPr>
            <w:tcW w:type="dxa" w:w="4032"/>
            <w:tcMar>
              <w:top w:w="90" w:type="dxa"/>
              <w:start w:w="90" w:type="dxa"/>
              <w:bottom w:w="90" w:type="dxa"/>
              <w:end w:w="90" w:type="dxa"/>
            </w:tcMar>
            <w:vAlign w:val="center"/>
            <w:shd w:fill="EAF2F8"/>
          </w:tcPr>
          <w:p>
            <w:pPr>
              <w:spacing w:after="0"/>
            </w:pPr>
            <w:r/>
            <w:r>
              <w:rPr>
                <w:rFonts w:ascii="Aptos" w:hAnsi="Aptos"/>
                <w:b w:val="0"/>
                <w:sz w:val="17"/>
              </w:rPr>
              <w:t>Safety, kitchen operations, foundational techniques, professional habits.</w:t>
            </w:r>
          </w:p>
        </w:tc>
        <w:tc>
          <w:tcPr>
            <w:tcW w:type="dxa" w:w="1800"/>
            <w:tcMar>
              <w:top w:w="90" w:type="dxa"/>
              <w:start w:w="90" w:type="dxa"/>
              <w:bottom w:w="90" w:type="dxa"/>
              <w:end w:w="90" w:type="dxa"/>
            </w:tcMar>
            <w:vAlign w:val="center"/>
            <w:shd w:fill="EAF2F8"/>
          </w:tcPr>
          <w:p>
            <w:pPr>
              <w:spacing w:after="0"/>
            </w:pPr>
            <w:r/>
            <w:r>
              <w:rPr>
                <w:rFonts w:ascii="Aptos" w:hAnsi="Aptos"/>
                <w:b w:val="0"/>
                <w:sz w:val="17"/>
              </w:rPr>
              <w:t>Gateways 1-3</w:t>
            </w:r>
          </w:p>
        </w:tc>
      </w:tr>
      <w:tr>
        <w:tc>
          <w:tcPr>
            <w:tcW w:type="dxa" w:w="1800"/>
            <w:tcMar>
              <w:top w:w="90" w:type="dxa"/>
              <w:start w:w="90" w:type="dxa"/>
              <w:bottom w:w="90" w:type="dxa"/>
              <w:end w:w="90" w:type="dxa"/>
            </w:tcMar>
            <w:vAlign w:val="center"/>
          </w:tcPr>
          <w:p>
            <w:pPr>
              <w:spacing w:after="0"/>
            </w:pPr>
            <w:r/>
            <w:r>
              <w:rPr>
                <w:rFonts w:ascii="Aptos" w:hAnsi="Aptos"/>
                <w:b w:val="0"/>
                <w:sz w:val="17"/>
              </w:rPr>
              <w:t>Grade 11 Professional Practice</w:t>
            </w:r>
          </w:p>
        </w:tc>
        <w:tc>
          <w:tcPr>
            <w:tcW w:type="dxa" w:w="3168"/>
            <w:tcMar>
              <w:top w:w="90" w:type="dxa"/>
              <w:start w:w="90" w:type="dxa"/>
              <w:bottom w:w="90" w:type="dxa"/>
              <w:end w:w="90" w:type="dxa"/>
            </w:tcMar>
            <w:vAlign w:val="center"/>
          </w:tcPr>
          <w:p>
            <w:pPr>
              <w:spacing w:after="0"/>
            </w:pPr>
            <w:r/>
            <w:r>
              <w:rPr>
                <w:rFonts w:ascii="Aptos" w:hAnsi="Aptos"/>
                <w:b w:val="0"/>
                <w:sz w:val="17"/>
              </w:rPr>
              <w:t>Advanced Culinary and The Cottage</w:t>
            </w:r>
          </w:p>
        </w:tc>
        <w:tc>
          <w:tcPr>
            <w:tcW w:type="dxa" w:w="4032"/>
            <w:tcMar>
              <w:top w:w="90" w:type="dxa"/>
              <w:start w:w="90" w:type="dxa"/>
              <w:bottom w:w="90" w:type="dxa"/>
              <w:end w:w="90" w:type="dxa"/>
            </w:tcMar>
            <w:vAlign w:val="center"/>
          </w:tcPr>
          <w:p>
            <w:pPr>
              <w:spacing w:after="0"/>
            </w:pPr>
            <w:r/>
            <w:r>
              <w:rPr>
                <w:rFonts w:ascii="Aptos" w:hAnsi="Aptos"/>
                <w:b w:val="0"/>
                <w:sz w:val="17"/>
              </w:rPr>
              <w:t>Client-centered production, catering, event execution, quality control, service.</w:t>
            </w:r>
          </w:p>
        </w:tc>
        <w:tc>
          <w:tcPr>
            <w:tcW w:type="dxa" w:w="1800"/>
            <w:tcMar>
              <w:top w:w="90" w:type="dxa"/>
              <w:start w:w="90" w:type="dxa"/>
              <w:bottom w:w="90" w:type="dxa"/>
              <w:end w:w="90" w:type="dxa"/>
            </w:tcMar>
            <w:vAlign w:val="center"/>
          </w:tcPr>
          <w:p>
            <w:pPr>
              <w:spacing w:after="0"/>
            </w:pPr>
            <w:r/>
            <w:r>
              <w:rPr>
                <w:rFonts w:ascii="Aptos" w:hAnsi="Aptos"/>
                <w:b w:val="0"/>
                <w:sz w:val="17"/>
              </w:rPr>
              <w:t>Gateway 4</w:t>
            </w:r>
          </w:p>
        </w:tc>
      </w:tr>
      <w:tr>
        <w:tc>
          <w:tcPr>
            <w:tcW w:type="dxa" w:w="1800"/>
            <w:tcMar>
              <w:top w:w="90" w:type="dxa"/>
              <w:start w:w="90" w:type="dxa"/>
              <w:bottom w:w="90" w:type="dxa"/>
              <w:end w:w="90" w:type="dxa"/>
            </w:tcMar>
            <w:vAlign w:val="center"/>
            <w:shd w:fill="EAF2F8"/>
          </w:tcPr>
          <w:p>
            <w:pPr>
              <w:spacing w:after="0"/>
            </w:pPr>
            <w:r/>
            <w:r>
              <w:rPr>
                <w:rFonts w:ascii="Aptos" w:hAnsi="Aptos"/>
                <w:b w:val="0"/>
                <w:sz w:val="17"/>
              </w:rPr>
              <w:t>Grade 11 Leadership Bridge</w:t>
            </w:r>
          </w:p>
        </w:tc>
        <w:tc>
          <w:tcPr>
            <w:tcW w:type="dxa" w:w="3168"/>
            <w:tcMar>
              <w:top w:w="90" w:type="dxa"/>
              <w:start w:w="90" w:type="dxa"/>
              <w:bottom w:w="90" w:type="dxa"/>
              <w:end w:w="90" w:type="dxa"/>
            </w:tcMar>
            <w:vAlign w:val="center"/>
            <w:shd w:fill="EAF2F8"/>
          </w:tcPr>
          <w:p>
            <w:pPr>
              <w:spacing w:after="0"/>
            </w:pPr>
            <w:r/>
            <w:r>
              <w:rPr>
                <w:rFonts w:ascii="Aptos" w:hAnsi="Aptos"/>
                <w:b w:val="0"/>
                <w:sz w:val="17"/>
              </w:rPr>
              <w:t>Kitchen Management</w:t>
            </w:r>
          </w:p>
        </w:tc>
        <w:tc>
          <w:tcPr>
            <w:tcW w:type="dxa" w:w="4032"/>
            <w:tcMar>
              <w:top w:w="90" w:type="dxa"/>
              <w:start w:w="90" w:type="dxa"/>
              <w:bottom w:w="90" w:type="dxa"/>
              <w:end w:w="90" w:type="dxa"/>
            </w:tcMar>
            <w:vAlign w:val="center"/>
            <w:shd w:fill="EAF2F8"/>
          </w:tcPr>
          <w:p>
            <w:pPr>
              <w:spacing w:after="0"/>
            </w:pPr>
            <w:r/>
            <w:r>
              <w:rPr>
                <w:rFonts w:ascii="Aptos" w:hAnsi="Aptos"/>
                <w:b w:val="0"/>
                <w:sz w:val="17"/>
              </w:rPr>
              <w:t>Leadership, supervision, operations, employment preparation, portfolio, interview.</w:t>
            </w:r>
          </w:p>
        </w:tc>
        <w:tc>
          <w:tcPr>
            <w:tcW w:type="dxa" w:w="1800"/>
            <w:tcMar>
              <w:top w:w="90" w:type="dxa"/>
              <w:start w:w="90" w:type="dxa"/>
              <w:bottom w:w="90" w:type="dxa"/>
              <w:end w:w="90" w:type="dxa"/>
            </w:tcMar>
            <w:vAlign w:val="center"/>
            <w:shd w:fill="EAF2F8"/>
          </w:tcPr>
          <w:p>
            <w:pPr>
              <w:spacing w:after="0"/>
            </w:pPr>
            <w:r/>
            <w:r>
              <w:rPr>
                <w:rFonts w:ascii="Aptos" w:hAnsi="Aptos"/>
                <w:b w:val="0"/>
                <w:sz w:val="17"/>
              </w:rPr>
              <w:t>Gateway 5 / Travel Rights</w:t>
            </w:r>
          </w:p>
        </w:tc>
      </w:tr>
      <w:tr>
        <w:tc>
          <w:tcPr>
            <w:tcW w:type="dxa" w:w="1800"/>
            <w:tcMar>
              <w:top w:w="90" w:type="dxa"/>
              <w:start w:w="90" w:type="dxa"/>
              <w:bottom w:w="90" w:type="dxa"/>
              <w:end w:w="90" w:type="dxa"/>
            </w:tcMar>
            <w:vAlign w:val="center"/>
          </w:tcPr>
          <w:p>
            <w:pPr>
              <w:spacing w:after="0"/>
            </w:pPr>
            <w:r/>
            <w:r>
              <w:rPr>
                <w:rFonts w:ascii="Aptos" w:hAnsi="Aptos"/>
                <w:b w:val="0"/>
                <w:sz w:val="17"/>
              </w:rPr>
              <w:t>Grade 12 Culmination</w:t>
            </w:r>
          </w:p>
        </w:tc>
        <w:tc>
          <w:tcPr>
            <w:tcW w:type="dxa" w:w="3168"/>
            <w:tcMar>
              <w:top w:w="90" w:type="dxa"/>
              <w:start w:w="90" w:type="dxa"/>
              <w:bottom w:w="90" w:type="dxa"/>
              <w:end w:w="90" w:type="dxa"/>
            </w:tcMar>
            <w:vAlign w:val="center"/>
          </w:tcPr>
          <w:p>
            <w:pPr>
              <w:spacing w:after="0"/>
            </w:pPr>
            <w:r/>
            <w:r>
              <w:rPr>
                <w:rFonts w:ascii="Aptos" w:hAnsi="Aptos"/>
                <w:b w:val="0"/>
                <w:sz w:val="17"/>
              </w:rPr>
              <w:t>External WBL; separate 1.0-credit course</w:t>
            </w:r>
          </w:p>
        </w:tc>
        <w:tc>
          <w:tcPr>
            <w:tcW w:type="dxa" w:w="4032"/>
            <w:tcMar>
              <w:top w:w="90" w:type="dxa"/>
              <w:start w:w="90" w:type="dxa"/>
              <w:bottom w:w="90" w:type="dxa"/>
              <w:end w:w="90" w:type="dxa"/>
            </w:tcMar>
            <w:vAlign w:val="center"/>
          </w:tcPr>
          <w:p>
            <w:pPr>
              <w:spacing w:after="0"/>
            </w:pPr>
            <w:r/>
            <w:r>
              <w:rPr>
                <w:rFonts w:ascii="Aptos" w:hAnsi="Aptos"/>
                <w:b w:val="0"/>
                <w:sz w:val="17"/>
              </w:rPr>
              <w:t>300 hours, portfolio, employer and coordinator evaluation, final presentation.</w:t>
            </w:r>
          </w:p>
        </w:tc>
        <w:tc>
          <w:tcPr>
            <w:tcW w:type="dxa" w:w="1800"/>
            <w:tcMar>
              <w:top w:w="90" w:type="dxa"/>
              <w:start w:w="90" w:type="dxa"/>
              <w:bottom w:w="90" w:type="dxa"/>
              <w:end w:w="90" w:type="dxa"/>
            </w:tcMar>
            <w:vAlign w:val="center"/>
          </w:tcPr>
          <w:p>
            <w:pPr>
              <w:spacing w:after="0"/>
            </w:pPr>
            <w:r/>
            <w:r>
              <w:rPr>
                <w:rFonts w:ascii="Aptos" w:hAnsi="Aptos"/>
                <w:b w:val="0"/>
                <w:sz w:val="17"/>
              </w:rPr>
              <w:t>Gateway 6</w:t>
            </w:r>
          </w:p>
        </w:tc>
      </w:tr>
    </w:tbl>
    <w:p>
      <w:pPr>
        <w:spacing w:after="0"/>
      </w:pPr>
    </w:p>
    <w:p>
      <w:pPr>
        <w:pStyle w:val="Heading1"/>
      </w:pPr>
      <w:r>
        <w:t>Appendix B: Gateway Reference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864"/>
            <w:tcMar>
              <w:top w:w="90" w:type="dxa"/>
              <w:start w:w="90" w:type="dxa"/>
              <w:bottom w:w="90" w:type="dxa"/>
              <w:end w:w="90" w:type="dxa"/>
            </w:tcMar>
            <w:vAlign w:val="center"/>
            <w:shd w:fill="1F4E78"/>
          </w:tcPr>
          <w:p>
            <w:pPr>
              <w:spacing w:after="0"/>
            </w:pPr>
            <w:r/>
            <w:r>
              <w:rPr>
                <w:rFonts w:ascii="Aptos" w:hAnsi="Aptos"/>
                <w:b/>
                <w:color w:val="FFFFFF"/>
                <w:sz w:val="17"/>
              </w:rPr>
              <w:t>Gateway</w:t>
            </w:r>
          </w:p>
        </w:tc>
        <w:tc>
          <w:tcPr>
            <w:tcW w:type="dxa" w:w="3744"/>
            <w:tcMar>
              <w:top w:w="90" w:type="dxa"/>
              <w:start w:w="90" w:type="dxa"/>
              <w:bottom w:w="90" w:type="dxa"/>
              <w:end w:w="90" w:type="dxa"/>
            </w:tcMar>
            <w:vAlign w:val="center"/>
            <w:shd w:fill="1F4E78"/>
          </w:tcPr>
          <w:p>
            <w:pPr>
              <w:spacing w:after="0"/>
            </w:pPr>
            <w:r/>
            <w:r>
              <w:rPr>
                <w:rFonts w:ascii="Aptos" w:hAnsi="Aptos"/>
                <w:b/>
                <w:color w:val="FFFFFF"/>
                <w:sz w:val="17"/>
              </w:rPr>
              <w:t>Title</w:t>
            </w:r>
          </w:p>
        </w:tc>
        <w:tc>
          <w:tcPr>
            <w:tcW w:type="dxa" w:w="5760"/>
            <w:tcMar>
              <w:top w:w="90" w:type="dxa"/>
              <w:start w:w="90" w:type="dxa"/>
              <w:bottom w:w="90" w:type="dxa"/>
              <w:end w:w="90" w:type="dxa"/>
            </w:tcMar>
            <w:vAlign w:val="center"/>
            <w:shd w:fill="1F4E78"/>
          </w:tcPr>
          <w:p>
            <w:pPr>
              <w:spacing w:after="0"/>
            </w:pPr>
            <w:r/>
            <w:r>
              <w:rPr>
                <w:rFonts w:ascii="Aptos" w:hAnsi="Aptos"/>
                <w:b/>
                <w:color w:val="FFFFFF"/>
                <w:sz w:val="17"/>
              </w:rPr>
              <w:t>Progression meaning</w:t>
            </w:r>
          </w:p>
        </w:tc>
      </w:tr>
      <w:tr>
        <w:tc>
          <w:tcPr>
            <w:tcW w:type="dxa" w:w="864"/>
            <w:tcMar>
              <w:top w:w="90" w:type="dxa"/>
              <w:start w:w="90" w:type="dxa"/>
              <w:bottom w:w="90" w:type="dxa"/>
              <w:end w:w="90" w:type="dxa"/>
            </w:tcMar>
            <w:vAlign w:val="center"/>
            <w:shd w:fill="EAF2F8"/>
          </w:tcPr>
          <w:p>
            <w:pPr>
              <w:spacing w:after="0"/>
            </w:pPr>
            <w:r/>
            <w:r>
              <w:rPr>
                <w:rFonts w:ascii="Aptos" w:hAnsi="Aptos"/>
                <w:b w:val="0"/>
                <w:sz w:val="17"/>
              </w:rPr>
              <w:t>1</w:t>
            </w:r>
          </w:p>
        </w:tc>
        <w:tc>
          <w:tcPr>
            <w:tcW w:type="dxa" w:w="3744"/>
            <w:tcMar>
              <w:top w:w="90" w:type="dxa"/>
              <w:start w:w="90" w:type="dxa"/>
              <w:bottom w:w="90" w:type="dxa"/>
              <w:end w:w="90" w:type="dxa"/>
            </w:tcMar>
            <w:vAlign w:val="center"/>
            <w:shd w:fill="EAF2F8"/>
          </w:tcPr>
          <w:p>
            <w:pPr>
              <w:spacing w:after="0"/>
            </w:pPr>
            <w:r/>
            <w:r>
              <w:rPr>
                <w:rFonts w:ascii="Aptos" w:hAnsi="Aptos"/>
                <w:b w:val="0"/>
                <w:sz w:val="17"/>
              </w:rPr>
              <w:t>Cleared for Supervised Kitchen Participation</w:t>
            </w:r>
          </w:p>
        </w:tc>
        <w:tc>
          <w:tcPr>
            <w:tcW w:type="dxa" w:w="5760"/>
            <w:tcMar>
              <w:top w:w="90" w:type="dxa"/>
              <w:start w:w="90" w:type="dxa"/>
              <w:bottom w:w="90" w:type="dxa"/>
              <w:end w:w="90" w:type="dxa"/>
            </w:tcMar>
            <w:vAlign w:val="center"/>
            <w:shd w:fill="EAF2F8"/>
          </w:tcPr>
          <w:p>
            <w:pPr>
              <w:spacing w:after="0"/>
            </w:pPr>
            <w:r/>
            <w:r>
              <w:rPr>
                <w:rFonts w:ascii="Aptos" w:hAnsi="Aptos"/>
                <w:b w:val="0"/>
                <w:sz w:val="17"/>
              </w:rPr>
              <w:t>May participate in supervised kitchen instruction.</w:t>
            </w:r>
          </w:p>
        </w:tc>
      </w:tr>
      <w:tr>
        <w:tc>
          <w:tcPr>
            <w:tcW w:type="dxa" w:w="864"/>
            <w:tcMar>
              <w:top w:w="90" w:type="dxa"/>
              <w:start w:w="90" w:type="dxa"/>
              <w:bottom w:w="90" w:type="dxa"/>
              <w:end w:w="90" w:type="dxa"/>
            </w:tcMar>
            <w:vAlign w:val="center"/>
          </w:tcPr>
          <w:p>
            <w:pPr>
              <w:spacing w:after="0"/>
            </w:pPr>
            <w:r/>
            <w:r>
              <w:rPr>
                <w:rFonts w:ascii="Aptos" w:hAnsi="Aptos"/>
                <w:b w:val="0"/>
                <w:sz w:val="17"/>
              </w:rPr>
              <w:t>2</w:t>
            </w:r>
          </w:p>
        </w:tc>
        <w:tc>
          <w:tcPr>
            <w:tcW w:type="dxa" w:w="3744"/>
            <w:tcMar>
              <w:top w:w="90" w:type="dxa"/>
              <w:start w:w="90" w:type="dxa"/>
              <w:bottom w:w="90" w:type="dxa"/>
              <w:end w:w="90" w:type="dxa"/>
            </w:tcMar>
            <w:vAlign w:val="center"/>
          </w:tcPr>
          <w:p>
            <w:pPr>
              <w:spacing w:after="0"/>
            </w:pPr>
            <w:r/>
            <w:r>
              <w:rPr>
                <w:rFonts w:ascii="Aptos" w:hAnsi="Aptos"/>
                <w:b w:val="0"/>
                <w:sz w:val="17"/>
              </w:rPr>
              <w:t>Demonstrated Kitchen-Work Readiness</w:t>
            </w:r>
          </w:p>
        </w:tc>
        <w:tc>
          <w:tcPr>
            <w:tcW w:type="dxa" w:w="5760"/>
            <w:tcMar>
              <w:top w:w="90" w:type="dxa"/>
              <w:start w:w="90" w:type="dxa"/>
              <w:bottom w:w="90" w:type="dxa"/>
              <w:end w:w="90" w:type="dxa"/>
            </w:tcMar>
            <w:vAlign w:val="center"/>
          </w:tcPr>
          <w:p>
            <w:pPr>
              <w:spacing w:after="0"/>
            </w:pPr>
            <w:r/>
            <w:r>
              <w:rPr>
                <w:rFonts w:ascii="Aptos" w:hAnsi="Aptos"/>
                <w:b w:val="0"/>
                <w:sz w:val="17"/>
              </w:rPr>
              <w:t>Can work within established kitchen routines.</w:t>
            </w:r>
          </w:p>
        </w:tc>
      </w:tr>
      <w:tr>
        <w:tc>
          <w:tcPr>
            <w:tcW w:type="dxa" w:w="864"/>
            <w:tcMar>
              <w:top w:w="90" w:type="dxa"/>
              <w:start w:w="90" w:type="dxa"/>
              <w:bottom w:w="90" w:type="dxa"/>
              <w:end w:w="90" w:type="dxa"/>
            </w:tcMar>
            <w:vAlign w:val="center"/>
            <w:shd w:fill="EAF2F8"/>
          </w:tcPr>
          <w:p>
            <w:pPr>
              <w:spacing w:after="0"/>
            </w:pPr>
            <w:r/>
            <w:r>
              <w:rPr>
                <w:rFonts w:ascii="Aptos" w:hAnsi="Aptos"/>
                <w:b w:val="0"/>
                <w:sz w:val="17"/>
              </w:rPr>
              <w:t>3</w:t>
            </w:r>
          </w:p>
        </w:tc>
        <w:tc>
          <w:tcPr>
            <w:tcW w:type="dxa" w:w="3744"/>
            <w:tcMar>
              <w:top w:w="90" w:type="dxa"/>
              <w:start w:w="90" w:type="dxa"/>
              <w:bottom w:w="90" w:type="dxa"/>
              <w:end w:w="90" w:type="dxa"/>
            </w:tcMar>
            <w:vAlign w:val="center"/>
            <w:shd w:fill="EAF2F8"/>
          </w:tcPr>
          <w:p>
            <w:pPr>
              <w:spacing w:after="0"/>
            </w:pPr>
            <w:r/>
            <w:r>
              <w:rPr>
                <w:rFonts w:ascii="Aptos" w:hAnsi="Aptos"/>
                <w:b w:val="0"/>
                <w:sz w:val="17"/>
              </w:rPr>
              <w:t>Demonstrated Foundational Culinary Competence</w:t>
            </w:r>
          </w:p>
        </w:tc>
        <w:tc>
          <w:tcPr>
            <w:tcW w:type="dxa" w:w="5760"/>
            <w:tcMar>
              <w:top w:w="90" w:type="dxa"/>
              <w:start w:w="90" w:type="dxa"/>
              <w:bottom w:w="90" w:type="dxa"/>
              <w:end w:w="90" w:type="dxa"/>
            </w:tcMar>
            <w:vAlign w:val="center"/>
            <w:shd w:fill="EAF2F8"/>
          </w:tcPr>
          <w:p>
            <w:pPr>
              <w:spacing w:after="0"/>
            </w:pPr>
            <w:r/>
            <w:r>
              <w:rPr>
                <w:rFonts w:ascii="Aptos" w:hAnsi="Aptos"/>
                <w:b w:val="0"/>
                <w:sz w:val="17"/>
              </w:rPr>
              <w:t>Ready to enter Advanced Culinary.</w:t>
            </w:r>
          </w:p>
        </w:tc>
      </w:tr>
      <w:tr>
        <w:tc>
          <w:tcPr>
            <w:tcW w:type="dxa" w:w="864"/>
            <w:tcMar>
              <w:top w:w="90" w:type="dxa"/>
              <w:start w:w="90" w:type="dxa"/>
              <w:bottom w:w="90" w:type="dxa"/>
              <w:end w:w="90" w:type="dxa"/>
            </w:tcMar>
            <w:vAlign w:val="center"/>
          </w:tcPr>
          <w:p>
            <w:pPr>
              <w:spacing w:after="0"/>
            </w:pPr>
            <w:r/>
            <w:r>
              <w:rPr>
                <w:rFonts w:ascii="Aptos" w:hAnsi="Aptos"/>
                <w:b w:val="0"/>
                <w:sz w:val="17"/>
              </w:rPr>
              <w:t>4</w:t>
            </w:r>
          </w:p>
        </w:tc>
        <w:tc>
          <w:tcPr>
            <w:tcW w:type="dxa" w:w="3744"/>
            <w:tcMar>
              <w:top w:w="90" w:type="dxa"/>
              <w:start w:w="90" w:type="dxa"/>
              <w:bottom w:w="90" w:type="dxa"/>
              <w:end w:w="90" w:type="dxa"/>
            </w:tcMar>
            <w:vAlign w:val="center"/>
          </w:tcPr>
          <w:p>
            <w:pPr>
              <w:spacing w:after="0"/>
            </w:pPr>
            <w:r/>
            <w:r>
              <w:rPr>
                <w:rFonts w:ascii="Aptos" w:hAnsi="Aptos"/>
                <w:b w:val="0"/>
                <w:sz w:val="17"/>
              </w:rPr>
              <w:t>Demonstrated Client-Centered Culinary Performance</w:t>
            </w:r>
          </w:p>
        </w:tc>
        <w:tc>
          <w:tcPr>
            <w:tcW w:type="dxa" w:w="5760"/>
            <w:tcMar>
              <w:top w:w="90" w:type="dxa"/>
              <w:start w:w="90" w:type="dxa"/>
              <w:bottom w:w="90" w:type="dxa"/>
              <w:end w:w="90" w:type="dxa"/>
            </w:tcMar>
            <w:vAlign w:val="center"/>
          </w:tcPr>
          <w:p>
            <w:pPr>
              <w:spacing w:after="0"/>
            </w:pPr>
            <w:r/>
            <w:r>
              <w:rPr>
                <w:rFonts w:ascii="Aptos" w:hAnsi="Aptos"/>
                <w:b w:val="0"/>
                <w:sz w:val="17"/>
              </w:rPr>
              <w:t>Can meet authentic client and service expectations under school supervision.</w:t>
            </w:r>
          </w:p>
        </w:tc>
      </w:tr>
      <w:tr>
        <w:tc>
          <w:tcPr>
            <w:tcW w:type="dxa" w:w="864"/>
            <w:tcMar>
              <w:top w:w="90" w:type="dxa"/>
              <w:start w:w="90" w:type="dxa"/>
              <w:bottom w:w="90" w:type="dxa"/>
              <w:end w:w="90" w:type="dxa"/>
            </w:tcMar>
            <w:vAlign w:val="center"/>
            <w:shd w:fill="EAF2F8"/>
          </w:tcPr>
          <w:p>
            <w:pPr>
              <w:spacing w:after="0"/>
            </w:pPr>
            <w:r/>
            <w:r>
              <w:rPr>
                <w:rFonts w:ascii="Aptos" w:hAnsi="Aptos"/>
                <w:b w:val="0"/>
                <w:sz w:val="17"/>
              </w:rPr>
              <w:t>5</w:t>
            </w:r>
          </w:p>
        </w:tc>
        <w:tc>
          <w:tcPr>
            <w:tcW w:type="dxa" w:w="3744"/>
            <w:tcMar>
              <w:top w:w="90" w:type="dxa"/>
              <w:start w:w="90" w:type="dxa"/>
              <w:bottom w:w="90" w:type="dxa"/>
              <w:end w:w="90" w:type="dxa"/>
            </w:tcMar>
            <w:vAlign w:val="center"/>
            <w:shd w:fill="EAF2F8"/>
          </w:tcPr>
          <w:p>
            <w:pPr>
              <w:spacing w:after="0"/>
            </w:pPr>
            <w:r/>
            <w:r>
              <w:rPr>
                <w:rFonts w:ascii="Aptos" w:hAnsi="Aptos"/>
                <w:b w:val="0"/>
                <w:sz w:val="17"/>
              </w:rPr>
              <w:t>Professional, Leadership, and Career Readiness</w:t>
            </w:r>
          </w:p>
        </w:tc>
        <w:tc>
          <w:tcPr>
            <w:tcW w:type="dxa" w:w="5760"/>
            <w:tcMar>
              <w:top w:w="90" w:type="dxa"/>
              <w:start w:w="90" w:type="dxa"/>
              <w:bottom w:w="90" w:type="dxa"/>
              <w:end w:w="90" w:type="dxa"/>
            </w:tcMar>
            <w:vAlign w:val="center"/>
            <w:shd w:fill="EAF2F8"/>
          </w:tcPr>
          <w:p>
            <w:pPr>
              <w:spacing w:after="0"/>
            </w:pPr>
            <w:r/>
            <w:r>
              <w:rPr>
                <w:rFonts w:ascii="Aptos" w:hAnsi="Aptos"/>
                <w:b w:val="0"/>
                <w:sz w:val="17"/>
              </w:rPr>
              <w:t>Earns External WBL Educational Readiness / Travel Rights.</w:t>
            </w:r>
          </w:p>
        </w:tc>
      </w:tr>
      <w:tr>
        <w:tc>
          <w:tcPr>
            <w:tcW w:type="dxa" w:w="864"/>
            <w:tcMar>
              <w:top w:w="90" w:type="dxa"/>
              <w:start w:w="90" w:type="dxa"/>
              <w:bottom w:w="90" w:type="dxa"/>
              <w:end w:w="90" w:type="dxa"/>
            </w:tcMar>
            <w:vAlign w:val="center"/>
          </w:tcPr>
          <w:p>
            <w:pPr>
              <w:spacing w:after="0"/>
            </w:pPr>
            <w:r/>
            <w:r>
              <w:rPr>
                <w:rFonts w:ascii="Aptos" w:hAnsi="Aptos"/>
                <w:b w:val="0"/>
                <w:sz w:val="17"/>
              </w:rPr>
              <w:t>6</w:t>
            </w:r>
          </w:p>
        </w:tc>
        <w:tc>
          <w:tcPr>
            <w:tcW w:type="dxa" w:w="3744"/>
            <w:tcMar>
              <w:top w:w="90" w:type="dxa"/>
              <w:start w:w="90" w:type="dxa"/>
              <w:bottom w:w="90" w:type="dxa"/>
              <w:end w:w="90" w:type="dxa"/>
            </w:tcMar>
            <w:vAlign w:val="center"/>
          </w:tcPr>
          <w:p>
            <w:pPr>
              <w:spacing w:after="0"/>
            </w:pPr>
            <w:r/>
            <w:r>
              <w:rPr>
                <w:rFonts w:ascii="Aptos" w:hAnsi="Aptos"/>
                <w:b w:val="0"/>
                <w:sz w:val="17"/>
              </w:rPr>
              <w:t>Completed Authentic Workplace Learning</w:t>
            </w:r>
          </w:p>
        </w:tc>
        <w:tc>
          <w:tcPr>
            <w:tcW w:type="dxa" w:w="5760"/>
            <w:tcMar>
              <w:top w:w="90" w:type="dxa"/>
              <w:start w:w="90" w:type="dxa"/>
              <w:bottom w:w="90" w:type="dxa"/>
              <w:end w:w="90" w:type="dxa"/>
            </w:tcMar>
            <w:vAlign w:val="center"/>
          </w:tcPr>
          <w:p>
            <w:pPr>
              <w:spacing w:after="0"/>
            </w:pPr>
            <w:r/>
            <w:r>
              <w:rPr>
                <w:rFonts w:ascii="Aptos" w:hAnsi="Aptos"/>
                <w:b w:val="0"/>
                <w:sz w:val="17"/>
              </w:rPr>
              <w:t>Completes the Culinary Pathway through verified professional transfer.</w:t>
            </w:r>
          </w:p>
        </w:tc>
      </w:tr>
    </w:tbl>
    <w:p>
      <w:pPr>
        <w:spacing w:after="0"/>
      </w:pPr>
    </w:p>
    <w:p>
      <w:pPr>
        <w:pStyle w:val="Heading1"/>
      </w:pPr>
      <w:r>
        <w:t>Appendix C: Companion Document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616"/>
            <w:tcMar>
              <w:top w:w="90" w:type="dxa"/>
              <w:start w:w="90" w:type="dxa"/>
              <w:bottom w:w="90" w:type="dxa"/>
              <w:end w:w="90" w:type="dxa"/>
            </w:tcMar>
            <w:vAlign w:val="center"/>
            <w:shd w:fill="1F4E78"/>
          </w:tcPr>
          <w:p>
            <w:pPr>
              <w:spacing w:after="0"/>
            </w:pPr>
            <w:r/>
            <w:r>
              <w:rPr>
                <w:rFonts w:ascii="Aptos" w:hAnsi="Aptos"/>
                <w:b/>
                <w:color w:val="FFFFFF"/>
                <w:sz w:val="17"/>
              </w:rPr>
              <w:t>Topic</w:t>
            </w:r>
          </w:p>
        </w:tc>
        <w:tc>
          <w:tcPr>
            <w:tcW w:type="dxa" w:w="4464"/>
            <w:tcMar>
              <w:top w:w="90" w:type="dxa"/>
              <w:start w:w="90" w:type="dxa"/>
              <w:bottom w:w="90" w:type="dxa"/>
              <w:end w:w="90" w:type="dxa"/>
            </w:tcMar>
            <w:vAlign w:val="center"/>
            <w:shd w:fill="1F4E78"/>
          </w:tcPr>
          <w:p>
            <w:pPr>
              <w:spacing w:after="0"/>
            </w:pPr>
            <w:r/>
            <w:r>
              <w:rPr>
                <w:rFonts w:ascii="Aptos" w:hAnsi="Aptos"/>
                <w:b/>
                <w:color w:val="FFFFFF"/>
                <w:sz w:val="17"/>
              </w:rPr>
              <w:t>Primary owner</w:t>
            </w:r>
          </w:p>
        </w:tc>
      </w:tr>
      <w:tr>
        <w:tc>
          <w:tcPr>
            <w:tcW w:type="dxa" w:w="5616"/>
            <w:tcMar>
              <w:top w:w="90" w:type="dxa"/>
              <w:start w:w="90" w:type="dxa"/>
              <w:bottom w:w="90" w:type="dxa"/>
              <w:end w:w="90" w:type="dxa"/>
            </w:tcMar>
            <w:vAlign w:val="center"/>
            <w:shd w:fill="EAF2F8"/>
          </w:tcPr>
          <w:p>
            <w:pPr>
              <w:spacing w:after="0"/>
            </w:pPr>
            <w:r/>
            <w:r>
              <w:rPr>
                <w:rFonts w:ascii="Aptos" w:hAnsi="Aptos"/>
                <w:b w:val="0"/>
                <w:sz w:val="17"/>
              </w:rPr>
              <w:t>Pathway purpose, progression, environments, governance, boundaries</w:t>
            </w:r>
          </w:p>
        </w:tc>
        <w:tc>
          <w:tcPr>
            <w:tcW w:type="dxa" w:w="4464"/>
            <w:tcMar>
              <w:top w:w="90" w:type="dxa"/>
              <w:start w:w="90" w:type="dxa"/>
              <w:bottom w:w="90" w:type="dxa"/>
              <w:end w:w="90" w:type="dxa"/>
            </w:tcMar>
            <w:vAlign w:val="center"/>
            <w:shd w:fill="EAF2F8"/>
          </w:tcPr>
          <w:p>
            <w:pPr>
              <w:spacing w:after="0"/>
            </w:pPr>
            <w:r/>
            <w:r>
              <w:rPr>
                <w:rFonts w:ascii="Aptos" w:hAnsi="Aptos"/>
                <w:b w:val="0"/>
                <w:sz w:val="17"/>
              </w:rPr>
              <w:t>Book One</w:t>
            </w:r>
          </w:p>
        </w:tc>
      </w:tr>
      <w:tr>
        <w:tc>
          <w:tcPr>
            <w:tcW w:type="dxa" w:w="5616"/>
            <w:tcMar>
              <w:top w:w="90" w:type="dxa"/>
              <w:start w:w="90" w:type="dxa"/>
              <w:bottom w:w="90" w:type="dxa"/>
              <w:end w:w="90" w:type="dxa"/>
            </w:tcMar>
            <w:vAlign w:val="center"/>
          </w:tcPr>
          <w:p>
            <w:pPr>
              <w:spacing w:after="0"/>
            </w:pPr>
            <w:r/>
            <w:r>
              <w:rPr>
                <w:rFonts w:ascii="Aptos" w:hAnsi="Aptos"/>
                <w:b w:val="0"/>
                <w:sz w:val="17"/>
              </w:rPr>
              <w:t>Student assessment, completion levels, evidence, reassessment, training-station and program evaluation</w:t>
            </w:r>
          </w:p>
        </w:tc>
        <w:tc>
          <w:tcPr>
            <w:tcW w:type="dxa" w:w="4464"/>
            <w:tcMar>
              <w:top w:w="90" w:type="dxa"/>
              <w:start w:w="90" w:type="dxa"/>
              <w:bottom w:w="90" w:type="dxa"/>
              <w:end w:w="90" w:type="dxa"/>
            </w:tcMar>
            <w:vAlign w:val="center"/>
          </w:tcPr>
          <w:p>
            <w:pPr>
              <w:spacing w:after="0"/>
            </w:pPr>
            <w:r/>
            <w:r>
              <w:rPr>
                <w:rFonts w:ascii="Aptos" w:hAnsi="Aptos"/>
                <w:b w:val="0"/>
                <w:sz w:val="17"/>
              </w:rPr>
              <w:t>Book Two</w:t>
            </w:r>
          </w:p>
        </w:tc>
      </w:tr>
      <w:tr>
        <w:tc>
          <w:tcPr>
            <w:tcW w:type="dxa" w:w="5616"/>
            <w:tcMar>
              <w:top w:w="90" w:type="dxa"/>
              <w:start w:w="90" w:type="dxa"/>
              <w:bottom w:w="90" w:type="dxa"/>
              <w:end w:w="90" w:type="dxa"/>
            </w:tcMar>
            <w:vAlign w:val="center"/>
            <w:shd w:fill="EAF2F8"/>
          </w:tcPr>
          <w:p>
            <w:pPr>
              <w:spacing w:after="0"/>
            </w:pPr>
            <w:r/>
            <w:r>
              <w:rPr>
                <w:rFonts w:ascii="Aptos" w:hAnsi="Aptos"/>
                <w:b w:val="0"/>
                <w:sz w:val="17"/>
              </w:rPr>
              <w:t>Procedures, calendars, forms, orientation, monitoring, safety response, records, closeout</w:t>
            </w:r>
          </w:p>
        </w:tc>
        <w:tc>
          <w:tcPr>
            <w:tcW w:type="dxa" w:w="4464"/>
            <w:tcMar>
              <w:top w:w="90" w:type="dxa"/>
              <w:start w:w="90" w:type="dxa"/>
              <w:bottom w:w="90" w:type="dxa"/>
              <w:end w:w="90" w:type="dxa"/>
            </w:tcMar>
            <w:vAlign w:val="center"/>
            <w:shd w:fill="EAF2F8"/>
          </w:tcPr>
          <w:p>
            <w:pPr>
              <w:spacing w:after="0"/>
            </w:pPr>
            <w:r/>
            <w:r>
              <w:rPr>
                <w:rFonts w:ascii="Aptos" w:hAnsi="Aptos"/>
                <w:b w:val="0"/>
                <w:sz w:val="17"/>
              </w:rPr>
              <w:t>Book Three</w:t>
            </w:r>
          </w:p>
        </w:tc>
      </w:tr>
      <w:tr>
        <w:tc>
          <w:tcPr>
            <w:tcW w:type="dxa" w:w="5616"/>
            <w:tcMar>
              <w:top w:w="90" w:type="dxa"/>
              <w:start w:w="90" w:type="dxa"/>
              <w:bottom w:w="90" w:type="dxa"/>
              <w:end w:w="90" w:type="dxa"/>
            </w:tcMar>
            <w:vAlign w:val="center"/>
          </w:tcPr>
          <w:p>
            <w:pPr>
              <w:spacing w:after="0"/>
            </w:pPr>
            <w:r/>
            <w:r>
              <w:rPr>
                <w:rFonts w:ascii="Aptos" w:hAnsi="Aptos"/>
                <w:b w:val="0"/>
                <w:sz w:val="17"/>
              </w:rPr>
              <w:t>Board proposal, staffing, resources, fiscal analysis, risk controls, implementation, reporting</w:t>
            </w:r>
          </w:p>
        </w:tc>
        <w:tc>
          <w:tcPr>
            <w:tcW w:type="dxa" w:w="4464"/>
            <w:tcMar>
              <w:top w:w="90" w:type="dxa"/>
              <w:start w:w="90" w:type="dxa"/>
              <w:bottom w:w="90" w:type="dxa"/>
              <w:end w:w="90" w:type="dxa"/>
            </w:tcMar>
            <w:vAlign w:val="center"/>
          </w:tcPr>
          <w:p>
            <w:pPr>
              <w:spacing w:after="0"/>
            </w:pPr>
            <w:r/>
            <w:r>
              <w:rPr>
                <w:rFonts w:ascii="Aptos" w:hAnsi="Aptos"/>
                <w:b w:val="0"/>
                <w:sz w:val="17"/>
              </w:rPr>
              <w:t>Book Four</w:t>
            </w:r>
          </w:p>
        </w:tc>
      </w:tr>
      <w:tr>
        <w:tc>
          <w:tcPr>
            <w:tcW w:type="dxa" w:w="5616"/>
            <w:tcMar>
              <w:top w:w="90" w:type="dxa"/>
              <w:start w:w="90" w:type="dxa"/>
              <w:bottom w:w="90" w:type="dxa"/>
              <w:end w:w="90" w:type="dxa"/>
            </w:tcMar>
            <w:vAlign w:val="center"/>
            <w:shd w:fill="EAF2F8"/>
          </w:tcPr>
          <w:p>
            <w:pPr>
              <w:spacing w:after="0"/>
            </w:pPr>
            <w:r/>
            <w:r>
              <w:rPr>
                <w:rFonts w:ascii="Aptos" w:hAnsi="Aptos"/>
                <w:b w:val="0"/>
                <w:sz w:val="17"/>
              </w:rPr>
              <w:t>Authoritative terminology and architecture</w:t>
            </w:r>
          </w:p>
        </w:tc>
        <w:tc>
          <w:tcPr>
            <w:tcW w:type="dxa" w:w="4464"/>
            <w:tcMar>
              <w:top w:w="90" w:type="dxa"/>
              <w:start w:w="90" w:type="dxa"/>
              <w:bottom w:w="90" w:type="dxa"/>
              <w:end w:w="90" w:type="dxa"/>
            </w:tcMar>
            <w:vAlign w:val="center"/>
            <w:shd w:fill="EAF2F8"/>
          </w:tcPr>
          <w:p>
            <w:pPr>
              <w:spacing w:after="0"/>
            </w:pPr>
            <w:r/>
            <w:r>
              <w:rPr>
                <w:rFonts w:ascii="Aptos" w:hAnsi="Aptos"/>
                <w:b w:val="0"/>
                <w:sz w:val="17"/>
              </w:rPr>
              <w:t>Culinary Pathway Canon, Version 3.0</w:t>
            </w:r>
          </w:p>
        </w:tc>
      </w:tr>
      <w:tr>
        <w:tc>
          <w:tcPr>
            <w:tcW w:type="dxa" w:w="5616"/>
            <w:tcMar>
              <w:top w:w="90" w:type="dxa"/>
              <w:start w:w="90" w:type="dxa"/>
              <w:bottom w:w="90" w:type="dxa"/>
              <w:end w:w="90" w:type="dxa"/>
            </w:tcMar>
            <w:vAlign w:val="center"/>
          </w:tcPr>
          <w:p>
            <w:pPr>
              <w:spacing w:after="0"/>
            </w:pPr>
            <w:r/>
            <w:r>
              <w:rPr>
                <w:rFonts w:ascii="Aptos" w:hAnsi="Aptos"/>
                <w:b w:val="0"/>
                <w:sz w:val="17"/>
              </w:rPr>
              <w:t>Culture and professional commitments</w:t>
            </w:r>
          </w:p>
        </w:tc>
        <w:tc>
          <w:tcPr>
            <w:tcW w:type="dxa" w:w="4464"/>
            <w:tcMar>
              <w:top w:w="90" w:type="dxa"/>
              <w:start w:w="90" w:type="dxa"/>
              <w:bottom w:w="90" w:type="dxa"/>
              <w:end w:w="90" w:type="dxa"/>
            </w:tcMar>
            <w:vAlign w:val="center"/>
          </w:tcPr>
          <w:p>
            <w:pPr>
              <w:spacing w:after="0"/>
            </w:pPr>
            <w:r/>
            <w:r>
              <w:rPr>
                <w:rFonts w:ascii="Aptos" w:hAnsi="Aptos"/>
                <w:b w:val="0"/>
                <w:sz w:val="17"/>
              </w:rPr>
              <w:t>Culinary Pathway Operating Principles, Version 1.0</w:t>
            </w:r>
          </w:p>
        </w:tc>
      </w:tr>
    </w:tbl>
    <w:p>
      <w:pPr>
        <w:spacing w:after="0"/>
      </w:pPr>
    </w:p>
    <w:p>
      <w:pPr>
        <w:pStyle w:val="Heading1"/>
      </w:pPr>
      <w:r>
        <w:t>Appendix D: Canon-Aligned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tcMar>
              <w:top w:w="90" w:type="dxa"/>
              <w:start w:w="90" w:type="dxa"/>
              <w:bottom w:w="90" w:type="dxa"/>
              <w:end w:w="90" w:type="dxa"/>
            </w:tcMar>
            <w:vAlign w:val="center"/>
            <w:shd w:fill="1F4E78"/>
          </w:tcPr>
          <w:p>
            <w:pPr>
              <w:spacing w:after="0"/>
            </w:pPr>
            <w:r/>
            <w:r>
              <w:rPr>
                <w:rFonts w:ascii="Aptos" w:hAnsi="Aptos"/>
                <w:b/>
                <w:color w:val="FFFFFF"/>
                <w:sz w:val="17"/>
              </w:rPr>
              <w:t>Term</w:t>
            </w:r>
          </w:p>
        </w:tc>
        <w:tc>
          <w:tcPr>
            <w:tcW w:type="dxa" w:w="7200"/>
            <w:tcMar>
              <w:top w:w="90" w:type="dxa"/>
              <w:start w:w="90" w:type="dxa"/>
              <w:bottom w:w="90" w:type="dxa"/>
              <w:end w:w="90" w:type="dxa"/>
            </w:tcMar>
            <w:vAlign w:val="center"/>
            <w:shd w:fill="1F4E78"/>
          </w:tcPr>
          <w:p>
            <w:pPr>
              <w:spacing w:after="0"/>
            </w:pPr>
            <w:r/>
            <w:r>
              <w:rPr>
                <w:rFonts w:ascii="Aptos" w:hAnsi="Aptos"/>
                <w:b/>
                <w:color w:val="FFFFFF"/>
                <w:sz w:val="17"/>
              </w:rPr>
              <w:t>Definition</w:t>
            </w:r>
          </w:p>
        </w:tc>
      </w:tr>
      <w:tr>
        <w:tc>
          <w:tcPr>
            <w:tcW w:type="dxa" w:w="2880"/>
            <w:tcMar>
              <w:top w:w="90" w:type="dxa"/>
              <w:start w:w="90" w:type="dxa"/>
              <w:bottom w:w="90" w:type="dxa"/>
              <w:end w:w="90" w:type="dxa"/>
            </w:tcMar>
            <w:vAlign w:val="center"/>
            <w:shd w:fill="EAF2F8"/>
          </w:tcPr>
          <w:p>
            <w:pPr>
              <w:spacing w:after="0"/>
            </w:pPr>
            <w:r/>
            <w:r>
              <w:rPr>
                <w:rFonts w:ascii="Aptos" w:hAnsi="Aptos"/>
                <w:b w:val="0"/>
                <w:sz w:val="17"/>
              </w:rPr>
              <w:t>Culinary Pathway</w:t>
            </w:r>
          </w:p>
        </w:tc>
        <w:tc>
          <w:tcPr>
            <w:tcW w:type="dxa" w:w="7200"/>
            <w:tcMar>
              <w:top w:w="90" w:type="dxa"/>
              <w:start w:w="90" w:type="dxa"/>
              <w:bottom w:w="90" w:type="dxa"/>
              <w:end w:w="90" w:type="dxa"/>
            </w:tcMar>
            <w:vAlign w:val="center"/>
            <w:shd w:fill="EAF2F8"/>
          </w:tcPr>
          <w:p>
            <w:pPr>
              <w:spacing w:after="0"/>
            </w:pPr>
            <w:r/>
            <w:r>
              <w:rPr>
                <w:rFonts w:ascii="Aptos" w:hAnsi="Aptos"/>
                <w:b w:val="0"/>
                <w:sz w:val="17"/>
              </w:rPr>
              <w:t>The three-year educational continuum from Grade 10 foundational instruction through Grade 12 External Work-Based Learning.</w:t>
            </w:r>
          </w:p>
        </w:tc>
      </w:tr>
      <w:tr>
        <w:tc>
          <w:tcPr>
            <w:tcW w:type="dxa" w:w="2880"/>
            <w:tcMar>
              <w:top w:w="90" w:type="dxa"/>
              <w:start w:w="90" w:type="dxa"/>
              <w:bottom w:w="90" w:type="dxa"/>
              <w:end w:w="90" w:type="dxa"/>
            </w:tcMar>
            <w:vAlign w:val="center"/>
          </w:tcPr>
          <w:p>
            <w:pPr>
              <w:spacing w:after="0"/>
            </w:pPr>
            <w:r/>
            <w:r>
              <w:rPr>
                <w:rFonts w:ascii="Aptos" w:hAnsi="Aptos"/>
                <w:b w:val="0"/>
                <w:sz w:val="17"/>
              </w:rPr>
              <w:t>Culinary Passport</w:t>
            </w:r>
          </w:p>
        </w:tc>
        <w:tc>
          <w:tcPr>
            <w:tcW w:type="dxa" w:w="7200"/>
            <w:tcMar>
              <w:top w:w="90" w:type="dxa"/>
              <w:start w:w="90" w:type="dxa"/>
              <w:bottom w:w="90" w:type="dxa"/>
              <w:end w:w="90" w:type="dxa"/>
            </w:tcMar>
            <w:vAlign w:val="center"/>
          </w:tcPr>
          <w:p>
            <w:pPr>
              <w:spacing w:after="0"/>
            </w:pPr>
            <w:r/>
            <w:r>
              <w:rPr>
                <w:rFonts w:ascii="Aptos" w:hAnsi="Aptos"/>
                <w:b w:val="0"/>
                <w:sz w:val="17"/>
              </w:rPr>
              <w:t>The student's official competency and progression record.</w:t>
            </w:r>
          </w:p>
        </w:tc>
      </w:tr>
      <w:tr>
        <w:tc>
          <w:tcPr>
            <w:tcW w:type="dxa" w:w="2880"/>
            <w:tcMar>
              <w:top w:w="90" w:type="dxa"/>
              <w:start w:w="90" w:type="dxa"/>
              <w:bottom w:w="90" w:type="dxa"/>
              <w:end w:w="90" w:type="dxa"/>
            </w:tcMar>
            <w:vAlign w:val="center"/>
            <w:shd w:fill="EAF2F8"/>
          </w:tcPr>
          <w:p>
            <w:pPr>
              <w:spacing w:after="0"/>
            </w:pPr>
            <w:r/>
            <w:r>
              <w:rPr>
                <w:rFonts w:ascii="Aptos" w:hAnsi="Aptos"/>
                <w:b w:val="0"/>
                <w:sz w:val="17"/>
              </w:rPr>
              <w:t>Gateway</w:t>
            </w:r>
          </w:p>
        </w:tc>
        <w:tc>
          <w:tcPr>
            <w:tcW w:type="dxa" w:w="7200"/>
            <w:tcMar>
              <w:top w:w="90" w:type="dxa"/>
              <w:start w:w="90" w:type="dxa"/>
              <w:bottom w:w="90" w:type="dxa"/>
              <w:end w:w="90" w:type="dxa"/>
            </w:tcMar>
            <w:vAlign w:val="center"/>
            <w:shd w:fill="EAF2F8"/>
          </w:tcPr>
          <w:p>
            <w:pPr>
              <w:spacing w:after="0"/>
            </w:pPr>
            <w:r/>
            <w:r>
              <w:rPr>
                <w:rFonts w:ascii="Aptos" w:hAnsi="Aptos"/>
                <w:b w:val="0"/>
                <w:sz w:val="17"/>
              </w:rPr>
              <w:t>A verified level of competency that authorizes or records the next level of responsibility.</w:t>
            </w:r>
          </w:p>
        </w:tc>
      </w:tr>
      <w:tr>
        <w:tc>
          <w:tcPr>
            <w:tcW w:type="dxa" w:w="2880"/>
            <w:tcMar>
              <w:top w:w="90" w:type="dxa"/>
              <w:start w:w="90" w:type="dxa"/>
              <w:bottom w:w="90" w:type="dxa"/>
              <w:end w:w="90" w:type="dxa"/>
            </w:tcMar>
            <w:vAlign w:val="center"/>
          </w:tcPr>
          <w:p>
            <w:pPr>
              <w:spacing w:after="0"/>
            </w:pPr>
            <w:r/>
            <w:r>
              <w:rPr>
                <w:rFonts w:ascii="Aptos" w:hAnsi="Aptos"/>
                <w:b w:val="0"/>
                <w:sz w:val="17"/>
              </w:rPr>
              <w:t>The Cottage</w:t>
            </w:r>
          </w:p>
        </w:tc>
        <w:tc>
          <w:tcPr>
            <w:tcW w:type="dxa" w:w="7200"/>
            <w:tcMar>
              <w:top w:w="90" w:type="dxa"/>
              <w:start w:w="90" w:type="dxa"/>
              <w:bottom w:w="90" w:type="dxa"/>
              <w:end w:w="90" w:type="dxa"/>
            </w:tcMar>
            <w:vAlign w:val="center"/>
          </w:tcPr>
          <w:p>
            <w:pPr>
              <w:spacing w:after="0"/>
            </w:pPr>
            <w:r/>
            <w:r>
              <w:rPr>
                <w:rFonts w:ascii="Aptos" w:hAnsi="Aptos"/>
                <w:b w:val="0"/>
                <w:sz w:val="17"/>
              </w:rPr>
              <w:t>The Culinary Pathway's School-Based Enterprise for authentic client-centered learning.</w:t>
            </w:r>
          </w:p>
        </w:tc>
      </w:tr>
      <w:tr>
        <w:tc>
          <w:tcPr>
            <w:tcW w:type="dxa" w:w="2880"/>
            <w:tcMar>
              <w:top w:w="90" w:type="dxa"/>
              <w:start w:w="90" w:type="dxa"/>
              <w:bottom w:w="90" w:type="dxa"/>
              <w:end w:w="90" w:type="dxa"/>
            </w:tcMar>
            <w:vAlign w:val="center"/>
            <w:shd w:fill="EAF2F8"/>
          </w:tcPr>
          <w:p>
            <w:pPr>
              <w:spacing w:after="0"/>
            </w:pPr>
            <w:r/>
            <w:r>
              <w:rPr>
                <w:rFonts w:ascii="Aptos" w:hAnsi="Aptos"/>
                <w:b w:val="0"/>
                <w:sz w:val="17"/>
              </w:rPr>
              <w:t>Kitchen Management</w:t>
            </w:r>
          </w:p>
        </w:tc>
        <w:tc>
          <w:tcPr>
            <w:tcW w:type="dxa" w:w="7200"/>
            <w:tcMar>
              <w:top w:w="90" w:type="dxa"/>
              <w:start w:w="90" w:type="dxa"/>
              <w:bottom w:w="90" w:type="dxa"/>
              <w:end w:w="90" w:type="dxa"/>
            </w:tcMar>
            <w:vAlign w:val="center"/>
            <w:shd w:fill="EAF2F8"/>
          </w:tcPr>
          <w:p>
            <w:pPr>
              <w:spacing w:after="0"/>
            </w:pPr>
            <w:r/>
            <w:r>
              <w:rPr>
                <w:rFonts w:ascii="Aptos" w:hAnsi="Aptos"/>
                <w:b w:val="0"/>
                <w:sz w:val="17"/>
              </w:rPr>
              <w:t>The leadership bridge between culinary production and professional employment.</w:t>
            </w:r>
          </w:p>
        </w:tc>
      </w:tr>
      <w:tr>
        <w:tc>
          <w:tcPr>
            <w:tcW w:type="dxa" w:w="2880"/>
            <w:tcMar>
              <w:top w:w="90" w:type="dxa"/>
              <w:start w:w="90" w:type="dxa"/>
              <w:bottom w:w="90" w:type="dxa"/>
              <w:end w:w="90" w:type="dxa"/>
            </w:tcMar>
            <w:vAlign w:val="center"/>
          </w:tcPr>
          <w:p>
            <w:pPr>
              <w:spacing w:after="0"/>
            </w:pPr>
            <w:r/>
            <w:r>
              <w:rPr>
                <w:rFonts w:ascii="Aptos" w:hAnsi="Aptos"/>
                <w:b w:val="0"/>
                <w:sz w:val="17"/>
              </w:rPr>
              <w:t>External WBL Educational Readiness</w:t>
            </w:r>
          </w:p>
        </w:tc>
        <w:tc>
          <w:tcPr>
            <w:tcW w:type="dxa" w:w="7200"/>
            <w:tcMar>
              <w:top w:w="90" w:type="dxa"/>
              <w:start w:w="90" w:type="dxa"/>
              <w:bottom w:w="90" w:type="dxa"/>
              <w:end w:w="90" w:type="dxa"/>
            </w:tcMar>
            <w:vAlign w:val="center"/>
          </w:tcPr>
          <w:p>
            <w:pPr>
              <w:spacing w:after="0"/>
            </w:pPr>
            <w:r/>
            <w:r>
              <w:rPr>
                <w:rFonts w:ascii="Aptos" w:hAnsi="Aptos"/>
                <w:b w:val="0"/>
                <w:sz w:val="17"/>
              </w:rPr>
              <w:t>The Gateway 5 result; student-facing term: Travel Rights.</w:t>
            </w:r>
          </w:p>
        </w:tc>
      </w:tr>
      <w:tr>
        <w:tc>
          <w:tcPr>
            <w:tcW w:type="dxa" w:w="2880"/>
            <w:tcMar>
              <w:top w:w="90" w:type="dxa"/>
              <w:start w:w="90" w:type="dxa"/>
              <w:bottom w:w="90" w:type="dxa"/>
              <w:end w:w="90" w:type="dxa"/>
            </w:tcMar>
            <w:vAlign w:val="center"/>
            <w:shd w:fill="EAF2F8"/>
          </w:tcPr>
          <w:p>
            <w:pPr>
              <w:spacing w:after="0"/>
            </w:pPr>
            <w:r/>
            <w:r>
              <w:rPr>
                <w:rFonts w:ascii="Aptos" w:hAnsi="Aptos"/>
                <w:b w:val="0"/>
                <w:sz w:val="17"/>
              </w:rPr>
              <w:t>External Work-Based Learning</w:t>
            </w:r>
          </w:p>
        </w:tc>
        <w:tc>
          <w:tcPr>
            <w:tcW w:type="dxa" w:w="7200"/>
            <w:tcMar>
              <w:top w:w="90" w:type="dxa"/>
              <w:start w:w="90" w:type="dxa"/>
              <w:bottom w:w="90" w:type="dxa"/>
              <w:end w:w="90" w:type="dxa"/>
            </w:tcMar>
            <w:vAlign w:val="center"/>
            <w:shd w:fill="EAF2F8"/>
          </w:tcPr>
          <w:p>
            <w:pPr>
              <w:spacing w:after="0"/>
            </w:pPr>
            <w:r/>
            <w:r>
              <w:rPr>
                <w:rFonts w:ascii="Aptos" w:hAnsi="Aptos"/>
                <w:b w:val="0"/>
                <w:sz w:val="17"/>
              </w:rPr>
              <w:t>The separate 1.0-credit senior course requiring 300 verified workplace hours and the other required completion evidence.</w:t>
            </w:r>
          </w:p>
        </w:tc>
      </w:tr>
      <w:tr>
        <w:tc>
          <w:tcPr>
            <w:tcW w:type="dxa" w:w="2880"/>
            <w:tcMar>
              <w:top w:w="90" w:type="dxa"/>
              <w:start w:w="90" w:type="dxa"/>
              <w:bottom w:w="90" w:type="dxa"/>
              <w:end w:w="90" w:type="dxa"/>
            </w:tcMar>
            <w:vAlign w:val="center"/>
          </w:tcPr>
          <w:p>
            <w:pPr>
              <w:spacing w:after="0"/>
            </w:pPr>
            <w:r/>
            <w:r>
              <w:rPr>
                <w:rFonts w:ascii="Aptos" w:hAnsi="Aptos"/>
                <w:b w:val="0"/>
                <w:sz w:val="17"/>
              </w:rPr>
              <w:t>Training station</w:t>
            </w:r>
          </w:p>
        </w:tc>
        <w:tc>
          <w:tcPr>
            <w:tcW w:type="dxa" w:w="7200"/>
            <w:tcMar>
              <w:top w:w="90" w:type="dxa"/>
              <w:start w:w="90" w:type="dxa"/>
              <w:bottom w:w="90" w:type="dxa"/>
              <w:end w:w="90" w:type="dxa"/>
            </w:tcMar>
            <w:vAlign w:val="center"/>
          </w:tcPr>
          <w:p>
            <w:pPr>
              <w:spacing w:after="0"/>
            </w:pPr>
            <w:r/>
            <w:r>
              <w:rPr>
                <w:rFonts w:ascii="Aptos" w:hAnsi="Aptos"/>
                <w:b w:val="0"/>
                <w:sz w:val="17"/>
              </w:rPr>
              <w:t>An approved workplace used as an instructional laboratory.</w:t>
            </w:r>
          </w:p>
        </w:tc>
      </w:tr>
      <w:tr>
        <w:tc>
          <w:tcPr>
            <w:tcW w:type="dxa" w:w="2880"/>
            <w:tcMar>
              <w:top w:w="90" w:type="dxa"/>
              <w:start w:w="90" w:type="dxa"/>
              <w:bottom w:w="90" w:type="dxa"/>
              <w:end w:w="90" w:type="dxa"/>
            </w:tcMar>
            <w:vAlign w:val="center"/>
            <w:shd w:fill="EAF2F8"/>
          </w:tcPr>
          <w:p>
            <w:pPr>
              <w:spacing w:after="0"/>
            </w:pPr>
            <w:r/>
            <w:r>
              <w:rPr>
                <w:rFonts w:ascii="Aptos" w:hAnsi="Aptos"/>
                <w:b w:val="0"/>
                <w:sz w:val="17"/>
              </w:rPr>
              <w:t>Portfolio</w:t>
            </w:r>
          </w:p>
        </w:tc>
        <w:tc>
          <w:tcPr>
            <w:tcW w:type="dxa" w:w="7200"/>
            <w:tcMar>
              <w:top w:w="90" w:type="dxa"/>
              <w:start w:w="90" w:type="dxa"/>
              <w:bottom w:w="90" w:type="dxa"/>
              <w:end w:w="90" w:type="dxa"/>
            </w:tcMar>
            <w:vAlign w:val="center"/>
            <w:shd w:fill="EAF2F8"/>
          </w:tcPr>
          <w:p>
            <w:pPr>
              <w:spacing w:after="0"/>
            </w:pPr>
            <w:r/>
            <w:r>
              <w:rPr>
                <w:rFonts w:ascii="Aptos" w:hAnsi="Aptos"/>
                <w:b w:val="0"/>
                <w:sz w:val="17"/>
              </w:rPr>
              <w:t>Common required and individualized evidence documenting professional growth during External WBL.</w:t>
            </w:r>
          </w:p>
        </w:tc>
      </w:tr>
      <w:tr>
        <w:tc>
          <w:tcPr>
            <w:tcW w:type="dxa" w:w="2880"/>
            <w:tcMar>
              <w:top w:w="90" w:type="dxa"/>
              <w:start w:w="90" w:type="dxa"/>
              <w:bottom w:w="90" w:type="dxa"/>
              <w:end w:w="90" w:type="dxa"/>
            </w:tcMar>
            <w:vAlign w:val="center"/>
          </w:tcPr>
          <w:p>
            <w:pPr>
              <w:spacing w:after="0"/>
            </w:pPr>
            <w:r/>
            <w:r>
              <w:rPr>
                <w:rFonts w:ascii="Aptos" w:hAnsi="Aptos"/>
                <w:b w:val="0"/>
                <w:sz w:val="17"/>
              </w:rPr>
              <w:t>Completion with Distinction</w:t>
            </w:r>
          </w:p>
        </w:tc>
        <w:tc>
          <w:tcPr>
            <w:tcW w:type="dxa" w:w="7200"/>
            <w:tcMar>
              <w:top w:w="90" w:type="dxa"/>
              <w:start w:w="90" w:type="dxa"/>
              <w:bottom w:w="90" w:type="dxa"/>
              <w:end w:w="90" w:type="dxa"/>
            </w:tcMar>
            <w:vAlign w:val="center"/>
          </w:tcPr>
          <w:p>
            <w:pPr>
              <w:spacing w:after="0"/>
            </w:pPr>
            <w:r/>
            <w:r>
              <w:rPr>
                <w:rFonts w:ascii="Aptos" w:hAnsi="Aptos"/>
                <w:b w:val="0"/>
                <w:sz w:val="17"/>
              </w:rPr>
              <w:t>The student exceeds pathway expectations.</w:t>
            </w:r>
          </w:p>
        </w:tc>
      </w:tr>
      <w:tr>
        <w:tc>
          <w:tcPr>
            <w:tcW w:type="dxa" w:w="2880"/>
            <w:tcMar>
              <w:top w:w="90" w:type="dxa"/>
              <w:start w:w="90" w:type="dxa"/>
              <w:bottom w:w="90" w:type="dxa"/>
              <w:end w:w="90" w:type="dxa"/>
            </w:tcMar>
            <w:vAlign w:val="center"/>
            <w:shd w:fill="EAF2F8"/>
          </w:tcPr>
          <w:p>
            <w:pPr>
              <w:spacing w:after="0"/>
            </w:pPr>
            <w:r/>
            <w:r>
              <w:rPr>
                <w:rFonts w:ascii="Aptos" w:hAnsi="Aptos"/>
                <w:b w:val="0"/>
                <w:sz w:val="17"/>
              </w:rPr>
              <w:t>Completion</w:t>
            </w:r>
          </w:p>
        </w:tc>
        <w:tc>
          <w:tcPr>
            <w:tcW w:type="dxa" w:w="7200"/>
            <w:tcMar>
              <w:top w:w="90" w:type="dxa"/>
              <w:start w:w="90" w:type="dxa"/>
              <w:bottom w:w="90" w:type="dxa"/>
              <w:end w:w="90" w:type="dxa"/>
            </w:tcMar>
            <w:vAlign w:val="center"/>
            <w:shd w:fill="EAF2F8"/>
          </w:tcPr>
          <w:p>
            <w:pPr>
              <w:spacing w:after="0"/>
            </w:pPr>
            <w:r/>
            <w:r>
              <w:rPr>
                <w:rFonts w:ascii="Aptos" w:hAnsi="Aptos"/>
                <w:b w:val="0"/>
                <w:sz w:val="17"/>
              </w:rPr>
              <w:t>The student meets pathway expectations.</w:t>
            </w:r>
          </w:p>
        </w:tc>
      </w:tr>
      <w:tr>
        <w:tc>
          <w:tcPr>
            <w:tcW w:type="dxa" w:w="2880"/>
            <w:tcMar>
              <w:top w:w="90" w:type="dxa"/>
              <w:start w:w="90" w:type="dxa"/>
              <w:bottom w:w="90" w:type="dxa"/>
              <w:end w:w="90" w:type="dxa"/>
            </w:tcMar>
            <w:vAlign w:val="center"/>
          </w:tcPr>
          <w:p>
            <w:pPr>
              <w:spacing w:after="0"/>
            </w:pPr>
            <w:r/>
            <w:r>
              <w:rPr>
                <w:rFonts w:ascii="Aptos" w:hAnsi="Aptos"/>
                <w:b w:val="0"/>
                <w:sz w:val="17"/>
              </w:rPr>
              <w:t>Not Yet Completed</w:t>
            </w:r>
          </w:p>
        </w:tc>
        <w:tc>
          <w:tcPr>
            <w:tcW w:type="dxa" w:w="7200"/>
            <w:tcMar>
              <w:top w:w="90" w:type="dxa"/>
              <w:start w:w="90" w:type="dxa"/>
              <w:bottom w:w="90" w:type="dxa"/>
              <w:end w:w="90" w:type="dxa"/>
            </w:tcMar>
            <w:vAlign w:val="center"/>
          </w:tcPr>
          <w:p>
            <w:pPr>
              <w:spacing w:after="0"/>
            </w:pPr>
            <w:r/>
            <w:r>
              <w:rPr>
                <w:rFonts w:ascii="Aptos" w:hAnsi="Aptos"/>
                <w:b w:val="0"/>
                <w:sz w:val="17"/>
              </w:rPr>
              <w:t>Additional instruction and reassessment are required before Passport completion.</w:t>
            </w:r>
          </w:p>
        </w:tc>
      </w:tr>
      <w:tr>
        <w:tc>
          <w:tcPr>
            <w:tcW w:type="dxa" w:w="2880"/>
            <w:tcMar>
              <w:top w:w="90" w:type="dxa"/>
              <w:start w:w="90" w:type="dxa"/>
              <w:bottom w:w="90" w:type="dxa"/>
              <w:end w:w="90" w:type="dxa"/>
            </w:tcMar>
            <w:vAlign w:val="center"/>
            <w:shd w:fill="EAF2F8"/>
          </w:tcPr>
          <w:p>
            <w:pPr>
              <w:spacing w:after="0"/>
            </w:pPr>
            <w:r/>
            <w:r>
              <w:rPr>
                <w:rFonts w:ascii="Aptos" w:hAnsi="Aptos"/>
                <w:b w:val="0"/>
                <w:sz w:val="17"/>
              </w:rPr>
              <w:t>Reassessment</w:t>
            </w:r>
          </w:p>
        </w:tc>
        <w:tc>
          <w:tcPr>
            <w:tcW w:type="dxa" w:w="7200"/>
            <w:tcMar>
              <w:top w:w="90" w:type="dxa"/>
              <w:start w:w="90" w:type="dxa"/>
              <w:bottom w:w="90" w:type="dxa"/>
              <w:end w:w="90" w:type="dxa"/>
            </w:tcMar>
            <w:vAlign w:val="center"/>
            <w:shd w:fill="EAF2F8"/>
          </w:tcPr>
          <w:p>
            <w:pPr>
              <w:spacing w:after="0"/>
            </w:pPr>
            <w:r/>
            <w:r>
              <w:rPr>
                <w:rFonts w:ascii="Aptos" w:hAnsi="Aptos"/>
                <w:b w:val="0"/>
                <w:sz w:val="17"/>
              </w:rPr>
              <w:t>A new equivalent opportunity after feedback, reflection, practice, or remediation.</w:t>
            </w:r>
          </w:p>
        </w:tc>
      </w:tr>
      <w:tr>
        <w:tc>
          <w:tcPr>
            <w:tcW w:type="dxa" w:w="2880"/>
            <w:tcMar>
              <w:top w:w="90" w:type="dxa"/>
              <w:start w:w="90" w:type="dxa"/>
              <w:bottom w:w="90" w:type="dxa"/>
              <w:end w:w="90" w:type="dxa"/>
            </w:tcMar>
            <w:vAlign w:val="center"/>
          </w:tcPr>
          <w:p>
            <w:pPr>
              <w:spacing w:after="0"/>
            </w:pPr>
            <w:r/>
            <w:r>
              <w:rPr>
                <w:rFonts w:ascii="Aptos" w:hAnsi="Aptos"/>
                <w:b w:val="0"/>
                <w:sz w:val="17"/>
              </w:rPr>
              <w:t>Reverification</w:t>
            </w:r>
          </w:p>
        </w:tc>
        <w:tc>
          <w:tcPr>
            <w:tcW w:type="dxa" w:w="7200"/>
            <w:tcMar>
              <w:top w:w="90" w:type="dxa"/>
              <w:start w:w="90" w:type="dxa"/>
              <w:bottom w:w="90" w:type="dxa"/>
              <w:end w:w="90" w:type="dxa"/>
            </w:tcMar>
            <w:vAlign w:val="center"/>
          </w:tcPr>
          <w:p>
            <w:pPr>
              <w:spacing w:after="0"/>
            </w:pPr>
            <w:r/>
            <w:r>
              <w:rPr>
                <w:rFonts w:ascii="Aptos" w:hAnsi="Aptos"/>
                <w:b w:val="0"/>
                <w:sz w:val="17"/>
              </w:rPr>
              <w:t>Later confirmation that a critical competency remains dependable in a more advanced environment.</w:t>
            </w:r>
          </w:p>
        </w:tc>
      </w:tr>
    </w:tbl>
    <w:p>
      <w:pPr>
        <w:spacing w:after="0"/>
      </w:pPr>
    </w:p>
    <w:p>
      <w:pPr>
        <w:pStyle w:val="Heading1"/>
      </w:pPr>
      <w:r>
        <w:t>Appendix E: Operating Principles Reference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tcMar>
              <w:top w:w="90" w:type="dxa"/>
              <w:start w:w="90" w:type="dxa"/>
              <w:bottom w:w="90" w:type="dxa"/>
              <w:end w:w="90" w:type="dxa"/>
            </w:tcMar>
            <w:vAlign w:val="center"/>
            <w:shd w:fill="1F4E78"/>
          </w:tcPr>
          <w:p>
            <w:pPr>
              <w:spacing w:after="0"/>
            </w:pPr>
            <w:r/>
            <w:r>
              <w:rPr>
                <w:rFonts w:ascii="Aptos" w:hAnsi="Aptos"/>
                <w:b/>
                <w:color w:val="FFFFFF"/>
                <w:sz w:val="17"/>
              </w:rPr>
              <w:t>Operating principle</w:t>
            </w:r>
          </w:p>
        </w:tc>
        <w:tc>
          <w:tcPr>
            <w:tcW w:type="dxa" w:w="6336"/>
            <w:tcMar>
              <w:top w:w="90" w:type="dxa"/>
              <w:start w:w="90" w:type="dxa"/>
              <w:bottom w:w="90" w:type="dxa"/>
              <w:end w:w="90" w:type="dxa"/>
            </w:tcMar>
            <w:vAlign w:val="center"/>
            <w:shd w:fill="1F4E78"/>
          </w:tcPr>
          <w:p>
            <w:pPr>
              <w:spacing w:after="0"/>
            </w:pPr>
            <w:r/>
            <w:r>
              <w:rPr>
                <w:rFonts w:ascii="Aptos" w:hAnsi="Aptos"/>
                <w:b/>
                <w:color w:val="FFFFFF"/>
                <w:sz w:val="17"/>
              </w:rPr>
              <w:t>Program application</w:t>
            </w:r>
          </w:p>
        </w:tc>
      </w:tr>
      <w:tr>
        <w:tc>
          <w:tcPr>
            <w:tcW w:type="dxa" w:w="3744"/>
            <w:tcMar>
              <w:top w:w="90" w:type="dxa"/>
              <w:start w:w="90" w:type="dxa"/>
              <w:bottom w:w="90" w:type="dxa"/>
              <w:end w:w="90" w:type="dxa"/>
            </w:tcMar>
            <w:vAlign w:val="center"/>
            <w:shd w:fill="EAF2F8"/>
          </w:tcPr>
          <w:p>
            <w:pPr>
              <w:spacing w:after="0"/>
            </w:pPr>
            <w:r/>
            <w:r>
              <w:rPr>
                <w:rFonts w:ascii="Aptos" w:hAnsi="Aptos"/>
                <w:b w:val="0"/>
                <w:sz w:val="17"/>
              </w:rPr>
              <w:t>Every Day Is a School Day</w:t>
            </w:r>
          </w:p>
        </w:tc>
        <w:tc>
          <w:tcPr>
            <w:tcW w:type="dxa" w:w="6336"/>
            <w:tcMar>
              <w:top w:w="90" w:type="dxa"/>
              <w:start w:w="90" w:type="dxa"/>
              <w:bottom w:w="90" w:type="dxa"/>
              <w:end w:w="90" w:type="dxa"/>
            </w:tcMar>
            <w:vAlign w:val="center"/>
            <w:shd w:fill="EAF2F8"/>
          </w:tcPr>
          <w:p>
            <w:pPr>
              <w:spacing w:after="0"/>
            </w:pPr>
            <w:r/>
            <w:r>
              <w:rPr>
                <w:rFonts w:ascii="Aptos" w:hAnsi="Aptos"/>
                <w:b w:val="0"/>
                <w:sz w:val="17"/>
              </w:rPr>
              <w:t>Every environment and professional interaction supports learning.</w:t>
            </w:r>
          </w:p>
        </w:tc>
      </w:tr>
      <w:tr>
        <w:tc>
          <w:tcPr>
            <w:tcW w:type="dxa" w:w="3744"/>
            <w:tcMar>
              <w:top w:w="90" w:type="dxa"/>
              <w:start w:w="90" w:type="dxa"/>
              <w:bottom w:w="90" w:type="dxa"/>
              <w:end w:w="90" w:type="dxa"/>
            </w:tcMar>
            <w:vAlign w:val="center"/>
          </w:tcPr>
          <w:p>
            <w:pPr>
              <w:spacing w:after="0"/>
            </w:pPr>
            <w:r/>
            <w:r>
              <w:rPr>
                <w:rFonts w:ascii="Aptos" w:hAnsi="Aptos"/>
                <w:b w:val="0"/>
                <w:sz w:val="17"/>
              </w:rPr>
              <w:t>Provide Clear Direction</w:t>
            </w:r>
          </w:p>
        </w:tc>
        <w:tc>
          <w:tcPr>
            <w:tcW w:type="dxa" w:w="6336"/>
            <w:tcMar>
              <w:top w:w="90" w:type="dxa"/>
              <w:start w:w="90" w:type="dxa"/>
              <w:bottom w:w="90" w:type="dxa"/>
              <w:end w:w="90" w:type="dxa"/>
            </w:tcMar>
            <w:vAlign w:val="center"/>
          </w:tcPr>
          <w:p>
            <w:pPr>
              <w:spacing w:after="0"/>
            </w:pPr>
            <w:r/>
            <w:r>
              <w:rPr>
                <w:rFonts w:ascii="Aptos" w:hAnsi="Aptos"/>
                <w:b w:val="0"/>
                <w:sz w:val="17"/>
              </w:rPr>
              <w:t>Students know expectations, success criteria, responsibilities, and next steps.</w:t>
            </w:r>
          </w:p>
        </w:tc>
      </w:tr>
      <w:tr>
        <w:tc>
          <w:tcPr>
            <w:tcW w:type="dxa" w:w="3744"/>
            <w:tcMar>
              <w:top w:w="90" w:type="dxa"/>
              <w:start w:w="90" w:type="dxa"/>
              <w:bottom w:w="90" w:type="dxa"/>
              <w:end w:w="90" w:type="dxa"/>
            </w:tcMar>
            <w:vAlign w:val="center"/>
            <w:shd w:fill="EAF2F8"/>
          </w:tcPr>
          <w:p>
            <w:pPr>
              <w:spacing w:after="0"/>
            </w:pPr>
            <w:r/>
            <w:r>
              <w:rPr>
                <w:rFonts w:ascii="Aptos" w:hAnsi="Aptos"/>
                <w:b w:val="0"/>
                <w:sz w:val="17"/>
              </w:rPr>
              <w:t>Inspect What You Expect</w:t>
            </w:r>
          </w:p>
        </w:tc>
        <w:tc>
          <w:tcPr>
            <w:tcW w:type="dxa" w:w="6336"/>
            <w:tcMar>
              <w:top w:w="90" w:type="dxa"/>
              <w:start w:w="90" w:type="dxa"/>
              <w:bottom w:w="90" w:type="dxa"/>
              <w:end w:w="90" w:type="dxa"/>
            </w:tcMar>
            <w:vAlign w:val="center"/>
            <w:shd w:fill="EAF2F8"/>
          </w:tcPr>
          <w:p>
            <w:pPr>
              <w:spacing w:after="0"/>
            </w:pPr>
            <w:r/>
            <w:r>
              <w:rPr>
                <w:rFonts w:ascii="Aptos" w:hAnsi="Aptos"/>
                <w:b w:val="0"/>
                <w:sz w:val="17"/>
              </w:rPr>
              <w:t>Observation, coaching, feedback, and accountability verify performance.</w:t>
            </w:r>
          </w:p>
        </w:tc>
      </w:tr>
      <w:tr>
        <w:tc>
          <w:tcPr>
            <w:tcW w:type="dxa" w:w="3744"/>
            <w:tcMar>
              <w:top w:w="90" w:type="dxa"/>
              <w:start w:w="90" w:type="dxa"/>
              <w:bottom w:w="90" w:type="dxa"/>
              <w:end w:w="90" w:type="dxa"/>
            </w:tcMar>
            <w:vAlign w:val="center"/>
          </w:tcPr>
          <w:p>
            <w:pPr>
              <w:spacing w:after="0"/>
            </w:pPr>
            <w:r/>
            <w:r>
              <w:rPr>
                <w:rFonts w:ascii="Aptos" w:hAnsi="Aptos"/>
                <w:b w:val="0"/>
                <w:sz w:val="17"/>
              </w:rPr>
              <w:t>Students Advance by Demonstrating Competency</w:t>
            </w:r>
          </w:p>
        </w:tc>
        <w:tc>
          <w:tcPr>
            <w:tcW w:type="dxa" w:w="6336"/>
            <w:tcMar>
              <w:top w:w="90" w:type="dxa"/>
              <w:start w:w="90" w:type="dxa"/>
              <w:bottom w:w="90" w:type="dxa"/>
              <w:end w:w="90" w:type="dxa"/>
            </w:tcMar>
            <w:vAlign w:val="center"/>
          </w:tcPr>
          <w:p>
            <w:pPr>
              <w:spacing w:after="0"/>
            </w:pPr>
            <w:r/>
            <w:r>
              <w:rPr>
                <w:rFonts w:ascii="Aptos" w:hAnsi="Aptos"/>
                <w:b w:val="0"/>
                <w:sz w:val="17"/>
              </w:rPr>
              <w:t>Verified performance, not participation alone, determines advancement.</w:t>
            </w:r>
          </w:p>
        </w:tc>
      </w:tr>
      <w:tr>
        <w:tc>
          <w:tcPr>
            <w:tcW w:type="dxa" w:w="3744"/>
            <w:tcMar>
              <w:top w:w="90" w:type="dxa"/>
              <w:start w:w="90" w:type="dxa"/>
              <w:bottom w:w="90" w:type="dxa"/>
              <w:end w:w="90" w:type="dxa"/>
            </w:tcMar>
            <w:vAlign w:val="center"/>
            <w:shd w:fill="EAF2F8"/>
          </w:tcPr>
          <w:p>
            <w:pPr>
              <w:spacing w:after="0"/>
            </w:pPr>
            <w:r/>
            <w:r>
              <w:rPr>
                <w:rFonts w:ascii="Aptos" w:hAnsi="Aptos"/>
                <w:b w:val="0"/>
                <w:sz w:val="17"/>
              </w:rPr>
              <w:t>Experiences Provide Evidence. Competencies Determine Progression.</w:t>
            </w:r>
          </w:p>
        </w:tc>
        <w:tc>
          <w:tcPr>
            <w:tcW w:type="dxa" w:w="6336"/>
            <w:tcMar>
              <w:top w:w="90" w:type="dxa"/>
              <w:start w:w="90" w:type="dxa"/>
              <w:bottom w:w="90" w:type="dxa"/>
              <w:end w:w="90" w:type="dxa"/>
            </w:tcMar>
            <w:vAlign w:val="center"/>
            <w:shd w:fill="EAF2F8"/>
          </w:tcPr>
          <w:p>
            <w:pPr>
              <w:spacing w:after="0"/>
            </w:pPr>
            <w:r/>
            <w:r>
              <w:rPr>
                <w:rFonts w:ascii="Aptos" w:hAnsi="Aptos"/>
                <w:b w:val="0"/>
                <w:sz w:val="17"/>
              </w:rPr>
              <w:t>Authentic experiences create evidence; competency authorizes responsibility.</w:t>
            </w:r>
          </w:p>
        </w:tc>
      </w:tr>
      <w:tr>
        <w:tc>
          <w:tcPr>
            <w:tcW w:type="dxa" w:w="3744"/>
            <w:tcMar>
              <w:top w:w="90" w:type="dxa"/>
              <w:start w:w="90" w:type="dxa"/>
              <w:bottom w:w="90" w:type="dxa"/>
              <w:end w:w="90" w:type="dxa"/>
            </w:tcMar>
            <w:vAlign w:val="center"/>
          </w:tcPr>
          <w:p>
            <w:pPr>
              <w:spacing w:after="0"/>
            </w:pPr>
            <w:r/>
            <w:r>
              <w:rPr>
                <w:rFonts w:ascii="Aptos" w:hAnsi="Aptos"/>
                <w:b w:val="0"/>
                <w:sz w:val="17"/>
              </w:rPr>
              <w:t>Learning Before Labor</w:t>
            </w:r>
          </w:p>
        </w:tc>
        <w:tc>
          <w:tcPr>
            <w:tcW w:type="dxa" w:w="6336"/>
            <w:tcMar>
              <w:top w:w="90" w:type="dxa"/>
              <w:start w:w="90" w:type="dxa"/>
              <w:bottom w:w="90" w:type="dxa"/>
              <w:end w:w="90" w:type="dxa"/>
            </w:tcMar>
            <w:vAlign w:val="center"/>
          </w:tcPr>
          <w:p>
            <w:pPr>
              <w:spacing w:after="0"/>
            </w:pPr>
            <w:r/>
            <w:r>
              <w:rPr>
                <w:rFonts w:ascii="Aptos" w:hAnsi="Aptos"/>
                <w:b w:val="0"/>
                <w:sz w:val="17"/>
              </w:rPr>
              <w:t>Educational purpose remains primary in every work experience.</w:t>
            </w:r>
          </w:p>
        </w:tc>
      </w:tr>
      <w:tr>
        <w:tc>
          <w:tcPr>
            <w:tcW w:type="dxa" w:w="3744"/>
            <w:tcMar>
              <w:top w:w="90" w:type="dxa"/>
              <w:start w:w="90" w:type="dxa"/>
              <w:bottom w:w="90" w:type="dxa"/>
              <w:end w:w="90" w:type="dxa"/>
            </w:tcMar>
            <w:vAlign w:val="center"/>
            <w:shd w:fill="EAF2F8"/>
          </w:tcPr>
          <w:p>
            <w:pPr>
              <w:spacing w:after="0"/>
            </w:pPr>
            <w:r/>
            <w:r>
              <w:rPr>
                <w:rFonts w:ascii="Aptos" w:hAnsi="Aptos"/>
                <w:b w:val="0"/>
                <w:sz w:val="17"/>
              </w:rPr>
              <w:t>Preparation Before Independence</w:t>
            </w:r>
          </w:p>
        </w:tc>
        <w:tc>
          <w:tcPr>
            <w:tcW w:type="dxa" w:w="6336"/>
            <w:tcMar>
              <w:top w:w="90" w:type="dxa"/>
              <w:start w:w="90" w:type="dxa"/>
              <w:bottom w:w="90" w:type="dxa"/>
              <w:end w:w="90" w:type="dxa"/>
            </w:tcMar>
            <w:vAlign w:val="center"/>
            <w:shd w:fill="EAF2F8"/>
          </w:tcPr>
          <w:p>
            <w:pPr>
              <w:spacing w:after="0"/>
            </w:pPr>
            <w:r/>
            <w:r>
              <w:rPr>
                <w:rFonts w:ascii="Aptos" w:hAnsi="Aptos"/>
                <w:b w:val="0"/>
                <w:sz w:val="17"/>
              </w:rPr>
              <w:t>Freedom and responsibility follow demonstrated readiness.</w:t>
            </w:r>
          </w:p>
        </w:tc>
      </w:tr>
      <w:tr>
        <w:tc>
          <w:tcPr>
            <w:tcW w:type="dxa" w:w="3744"/>
            <w:tcMar>
              <w:top w:w="90" w:type="dxa"/>
              <w:start w:w="90" w:type="dxa"/>
              <w:bottom w:w="90" w:type="dxa"/>
              <w:end w:w="90" w:type="dxa"/>
            </w:tcMar>
            <w:vAlign w:val="center"/>
          </w:tcPr>
          <w:p>
            <w:pPr>
              <w:spacing w:after="0"/>
            </w:pPr>
            <w:r/>
            <w:r>
              <w:rPr>
                <w:rFonts w:ascii="Aptos" w:hAnsi="Aptos"/>
                <w:b w:val="0"/>
                <w:sz w:val="17"/>
              </w:rPr>
              <w:t>Quality Before Quantity</w:t>
            </w:r>
          </w:p>
        </w:tc>
        <w:tc>
          <w:tcPr>
            <w:tcW w:type="dxa" w:w="6336"/>
            <w:tcMar>
              <w:top w:w="90" w:type="dxa"/>
              <w:start w:w="90" w:type="dxa"/>
              <w:bottom w:w="90" w:type="dxa"/>
              <w:end w:w="90" w:type="dxa"/>
            </w:tcMar>
            <w:vAlign w:val="center"/>
          </w:tcPr>
          <w:p>
            <w:pPr>
              <w:spacing w:after="0"/>
            </w:pPr>
            <w:r/>
            <w:r>
              <w:rPr>
                <w:rFonts w:ascii="Aptos" w:hAnsi="Aptos"/>
                <w:b w:val="0"/>
                <w:sz w:val="17"/>
              </w:rPr>
              <w:t>Growth never compromises learning, safety, supervision, or integrity.</w:t>
            </w:r>
          </w:p>
        </w:tc>
      </w:tr>
      <w:tr>
        <w:tc>
          <w:tcPr>
            <w:tcW w:type="dxa" w:w="3744"/>
            <w:tcMar>
              <w:top w:w="90" w:type="dxa"/>
              <w:start w:w="90" w:type="dxa"/>
              <w:bottom w:w="90" w:type="dxa"/>
              <w:end w:w="90" w:type="dxa"/>
            </w:tcMar>
            <w:vAlign w:val="center"/>
            <w:shd w:fill="EAF2F8"/>
          </w:tcPr>
          <w:p>
            <w:pPr>
              <w:spacing w:after="0"/>
            </w:pPr>
            <w:r/>
            <w:r>
              <w:rPr>
                <w:rFonts w:ascii="Aptos" w:hAnsi="Aptos"/>
                <w:b w:val="0"/>
                <w:sz w:val="17"/>
              </w:rPr>
              <w:t>Build Leaders, Not Just Cooks</w:t>
            </w:r>
          </w:p>
        </w:tc>
        <w:tc>
          <w:tcPr>
            <w:tcW w:type="dxa" w:w="6336"/>
            <w:tcMar>
              <w:top w:w="90" w:type="dxa"/>
              <w:start w:w="90" w:type="dxa"/>
              <w:bottom w:w="90" w:type="dxa"/>
              <w:end w:w="90" w:type="dxa"/>
            </w:tcMar>
            <w:vAlign w:val="center"/>
            <w:shd w:fill="EAF2F8"/>
          </w:tcPr>
          <w:p>
            <w:pPr>
              <w:spacing w:after="0"/>
            </w:pPr>
            <w:r/>
            <w:r>
              <w:rPr>
                <w:rFonts w:ascii="Aptos" w:hAnsi="Aptos"/>
                <w:b w:val="0"/>
                <w:sz w:val="17"/>
              </w:rPr>
              <w:t>Technical skill develops with communication, judgment, professionalism, and leadership.</w:t>
            </w:r>
          </w:p>
        </w:tc>
      </w:tr>
      <w:tr>
        <w:tc>
          <w:tcPr>
            <w:tcW w:type="dxa" w:w="3744"/>
            <w:tcMar>
              <w:top w:w="90" w:type="dxa"/>
              <w:start w:w="90" w:type="dxa"/>
              <w:bottom w:w="90" w:type="dxa"/>
              <w:end w:w="90" w:type="dxa"/>
            </w:tcMar>
            <w:vAlign w:val="center"/>
          </w:tcPr>
          <w:p>
            <w:pPr>
              <w:spacing w:after="0"/>
            </w:pPr>
            <w:r/>
            <w:r>
              <w:rPr>
                <w:rFonts w:ascii="Aptos" w:hAnsi="Aptos"/>
                <w:b w:val="0"/>
                <w:sz w:val="17"/>
              </w:rPr>
              <w:t>Travel Rights Are Earned</w:t>
            </w:r>
          </w:p>
        </w:tc>
        <w:tc>
          <w:tcPr>
            <w:tcW w:type="dxa" w:w="6336"/>
            <w:tcMar>
              <w:top w:w="90" w:type="dxa"/>
              <w:start w:w="90" w:type="dxa"/>
              <w:bottom w:w="90" w:type="dxa"/>
              <w:end w:w="90" w:type="dxa"/>
            </w:tcMar>
            <w:vAlign w:val="center"/>
          </w:tcPr>
          <w:p>
            <w:pPr>
              <w:spacing w:after="0"/>
            </w:pPr>
            <w:r/>
            <w:r>
              <w:rPr>
                <w:rFonts w:ascii="Aptos" w:hAnsi="Aptos"/>
                <w:b w:val="0"/>
                <w:sz w:val="17"/>
              </w:rPr>
              <w:t>External representation follows verified readiness and responsibility.</w:t>
            </w:r>
          </w:p>
        </w:tc>
      </w:tr>
    </w:tbl>
    <w:p>
      <w:pPr>
        <w:spacing w:after="0"/>
      </w:pP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Version 4.0 Refined  |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4E78"/>
        <w:sz w:val="17"/>
      </w:rPr>
      <w:t>GCSD CULINARY PATHWAY  |  BOOK 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9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Theme="majorHAnsi" w:eastAsiaTheme="majorEastAsia" w:hAnsiTheme="majorHAnsi" w:cstheme="majorBidi" w:ascii="Aptos" w:hAnsi="Aptos"/>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80" w:after="90"/>
      <w:outlineLvl w:val="2"/>
    </w:pPr>
    <w:rPr>
      <w:rFonts w:asciiTheme="majorHAnsi" w:eastAsiaTheme="majorEastAsia" w:hAnsiTheme="majorHAnsi" w:cstheme="majorBidi" w:ascii="Aptos" w:hAnsi="Aptos"/>
      <w:b/>
      <w:bCs/>
      <w:color w:val="1C8C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90" w:line="240" w:lineRule="auto" w:before="180"/>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spacing w:after="160"/>
    </w:pPr>
    <w:rPr>
      <w:rFonts w:ascii="Aptos Display" w:hAnsi="Aptos Display"/>
      <w:b/>
      <w:color w:val="1F4E78"/>
      <w:sz w:val="42"/>
    </w:rPr>
  </w:style>
  <w:style w:type="paragraph" w:customStyle="1" w:styleId="PrincipleTitle">
    <w:name w:val="Principle Title"/>
    <w:pPr>
      <w:spacing w:after="30"/>
    </w:pPr>
    <w:rPr>
      <w:rFonts w:ascii="Aptos" w:hAnsi="Aptos"/>
      <w:b/>
      <w:color w:val="1C8C8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