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Liberation Sans" w:hAnsi="Liberation Sans"/>
          <w:b/>
          <w:color w:val="17365D"/>
          <w:sz w:val="24"/>
        </w:rPr>
        <w:t>GREECE CENTRAL SCHOOL DISTRICT</w:t>
      </w:r>
    </w:p>
    <w:p>
      <w:pPr>
        <w:spacing w:before="200"/>
        <w:jc w:val="center"/>
      </w:pPr>
      <w:r>
        <w:rPr>
          <w:rFonts w:ascii="Liberation Sans" w:hAnsi="Liberation Sans"/>
          <w:b/>
          <w:color w:val="17365D"/>
          <w:sz w:val="44"/>
        </w:rPr>
        <w:t>BOOK TWO</w:t>
      </w:r>
    </w:p>
    <w:p>
      <w:pPr>
        <w:spacing w:before="140"/>
        <w:jc w:val="center"/>
      </w:pPr>
      <w:r>
        <w:rPr>
          <w:rFonts w:ascii="Liberation Sans" w:hAnsi="Liberation Sans"/>
          <w:b/>
          <w:color w:val="1F4E79"/>
          <w:sz w:val="50"/>
        </w:rPr>
        <w:t>ASSESSMENT, EVALUATION &amp;</w:t>
        <w:br/>
        <w:t>CONTINUOUS IMPROVEMENT MANUAL</w:t>
      </w:r>
    </w:p>
    <w:p>
      <w:pPr>
        <w:spacing w:before="140"/>
        <w:jc w:val="center"/>
      </w:pPr>
      <w:r>
        <w:rPr>
          <w:rFonts w:ascii="Liberation Serif" w:hAnsi="Liberation Serif"/>
          <w:i/>
          <w:color w:val="666666"/>
          <w:sz w:val="22"/>
        </w:rPr>
        <w:t>The standards-based system for student competency, Gateway progression,</w:t>
        <w:br/>
        <w:t>training-station quality, and pathway improvement</w:t>
      </w:r>
    </w:p>
    <w:p>
      <w:pPr>
        <w:spacing w:before="0" w:after="80"/>
        <w:pBdr>
          <w:bottom w:val="single" w:sz="8" w:space="1" w:color="1F4E79"/>
        </w:pBdr>
      </w:pPr>
    </w:p>
    <w:tbl>
      <w:tblPr>
        <w:tblW w:type="auto" w:w="0"/>
        <w:jc w:val="center"/>
        <w:tblLayout w:type="fixed"/>
        <w:tblLook w:firstColumn="1" w:firstRow="1" w:lastColumn="0" w:lastRow="0" w:noHBand="0" w:noVBand="1" w:val="04A0"/>
      </w:tblPr>
      <w:tblGrid>
        <w:gridCol w:w="5083"/>
        <w:gridCol w:w="5083"/>
      </w:tblGrid>
      <w:tr>
        <w:trPr>
          <w:cantSplit/>
        </w:trPr>
        <w:tc>
          <w:tcPr>
            <w:tcW w:type="dxa" w:w="2376"/>
            <w:tcMar>
              <w:top w:w="35" w:type="dxa"/>
              <w:start w:w="80" w:type="dxa"/>
              <w:bottom w:w="35" w:type="dxa"/>
              <w:end w:w="80" w:type="dxa"/>
            </w:tcMar>
          </w:tcPr>
          <w:p>
            <w:pPr>
              <w:widowControl/>
              <w:spacing w:after="0"/>
            </w:pPr>
            <w:r>
              <w:rPr>
                <w:rFonts w:ascii="Liberation Sans" w:hAnsi="Liberation Sans"/>
                <w:b/>
                <w:color w:val="17365D"/>
                <w:sz w:val="16"/>
              </w:rPr>
              <w:t>VERSION</w:t>
            </w:r>
          </w:p>
        </w:tc>
        <w:tc>
          <w:tcPr>
            <w:tcW w:type="dxa" w:w="7488"/>
            <w:tcMar>
              <w:top w:w="35" w:type="dxa"/>
              <w:start w:w="80" w:type="dxa"/>
              <w:bottom w:w="35" w:type="dxa"/>
              <w:end w:w="80" w:type="dxa"/>
            </w:tcMar>
          </w:tcPr>
          <w:p>
            <w:pPr>
              <w:widowControl/>
              <w:spacing w:after="0"/>
            </w:pPr>
            <w:r>
              <w:rPr>
                <w:rFonts w:ascii="Liberation Serif" w:hAnsi="Liberation Serif"/>
                <w:sz w:val="17"/>
              </w:rPr>
              <w:t>4.1 - Refined Editorial Edition</w:t>
            </w:r>
          </w:p>
        </w:tc>
      </w:tr>
      <w:tr>
        <w:trPr>
          <w:cantSplit/>
        </w:trPr>
        <w:tc>
          <w:tcPr>
            <w:tcW w:type="dxa" w:w="2376"/>
            <w:tcMar>
              <w:top w:w="35" w:type="dxa"/>
              <w:start w:w="80" w:type="dxa"/>
              <w:bottom w:w="35" w:type="dxa"/>
              <w:end w:w="80" w:type="dxa"/>
            </w:tcMar>
          </w:tcPr>
          <w:p>
            <w:pPr>
              <w:widowControl/>
              <w:spacing w:after="0"/>
            </w:pPr>
            <w:r>
              <w:rPr>
                <w:rFonts w:ascii="Liberation Sans" w:hAnsi="Liberation Sans"/>
                <w:b/>
                <w:color w:val="17365D"/>
                <w:sz w:val="16"/>
              </w:rPr>
              <w:t>PREPARED BY</w:t>
            </w:r>
          </w:p>
        </w:tc>
        <w:tc>
          <w:tcPr>
            <w:tcW w:type="dxa" w:w="7488"/>
            <w:tcMar>
              <w:top w:w="35" w:type="dxa"/>
              <w:start w:w="80" w:type="dxa"/>
              <w:bottom w:w="35" w:type="dxa"/>
              <w:end w:w="80" w:type="dxa"/>
            </w:tcMar>
          </w:tcPr>
          <w:p>
            <w:pPr>
              <w:widowControl/>
              <w:spacing w:after="0"/>
            </w:pPr>
            <w:r>
              <w:rPr>
                <w:rFonts w:ascii="Liberation Serif" w:hAnsi="Liberation Serif"/>
                <w:sz w:val="17"/>
              </w:rPr>
              <w:t>Kevin McCann</w:t>
            </w:r>
          </w:p>
        </w:tc>
      </w:tr>
      <w:tr>
        <w:trPr>
          <w:cantSplit/>
        </w:trPr>
        <w:tc>
          <w:tcPr>
            <w:tcW w:type="dxa" w:w="2376"/>
            <w:tcMar>
              <w:top w:w="35" w:type="dxa"/>
              <w:start w:w="80" w:type="dxa"/>
              <w:bottom w:w="35" w:type="dxa"/>
              <w:end w:w="80" w:type="dxa"/>
            </w:tcMar>
          </w:tcPr>
          <w:p>
            <w:pPr>
              <w:widowControl/>
              <w:spacing w:after="0"/>
            </w:pPr>
            <w:r>
              <w:rPr>
                <w:rFonts w:ascii="Liberation Sans" w:hAnsi="Liberation Sans"/>
                <w:b/>
                <w:color w:val="17365D"/>
                <w:sz w:val="16"/>
              </w:rPr>
              <w:t>DATE</w:t>
            </w:r>
          </w:p>
        </w:tc>
        <w:tc>
          <w:tcPr>
            <w:tcW w:type="dxa" w:w="7488"/>
            <w:tcMar>
              <w:top w:w="35" w:type="dxa"/>
              <w:start w:w="80" w:type="dxa"/>
              <w:bottom w:w="35" w:type="dxa"/>
              <w:end w:w="80" w:type="dxa"/>
            </w:tcMar>
          </w:tcPr>
          <w:p>
            <w:pPr>
              <w:widowControl/>
              <w:spacing w:after="0"/>
            </w:pPr>
            <w:r>
              <w:rPr>
                <w:rFonts w:ascii="Liberation Serif" w:hAnsi="Liberation Serif"/>
                <w:sz w:val="17"/>
              </w:rPr>
              <w:t>July 2026</w:t>
            </w:r>
          </w:p>
        </w:tc>
      </w:tr>
      <w:tr>
        <w:trPr>
          <w:cantSplit/>
        </w:trPr>
        <w:tc>
          <w:tcPr>
            <w:tcW w:type="dxa" w:w="2376"/>
            <w:tcMar>
              <w:top w:w="35" w:type="dxa"/>
              <w:start w:w="80" w:type="dxa"/>
              <w:bottom w:w="35" w:type="dxa"/>
              <w:end w:w="80" w:type="dxa"/>
            </w:tcMar>
          </w:tcPr>
          <w:p>
            <w:pPr>
              <w:widowControl/>
              <w:spacing w:after="0"/>
            </w:pPr>
            <w:r>
              <w:rPr>
                <w:rFonts w:ascii="Liberation Sans" w:hAnsi="Liberation Sans"/>
                <w:b/>
                <w:color w:val="17365D"/>
                <w:sz w:val="16"/>
              </w:rPr>
              <w:t>STATUS</w:t>
            </w:r>
          </w:p>
        </w:tc>
        <w:tc>
          <w:tcPr>
            <w:tcW w:type="dxa" w:w="7488"/>
            <w:tcMar>
              <w:top w:w="35" w:type="dxa"/>
              <w:start w:w="80" w:type="dxa"/>
              <w:bottom w:w="35" w:type="dxa"/>
              <w:end w:w="80" w:type="dxa"/>
            </w:tcMar>
          </w:tcPr>
          <w:p>
            <w:pPr>
              <w:widowControl/>
              <w:spacing w:after="0"/>
            </w:pPr>
            <w:r>
              <w:rPr>
                <w:rFonts w:ascii="Liberation Serif" w:hAnsi="Liberation Serif"/>
                <w:sz w:val="17"/>
              </w:rPr>
              <w:t>Planning document; not adopted district policy</w:t>
            </w:r>
          </w:p>
        </w:tc>
      </w:tr>
      <w:tr>
        <w:trPr>
          <w:cantSplit/>
        </w:trPr>
        <w:tc>
          <w:tcPr>
            <w:tcW w:type="dxa" w:w="2376"/>
            <w:tcMar>
              <w:top w:w="35" w:type="dxa"/>
              <w:start w:w="80" w:type="dxa"/>
              <w:bottom w:w="35" w:type="dxa"/>
              <w:end w:w="80" w:type="dxa"/>
            </w:tcMar>
          </w:tcPr>
          <w:p>
            <w:pPr>
              <w:widowControl/>
              <w:spacing w:after="0"/>
            </w:pPr>
            <w:r>
              <w:rPr>
                <w:rFonts w:ascii="Liberation Sans" w:hAnsi="Liberation Sans"/>
                <w:b/>
                <w:color w:val="17365D"/>
                <w:sz w:val="16"/>
              </w:rPr>
              <w:t>GOVERNING SOURCES</w:t>
            </w:r>
          </w:p>
        </w:tc>
        <w:tc>
          <w:tcPr>
            <w:tcW w:type="dxa" w:w="7488"/>
            <w:tcMar>
              <w:top w:w="35" w:type="dxa"/>
              <w:start w:w="80" w:type="dxa"/>
              <w:bottom w:w="35" w:type="dxa"/>
              <w:end w:w="80" w:type="dxa"/>
            </w:tcMar>
          </w:tcPr>
          <w:p>
            <w:pPr>
              <w:widowControl/>
              <w:spacing w:after="0"/>
            </w:pPr>
            <w:r>
              <w:rPr>
                <w:rFonts w:ascii="Liberation Serif" w:hAnsi="Liberation Serif"/>
                <w:sz w:val="17"/>
              </w:rPr>
              <w:t>Culinary Pathway Canon v3.0 and Operating Principles v1.0</w:t>
            </w:r>
          </w:p>
        </w:tc>
      </w:tr>
      <w:tr>
        <w:trPr>
          <w:cantSplit/>
        </w:trPr>
        <w:tc>
          <w:tcPr>
            <w:tcW w:type="dxa" w:w="2376"/>
            <w:tcMar>
              <w:top w:w="35" w:type="dxa"/>
              <w:start w:w="80" w:type="dxa"/>
              <w:bottom w:w="35" w:type="dxa"/>
              <w:end w:w="80" w:type="dxa"/>
            </w:tcMar>
          </w:tcPr>
          <w:p>
            <w:pPr>
              <w:widowControl/>
              <w:spacing w:after="0"/>
            </w:pPr>
            <w:r>
              <w:rPr>
                <w:rFonts w:ascii="Liberation Sans" w:hAnsi="Liberation Sans"/>
                <w:b/>
                <w:color w:val="17365D"/>
                <w:sz w:val="16"/>
              </w:rPr>
              <w:t>REVISION FOCUS</w:t>
            </w:r>
          </w:p>
        </w:tc>
        <w:tc>
          <w:tcPr>
            <w:tcW w:type="dxa" w:w="7488"/>
            <w:tcMar>
              <w:top w:w="35" w:type="dxa"/>
              <w:start w:w="80" w:type="dxa"/>
              <w:bottom w:w="35" w:type="dxa"/>
              <w:end w:w="80" w:type="dxa"/>
            </w:tcMar>
          </w:tcPr>
          <w:p>
            <w:pPr>
              <w:widowControl/>
              <w:spacing w:after="0"/>
            </w:pPr>
            <w:r>
              <w:rPr>
                <w:rFonts w:ascii="Liberation Serif" w:hAnsi="Liberation Serif"/>
                <w:sz w:val="17"/>
              </w:rPr>
              <w:t>Standards, technical-assessment, credentialing, and pathway-recognition alignment restored</w:t>
            </w:r>
          </w:p>
        </w:tc>
      </w:tr>
    </w:tbl>
    <w:p>
      <w:pPr>
        <w:spacing w:before="440"/>
        <w:jc w:val="center"/>
      </w:pPr>
      <w:r>
        <w:rPr>
          <w:rFonts w:ascii="Liberation Sans" w:hAnsi="Liberation Sans"/>
          <w:b/>
          <w:color w:val="1C7C83"/>
          <w:sz w:val="22"/>
        </w:rPr>
        <w:t>Make the standard clear. Gather the right evidence. Act on what the evidence shows.</w:t>
      </w:r>
    </w:p>
    <w:p>
      <w:pPr>
        <w:jc w:val="center"/>
      </w:pPr>
      <w:r>
        <w:rPr>
          <w:rFonts w:ascii="Liberation Serif" w:hAnsi="Liberation Serif"/>
          <w:b/>
          <w:color w:val="17365D"/>
          <w:sz w:val="20"/>
        </w:rPr>
        <w:t>Assessment verifies learning. Evidence supports decisions. Improvement must be demonstrated.</w:t>
      </w:r>
    </w:p>
    <w:p>
      <w:r>
        <w:br w:type="page"/>
      </w:r>
    </w:p>
    <w:p>
      <w:pPr>
        <w:pStyle w:val="Heading1"/>
      </w:pPr>
      <w:r>
        <w:t>Culinary Pathway Operating Principles</w:t>
      </w:r>
    </w:p>
    <w:p>
      <w:pPr/>
      <w:r>
        <w:rPr>
          <w:i w:val="0"/>
        </w:rPr>
        <w:t>The Operating Principles define how the pathway teaches, evaluates, leads, and improves. Book Two applies them to evidence, judgment, feedback, readiness, credentialing, and accountability.</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4896"/>
            <w:shd w:fill="1F4E79"/>
            <w:vAlign w:val="center"/>
            <w:tcMar>
              <w:top w:w="65" w:type="dxa"/>
              <w:start w:w="80" w:type="dxa"/>
              <w:bottom w:w="65" w:type="dxa"/>
              <w:end w:w="80" w:type="dxa"/>
            </w:tcMar>
          </w:tcPr>
          <w:p>
            <w:pPr>
              <w:pStyle w:val="TableHeader"/>
              <w:keepLines/>
              <w:widowControl/>
            </w:pPr>
            <w:r>
              <w:rPr>
                <w:rFonts w:ascii="Liberation Serif" w:hAnsi="Liberation Serif"/>
              </w:rPr>
              <w:t>Instructional commitment</w:t>
            </w:r>
          </w:p>
        </w:tc>
        <w:tc>
          <w:tcPr>
            <w:tcW w:type="dxa" w:w="4896"/>
            <w:shd w:fill="1F4E79"/>
            <w:vAlign w:val="center"/>
            <w:tcMar>
              <w:top w:w="65" w:type="dxa"/>
              <w:start w:w="80" w:type="dxa"/>
              <w:bottom w:w="65" w:type="dxa"/>
              <w:end w:w="80" w:type="dxa"/>
            </w:tcMar>
          </w:tcPr>
          <w:p>
            <w:pPr>
              <w:pStyle w:val="TableHeader"/>
              <w:keepLines/>
              <w:widowControl/>
            </w:pPr>
            <w:r>
              <w:rPr>
                <w:rFonts w:ascii="Liberation Serif" w:hAnsi="Liberation Serif"/>
              </w:rPr>
              <w:t>Professional commitment</w:t>
            </w:r>
          </w:p>
        </w:tc>
      </w:tr>
      <w:tr>
        <w:trPr>
          <w:cantSplit/>
          <w:cantSplit/>
        </w:trPr>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1. Every Day Is a School Day.</w:t>
              <w:br/>
              <w:t>Every course, kitchen, client event, leadership assignment, and workplace can produce meaningful evidence of learning.</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6. Learning Before Labor.</w:t>
              <w:br/>
              <w:t>Production, client, or employer need never replaces educational purpose or fair assessment.</w:t>
            </w:r>
          </w:p>
        </w:tc>
      </w:tr>
      <w:tr>
        <w:trPr>
          <w:cantSplit/>
          <w:cantSplit/>
        </w:trPr>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7"/>
              </w:rPr>
              <w:t>2. Provide Clear Direction.</w:t>
              <w:br/>
              <w:t>Students know the standard, the evidence required, the evaluator, and the next step before consequential judgment occurs.</w:t>
            </w:r>
          </w:p>
        </w:tc>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7"/>
              </w:rPr>
              <w:t>7. Preparation Before Independence.</w:t>
              <w:br/>
              <w:t>Readiness is verified before students receive greater responsibility or external access.</w:t>
            </w:r>
          </w:p>
        </w:tc>
      </w:tr>
      <w:tr>
        <w:trPr>
          <w:cantSplit/>
          <w:cantSplit/>
        </w:trPr>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3. Inspect What You Expect.</w:t>
              <w:br/>
              <w:t>Observation, feedback, record review, and follow-through verify that stated expectations are actually being met.</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8. Quality Before Quantity.</w:t>
              <w:br/>
              <w:t>Participation counts, events, revenue, credentials, or placement totals do not independently prove quality.</w:t>
            </w:r>
          </w:p>
        </w:tc>
      </w:tr>
      <w:tr>
        <w:trPr>
          <w:cantSplit/>
          <w:cantSplit/>
        </w:trPr>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7"/>
              </w:rPr>
              <w:t>4. Students Advance by Demonstrating Competency.</w:t>
              <w:br/>
              <w:t>Gateway progression follows verified performance, not participation or time alone.</w:t>
            </w:r>
          </w:p>
        </w:tc>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7"/>
              </w:rPr>
              <w:t>9. Build Leaders, Not Just Cooks.</w:t>
              <w:br/>
              <w:t>Assessment includes communication, judgment, supervision, ethics, and team improvement alongside technical skill.</w:t>
            </w:r>
          </w:p>
        </w:tc>
      </w:tr>
      <w:tr>
        <w:trPr>
          <w:cantSplit/>
          <w:cantSplit/>
        </w:trPr>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5. Experiences Provide Evidence. Competencies Determine Progression.</w:t>
              <w:br/>
              <w:t>Authentic experiences supply evidence; the competency decision determines advancement.</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10. Travel Rights Are Earned.</w:t>
              <w:br/>
              <w:t>Gateway 5 records readiness for External WBL; it does not guarantee a placement.</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Assessment Commitment</w:t>
            </w:r>
          </w:p>
          <w:p>
            <w:pPr>
              <w:pStyle w:val="SmallText"/>
              <w:keepLines/>
              <w:widowControl/>
            </w:pPr>
            <w:r>
              <w:rPr>
                <w:rFonts w:ascii="Liberation Serif" w:hAnsi="Liberation Serif"/>
                <w:sz w:val="18"/>
              </w:rPr>
              <w:t>Provide clear direction. Inspect what you expect. Use evidence for the decision it can support. Do not confuse paperwork, participation, credential counts, or visibility with demonstrated learning.</w:t>
            </w:r>
          </w:p>
        </w:tc>
      </w:tr>
    </w:tbl>
    <w:p>
      <w:pPr>
        <w:spacing w:after="0"/>
      </w:pPr>
    </w:p>
    <w:p>
      <w:pPr>
        <w:pStyle w:val="Heading1"/>
      </w:pPr>
      <w:r>
        <w:t>Document Status</w:t>
      </w:r>
    </w:p>
    <w:p>
      <w:pPr/>
      <w:r>
        <w:rPr>
          <w:i w:val="0"/>
        </w:rPr>
        <w:t>This manual defines the assessment, training-station evaluation, and pathway-improvement system for the intended Greece Central School District Culinary Pathway. It is governed by the Culinary Pathway Canon, Version 3.0, and the Culinary Pathway Operating Principles, Version 1.0.</w:t>
      </w:r>
    </w:p>
    <w:p>
      <w:pPr/>
      <w:r>
        <w:rPr>
          <w:i w:val="0"/>
        </w:rPr>
        <w:t>This is a planning document, not current district policy. It does not replace Board policy, collective bargaining agreements, approved curriculum, course grading rules, student-support plans, credential requirements, New York State Education Department guidance, labor law, food-safety requirements, insurance rules, privacy and records requirements, or authorized district procedures. Current law and adopted district policy control.</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Revision 4.1</w:t>
            </w:r>
          </w:p>
          <w:p>
            <w:pPr>
              <w:pStyle w:val="SmallText"/>
              <w:keepLines/>
              <w:widowControl/>
            </w:pPr>
            <w:r>
              <w:rPr>
                <w:rFonts w:ascii="Liberation Serif" w:hAnsi="Liberation Serif"/>
                <w:sz w:val="18"/>
              </w:rPr>
              <w:t>This edition restores explicit alignment to YouScience Culinary III, ProStart Levels 1 and 2, CDOS, ServSafe Management, the GCSD Culinary Employability Profile, the pathway technical assessment, and CTE endorsement or 4+1 recognition. It does not create a new Gateway or a parallel progression system.</w:t>
            </w:r>
          </w:p>
        </w:tc>
      </w:tr>
    </w:tbl>
    <w:p>
      <w:pPr>
        <w:spacing w:after="0"/>
      </w:pPr>
    </w:p>
    <w:p>
      <w:pPr>
        <w:pStyle w:val="Heading2"/>
      </w:pPr>
      <w:r>
        <w:t>Executive Summary</w:t>
      </w:r>
    </w:p>
    <w:p>
      <w:pPr/>
      <w:r>
        <w:rPr>
          <w:i w:val="0"/>
        </w:rPr>
        <w:t>Book Two answers three separate questions: What has the student demonstrated? Is the training station worthy of the student? Is the pathway producing safe, meaningful, equitable, and sustainable learning?</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41"/>
        <w:gridCol w:w="2541"/>
        <w:gridCol w:w="2541"/>
        <w:gridCol w:w="2541"/>
      </w:tblGrid>
      <w:tr>
        <w:trPr>
          <w:tblHeader w:val="true"/>
          <w:cantSplit/>
          <w:cantSplit/>
        </w:trPr>
        <w:tc>
          <w:tcPr>
            <w:tcW w:type="dxa" w:w="792"/>
            <w:shd w:fill="1F4E79"/>
            <w:vAlign w:val="center"/>
            <w:tcMar>
              <w:top w:w="65" w:type="dxa"/>
              <w:start w:w="80" w:type="dxa"/>
              <w:bottom w:w="65" w:type="dxa"/>
              <w:end w:w="80" w:type="dxa"/>
            </w:tcMar>
          </w:tcPr>
          <w:p>
            <w:pPr>
              <w:pStyle w:val="TableHeader"/>
              <w:keepLines/>
              <w:widowControl/>
            </w:pPr>
            <w:r>
              <w:rPr>
                <w:rFonts w:ascii="Liberation Serif" w:hAnsi="Liberation Serif"/>
              </w:rPr>
              <w:t>Grade</w:t>
            </w:r>
          </w:p>
        </w:tc>
        <w:tc>
          <w:tcPr>
            <w:tcW w:type="dxa" w:w="2880"/>
            <w:shd w:fill="1F4E79"/>
            <w:vAlign w:val="center"/>
            <w:tcMar>
              <w:top w:w="65" w:type="dxa"/>
              <w:start w:w="80" w:type="dxa"/>
              <w:bottom w:w="65" w:type="dxa"/>
              <w:end w:w="80" w:type="dxa"/>
            </w:tcMar>
          </w:tcPr>
          <w:p>
            <w:pPr>
              <w:pStyle w:val="TableHeader"/>
              <w:keepLines/>
              <w:widowControl/>
            </w:pPr>
            <w:r>
              <w:rPr>
                <w:rFonts w:ascii="Liberation Serif" w:hAnsi="Liberation Serif"/>
              </w:rPr>
              <w:t>Courses / environment</w:t>
            </w:r>
          </w:p>
        </w:tc>
        <w:tc>
          <w:tcPr>
            <w:tcW w:type="dxa" w:w="4680"/>
            <w:shd w:fill="1F4E79"/>
            <w:vAlign w:val="center"/>
            <w:tcMar>
              <w:top w:w="65" w:type="dxa"/>
              <w:start w:w="80" w:type="dxa"/>
              <w:bottom w:w="65" w:type="dxa"/>
              <w:end w:w="80" w:type="dxa"/>
            </w:tcMar>
          </w:tcPr>
          <w:p>
            <w:pPr>
              <w:pStyle w:val="TableHeader"/>
              <w:keepLines/>
              <w:widowControl/>
            </w:pPr>
            <w:r>
              <w:rPr>
                <w:rFonts w:ascii="Liberation Serif" w:hAnsi="Liberation Serif"/>
              </w:rPr>
              <w:t>Primary assessment focus</w:t>
            </w:r>
          </w:p>
        </w:tc>
        <w:tc>
          <w:tcPr>
            <w:tcW w:type="dxa" w:w="1440"/>
            <w:shd w:fill="1F4E79"/>
            <w:vAlign w:val="center"/>
            <w:tcMar>
              <w:top w:w="65" w:type="dxa"/>
              <w:start w:w="80" w:type="dxa"/>
              <w:bottom w:w="65" w:type="dxa"/>
              <w:end w:w="80" w:type="dxa"/>
            </w:tcMar>
          </w:tcPr>
          <w:p>
            <w:pPr>
              <w:pStyle w:val="TableHeader"/>
              <w:keepLines/>
              <w:widowControl/>
            </w:pPr>
            <w:r>
              <w:rPr>
                <w:rFonts w:ascii="Liberation Serif" w:hAnsi="Liberation Serif"/>
              </w:rPr>
              <w:t>Gateway result</w:t>
            </w:r>
          </w:p>
        </w:tc>
      </w:tr>
      <w:tr>
        <w:trPr>
          <w:cantSplit/>
          <w:cantSplit/>
        </w:trPr>
        <w:tc>
          <w:tcPr>
            <w:tcW w:type="dxa" w:w="79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10</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Culinary 1 and Culinary 2</w:t>
            </w:r>
          </w:p>
        </w:tc>
        <w:tc>
          <w:tcPr>
            <w:tcW w:type="dxa" w:w="46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Safety, kitchen systems, foundational technique, product quality, and professional habits.</w:t>
            </w:r>
          </w:p>
        </w:tc>
        <w:tc>
          <w:tcPr>
            <w:tcW w:type="dxa" w:w="144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Gateways 1-3</w:t>
            </w:r>
          </w:p>
        </w:tc>
      </w:tr>
      <w:tr>
        <w:trPr>
          <w:cantSplit/>
          <w:cantSplit/>
        </w:trPr>
        <w:tc>
          <w:tcPr>
            <w:tcW w:type="dxa" w:w="792"/>
            <w:vAlign w:val="top"/>
            <w:tcMar>
              <w:top w:w="65" w:type="dxa"/>
              <w:start w:w="80" w:type="dxa"/>
              <w:bottom w:w="65" w:type="dxa"/>
              <w:end w:w="80" w:type="dxa"/>
            </w:tcMar>
          </w:tcPr>
          <w:p>
            <w:pPr>
              <w:pStyle w:val="TableText"/>
              <w:keepLines w:val="0"/>
              <w:widowControl/>
            </w:pPr>
            <w:r>
              <w:rPr>
                <w:rFonts w:ascii="Liberation Serif" w:hAnsi="Liberation Serif"/>
                <w:sz w:val="16"/>
              </w:rPr>
              <w:t>11</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6"/>
              </w:rPr>
              <w:t>Advanced Culinary, The Cottage, and Kitchen Management</w:t>
            </w:r>
          </w:p>
        </w:tc>
        <w:tc>
          <w:tcPr>
            <w:tcW w:type="dxa" w:w="4680"/>
            <w:vAlign w:val="top"/>
            <w:tcMar>
              <w:top w:w="65" w:type="dxa"/>
              <w:start w:w="80" w:type="dxa"/>
              <w:bottom w:w="65" w:type="dxa"/>
              <w:end w:w="80" w:type="dxa"/>
            </w:tcMar>
          </w:tcPr>
          <w:p>
            <w:pPr>
              <w:pStyle w:val="TableText"/>
              <w:keepLines w:val="0"/>
              <w:widowControl/>
            </w:pPr>
            <w:r>
              <w:rPr>
                <w:rFonts w:ascii="Liberation Serif" w:hAnsi="Liberation Serif"/>
                <w:sz w:val="16"/>
              </w:rPr>
              <w:t>Client-centered production, service, leadership, management, career readiness, credentials, and technical-assessment completion.</w:t>
            </w:r>
          </w:p>
        </w:tc>
        <w:tc>
          <w:tcPr>
            <w:tcW w:type="dxa" w:w="1440"/>
            <w:vAlign w:val="top"/>
            <w:tcMar>
              <w:top w:w="65" w:type="dxa"/>
              <w:start w:w="80" w:type="dxa"/>
              <w:bottom w:w="65" w:type="dxa"/>
              <w:end w:w="80" w:type="dxa"/>
            </w:tcMar>
          </w:tcPr>
          <w:p>
            <w:pPr>
              <w:pStyle w:val="TableText"/>
              <w:keepLines w:val="0"/>
              <w:widowControl/>
            </w:pPr>
            <w:r>
              <w:rPr>
                <w:rFonts w:ascii="Liberation Serif" w:hAnsi="Liberation Serif"/>
                <w:sz w:val="16"/>
              </w:rPr>
              <w:t>Gateways 4-5</w:t>
            </w:r>
          </w:p>
        </w:tc>
      </w:tr>
      <w:tr>
        <w:trPr>
          <w:cantSplit/>
          <w:cantSplit/>
        </w:trPr>
        <w:tc>
          <w:tcPr>
            <w:tcW w:type="dxa" w:w="79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12</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External Work-Based Learning, 1.0 credit</w:t>
            </w:r>
          </w:p>
        </w:tc>
        <w:tc>
          <w:tcPr>
            <w:tcW w:type="dxa" w:w="46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Sustained workplace performance, portfolio, evaluation, reflection, and transition.</w:t>
            </w:r>
          </w:p>
        </w:tc>
        <w:tc>
          <w:tcPr>
            <w:tcW w:type="dxa" w:w="144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Gateway 6</w:t>
            </w:r>
          </w:p>
        </w:tc>
      </w:tr>
    </w:tbl>
    <w:p>
      <w:pPr>
        <w:spacing w:after="0"/>
      </w:pPr>
    </w:p>
    <w:p>
      <w:pPr/>
      <w:r>
        <w:rPr>
          <w:i w:val="0"/>
        </w:rPr>
        <w:t>Student assessment is standards-based and criterion-referenced. Knowledge checks, practical performance, repeated observation, the Culinary Employability Profile, credentials, client-centered work, leadership evidence, technical-assessment results, workplace performance, the portfolio, employer feedback, coordinator evaluation, self-evaluation, and the final presentation each answer different questions.</w:t>
      </w:r>
    </w:p>
    <w:p>
      <w:pPr/>
      <w:r>
        <w:rPr>
          <w:i w:val="0"/>
        </w:rPr>
        <w:t>Training stations and the pathway are judged separately from individual students. A student may perform well in a weak setting, and a strong setting may be a poor match for one student. Program weakness is never converted into a lower student judgment, and strong student performance never excuses unsafe or low-quality conditions.</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Experiences Provide Evidence. Competencies Determine Progression.</w:t>
            </w:r>
          </w:p>
          <w:p>
            <w:pPr>
              <w:pStyle w:val="SmallText"/>
              <w:keepLines/>
              <w:widowControl/>
            </w:pPr>
            <w:r>
              <w:rPr>
                <w:rFonts w:ascii="Liberation Serif" w:hAnsi="Liberation Serif"/>
                <w:sz w:val="18"/>
              </w:rPr>
              <w:t>The pathway gathers the smallest set of evidence strong enough to support the decision. Paperwork documents learning; paperwork is not the learning. External assessments and credentials add important evidence, but they do not replace the Gateway judgment.</w:t>
            </w:r>
          </w:p>
        </w:tc>
      </w:tr>
    </w:tbl>
    <w:p>
      <w:pPr>
        <w:spacing w:after="0"/>
      </w:pPr>
    </w:p>
    <w:p>
      <w:pPr>
        <w:pStyle w:val="Heading2"/>
      </w:pPr>
      <w:r>
        <w:t>The Four-Book Series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4031"/>
            <w:shd w:fill="1F4E79"/>
            <w:vAlign w:val="center"/>
            <w:tcMar>
              <w:top w:w="65" w:type="dxa"/>
              <w:start w:w="80" w:type="dxa"/>
              <w:bottom w:w="65" w:type="dxa"/>
              <w:end w:w="80" w:type="dxa"/>
            </w:tcMar>
          </w:tcPr>
          <w:p>
            <w:pPr>
              <w:pStyle w:val="TableHeader"/>
              <w:keepLines/>
              <w:widowControl/>
            </w:pPr>
            <w:r>
              <w:rPr>
                <w:rFonts w:ascii="Liberation Serif" w:hAnsi="Liberation Serif"/>
              </w:rPr>
              <w:t>Book</w:t>
            </w:r>
          </w:p>
        </w:tc>
        <w:tc>
          <w:tcPr>
            <w:tcW w:type="dxa" w:w="5760"/>
            <w:shd w:fill="1F4E79"/>
            <w:vAlign w:val="center"/>
            <w:tcMar>
              <w:top w:w="65" w:type="dxa"/>
              <w:start w:w="80" w:type="dxa"/>
              <w:bottom w:w="65" w:type="dxa"/>
              <w:end w:w="80" w:type="dxa"/>
            </w:tcMar>
          </w:tcPr>
          <w:p>
            <w:pPr>
              <w:pStyle w:val="TableHeader"/>
              <w:keepLines/>
              <w:widowControl/>
            </w:pPr>
            <w:r>
              <w:rPr>
                <w:rFonts w:ascii="Liberation Serif" w:hAnsi="Liberation Serif"/>
              </w:rPr>
              <w:t>Series role</w:t>
            </w:r>
          </w:p>
        </w:tc>
      </w:tr>
      <w:tr>
        <w:trPr>
          <w:cantSplit/>
          <w:cantSplit/>
        </w:trPr>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Book One: Program Blueprint</w:t>
            </w:r>
          </w:p>
        </w:tc>
        <w:tc>
          <w:tcPr>
            <w:tcW w:type="dxa" w:w="576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Defines pathway architecture, progression, authentic environments, governance, and boundaries.</w:t>
            </w:r>
          </w:p>
        </w:tc>
      </w:tr>
      <w:tr>
        <w:trPr>
          <w:cantSplit/>
          <w:cantSplit/>
        </w:trPr>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6"/>
              </w:rPr>
              <w:t>Book Two: Assessment, Evaluation &amp; Continuous Improvement</w:t>
            </w:r>
          </w:p>
        </w:tc>
        <w:tc>
          <w:tcPr>
            <w:tcW w:type="dxa" w:w="5760"/>
            <w:vAlign w:val="top"/>
            <w:tcMar>
              <w:top w:w="65" w:type="dxa"/>
              <w:start w:w="80" w:type="dxa"/>
              <w:bottom w:w="65" w:type="dxa"/>
              <w:end w:w="80" w:type="dxa"/>
            </w:tcMar>
          </w:tcPr>
          <w:p>
            <w:pPr>
              <w:pStyle w:val="TableText"/>
              <w:keepLines w:val="0"/>
              <w:widowControl/>
            </w:pPr>
            <w:r>
              <w:rPr>
                <w:rFonts w:ascii="Liberation Serif" w:hAnsi="Liberation Serif"/>
                <w:sz w:val="16"/>
              </w:rPr>
              <w:t>Defines evidence, standards alignment, Gateway decisions, credentialing, training-station quality, program evaluation, and improvement.</w:t>
            </w:r>
          </w:p>
        </w:tc>
      </w:tr>
      <w:tr>
        <w:trPr>
          <w:cantSplit/>
          <w:cantSplit/>
        </w:trPr>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Book Three: Operations Manual</w:t>
            </w:r>
          </w:p>
        </w:tc>
        <w:tc>
          <w:tcPr>
            <w:tcW w:type="dxa" w:w="576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Directs procedures, calendars, records, approvals, monitoring, safety response, and closeout.</w:t>
            </w:r>
          </w:p>
        </w:tc>
      </w:tr>
      <w:tr>
        <w:trPr>
          <w:cantSplit/>
          <w:cantSplit/>
        </w:trPr>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6"/>
              </w:rPr>
              <w:t>Book Four: Board Proposal &amp; Implementation Plan</w:t>
            </w:r>
          </w:p>
        </w:tc>
        <w:tc>
          <w:tcPr>
            <w:tcW w:type="dxa" w:w="5760"/>
            <w:vAlign w:val="top"/>
            <w:tcMar>
              <w:top w:w="65" w:type="dxa"/>
              <w:start w:w="80" w:type="dxa"/>
              <w:bottom w:w="65" w:type="dxa"/>
              <w:end w:w="80" w:type="dxa"/>
            </w:tcMar>
          </w:tcPr>
          <w:p>
            <w:pPr>
              <w:pStyle w:val="TableText"/>
              <w:keepLines w:val="0"/>
              <w:widowControl/>
            </w:pPr>
            <w:r>
              <w:rPr>
                <w:rFonts w:ascii="Liberation Serif" w:hAnsi="Liberation Serif"/>
                <w:sz w:val="16"/>
              </w:rPr>
              <w:t>Defines authorization, implementation, staffing, fiscal planning, risk controls, and reporting.</w:t>
            </w:r>
          </w:p>
        </w:tc>
      </w:tr>
    </w:tbl>
    <w:p>
      <w:pPr>
        <w:spacing w:after="0"/>
      </w:pPr>
    </w:p>
    <w:p>
      <w:pPr>
        <w:pStyle w:val="Heading2"/>
      </w:pPr>
      <w:r>
        <w:t>Contents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4031"/>
            <w:shd w:fill="1F4E79"/>
            <w:vAlign w:val="center"/>
            <w:tcMar>
              <w:top w:w="65" w:type="dxa"/>
              <w:start w:w="80" w:type="dxa"/>
              <w:bottom w:w="65" w:type="dxa"/>
              <w:end w:w="80" w:type="dxa"/>
            </w:tcMar>
          </w:tcPr>
          <w:p>
            <w:pPr>
              <w:pStyle w:val="TableHeader"/>
              <w:keepLines/>
              <w:widowControl/>
            </w:pPr>
            <w:r>
              <w:rPr>
                <w:rFonts w:ascii="Liberation Serif" w:hAnsi="Liberation Serif"/>
              </w:rPr>
              <w:t>Part</w:t>
            </w:r>
          </w:p>
        </w:tc>
        <w:tc>
          <w:tcPr>
            <w:tcW w:type="dxa" w:w="5760"/>
            <w:shd w:fill="1F4E79"/>
            <w:vAlign w:val="center"/>
            <w:tcMar>
              <w:top w:w="65" w:type="dxa"/>
              <w:start w:w="80" w:type="dxa"/>
              <w:bottom w:w="65" w:type="dxa"/>
              <w:end w:w="80" w:type="dxa"/>
            </w:tcMar>
          </w:tcPr>
          <w:p>
            <w:pPr>
              <w:pStyle w:val="TableHeader"/>
              <w:keepLines/>
              <w:widowControl/>
            </w:pPr>
            <w:r>
              <w:rPr>
                <w:rFonts w:ascii="Liberation Serif" w:hAnsi="Liberation Serif"/>
              </w:rPr>
              <w:t>Focus</w:t>
            </w:r>
          </w:p>
        </w:tc>
      </w:tr>
      <w:tr>
        <w:trPr>
          <w:cantSplit/>
          <w:cantSplit/>
        </w:trPr>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I - Assessment Architecture</w:t>
            </w:r>
          </w:p>
        </w:tc>
        <w:tc>
          <w:tcPr>
            <w:tcW w:type="dxa" w:w="576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Purpose, separate judgments, evidence rules, standards, assessments, credentials, and current sources.</w:t>
            </w:r>
          </w:p>
        </w:tc>
      </w:tr>
      <w:tr>
        <w:trPr>
          <w:cantSplit/>
          <w:cantSplit/>
        </w:trPr>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6"/>
              </w:rPr>
              <w:t>II - Student Competency and the Culinary Passport</w:t>
            </w:r>
          </w:p>
        </w:tc>
        <w:tc>
          <w:tcPr>
            <w:tcW w:type="dxa" w:w="5760"/>
            <w:vAlign w:val="top"/>
            <w:tcMar>
              <w:top w:w="65" w:type="dxa"/>
              <w:start w:w="80" w:type="dxa"/>
              <w:bottom w:w="65" w:type="dxa"/>
              <w:end w:w="80" w:type="dxa"/>
            </w:tcMar>
          </w:tcPr>
          <w:p>
            <w:pPr>
              <w:pStyle w:val="TableText"/>
              <w:keepLines w:val="0"/>
              <w:widowControl/>
            </w:pPr>
            <w:r>
              <w:rPr>
                <w:rFonts w:ascii="Liberation Serif" w:hAnsi="Liberation Serif"/>
                <w:sz w:val="16"/>
              </w:rPr>
              <w:t>Authoritative records, Gateways, completion, reassessment, and course reporting.</w:t>
            </w:r>
          </w:p>
        </w:tc>
      </w:tr>
      <w:tr>
        <w:trPr>
          <w:cantSplit/>
          <w:cantSplit/>
        </w:trPr>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III - Assessment Across the Pathway</w:t>
            </w:r>
          </w:p>
        </w:tc>
        <w:tc>
          <w:tcPr>
            <w:tcW w:type="dxa" w:w="576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Grade 10, Advanced Culinary, The Cottage, Kitchen Management, technical assessment, credentials, External WBL, and portfolio.</w:t>
            </w:r>
          </w:p>
        </w:tc>
      </w:tr>
      <w:tr>
        <w:trPr>
          <w:cantSplit/>
          <w:cantSplit/>
        </w:trPr>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6"/>
              </w:rPr>
              <w:t>IV - Assessment Practice and Student Support</w:t>
            </w:r>
          </w:p>
        </w:tc>
        <w:tc>
          <w:tcPr>
            <w:tcW w:type="dxa" w:w="5760"/>
            <w:vAlign w:val="top"/>
            <w:tcMar>
              <w:top w:w="65" w:type="dxa"/>
              <w:start w:w="80" w:type="dxa"/>
              <w:bottom w:w="65" w:type="dxa"/>
              <w:end w:w="80" w:type="dxa"/>
            </w:tcMar>
          </w:tcPr>
          <w:p>
            <w:pPr>
              <w:pStyle w:val="TableText"/>
              <w:keepLines w:val="0"/>
              <w:widowControl/>
            </w:pPr>
            <w:r>
              <w:rPr>
                <w:rFonts w:ascii="Liberation Serif" w:hAnsi="Liberation Serif"/>
                <w:sz w:val="16"/>
              </w:rPr>
              <w:t>Methods, feedback, fairness, safety, accommodations, and data stewardship.</w:t>
            </w:r>
          </w:p>
        </w:tc>
      </w:tr>
      <w:tr>
        <w:trPr>
          <w:cantSplit/>
          <w:cantSplit/>
        </w:trPr>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V - Training-Station Evaluation</w:t>
            </w:r>
          </w:p>
        </w:tc>
        <w:tc>
          <w:tcPr>
            <w:tcW w:type="dxa" w:w="576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Site quality, evaluation cycle, and proportionate decisions.</w:t>
            </w:r>
          </w:p>
        </w:tc>
      </w:tr>
      <w:tr>
        <w:trPr>
          <w:cantSplit/>
          <w:cantSplit/>
        </w:trPr>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6"/>
              </w:rPr>
              <w:t>VI - Program Evaluation and Continuous Improvement</w:t>
            </w:r>
          </w:p>
        </w:tc>
        <w:tc>
          <w:tcPr>
            <w:tcW w:type="dxa" w:w="5760"/>
            <w:vAlign w:val="top"/>
            <w:tcMar>
              <w:top w:w="65" w:type="dxa"/>
              <w:start w:w="80" w:type="dxa"/>
              <w:bottom w:w="65" w:type="dxa"/>
              <w:end w:w="80" w:type="dxa"/>
            </w:tcMar>
          </w:tcPr>
          <w:p>
            <w:pPr>
              <w:pStyle w:val="TableText"/>
              <w:keepLines w:val="0"/>
              <w:widowControl/>
            </w:pPr>
            <w:r>
              <w:rPr>
                <w:rFonts w:ascii="Liberation Serif" w:hAnsi="Liberation Serif"/>
                <w:sz w:val="16"/>
              </w:rPr>
              <w:t>Annual framework, evidence cycle, standards and credential outcomes, capacity, access, and growth decisions.</w:t>
            </w:r>
          </w:p>
        </w:tc>
      </w:tr>
      <w:tr>
        <w:trPr>
          <w:cantSplit/>
          <w:cantSplit/>
        </w:trPr>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VII - Governance and Document Ownership</w:t>
            </w:r>
          </w:p>
        </w:tc>
        <w:tc>
          <w:tcPr>
            <w:tcW w:type="dxa" w:w="576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Authority, implementation boundaries, and companion documents.</w:t>
            </w:r>
          </w:p>
        </w:tc>
      </w:tr>
      <w:tr>
        <w:trPr>
          <w:cantSplit/>
          <w:cantSplit/>
        </w:trPr>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6"/>
              </w:rPr>
              <w:t>Appendices</w:t>
            </w:r>
          </w:p>
        </w:tc>
        <w:tc>
          <w:tcPr>
            <w:tcW w:type="dxa" w:w="5760"/>
            <w:vAlign w:val="top"/>
            <w:tcMar>
              <w:top w:w="65" w:type="dxa"/>
              <w:start w:w="80" w:type="dxa"/>
              <w:bottom w:w="65" w:type="dxa"/>
              <w:end w:w="80" w:type="dxa"/>
            </w:tcMar>
          </w:tcPr>
          <w:p>
            <w:pPr>
              <w:pStyle w:val="TableText"/>
              <w:keepLines w:val="0"/>
              <w:widowControl/>
            </w:pPr>
            <w:r>
              <w:rPr>
                <w:rFonts w:ascii="Liberation Serif" w:hAnsi="Liberation Serif"/>
                <w:sz w:val="16"/>
              </w:rPr>
              <w:t>Passport specification, Gateway standards matrix, technical-assessment blueprint, alignment references, annual review evidence, sources, and glossary.</w:t>
            </w:r>
          </w:p>
        </w:tc>
      </w:tr>
    </w:tbl>
    <w:p>
      <w:pPr>
        <w:spacing w:after="0"/>
      </w:pPr>
    </w:p>
    <w:p>
      <w:r>
        <w:br w:type="page"/>
      </w:r>
    </w:p>
    <w:p>
      <w:pPr>
        <w:pStyle w:val="PartLabel"/>
      </w:pPr>
      <w:r>
        <w:t>PART I</w:t>
      </w:r>
    </w:p>
    <w:p>
      <w:pPr>
        <w:pStyle w:val="PartTitle"/>
      </w:pPr>
      <w:r>
        <w:t>Assessment Architecture</w:t>
      </w:r>
    </w:p>
    <w:p>
      <w:pPr>
        <w:pStyle w:val="PartIntro"/>
      </w:pPr>
      <w:r>
        <w:t>Separate student assessment from evaluation of training stations and the pathway, then match each decision to appropriate evidence.</w:t>
      </w:r>
    </w:p>
    <w:p>
      <w:pPr>
        <w:pStyle w:val="Heading2"/>
      </w:pPr>
      <w:r>
        <w:t>Chapter 1: Purpose and Scope</w:t>
      </w:r>
    </w:p>
    <w:p>
      <w:pPr/>
      <w:r>
        <w:rPr>
          <w:i w:val="0"/>
        </w:rPr>
        <w:t>Book Two verifies student learning, protects the integrity of Gateway progression, evaluates authentic learning environments, and directs continuous improvement. It connects approved curriculum and existing evidence into one coherent system without turning every lesson, lab, event, assessment, credential, or workplace experience into another form.</w:t>
      </w:r>
    </w:p>
    <w:p>
      <w:pPr/>
      <w:r>
        <w:rPr>
          <w:i w:val="0"/>
        </w:rPr>
        <w:t>The system applies to Culinary 1, Culinary 2, Advanced Culinary, Kitchen Management, the Culinary Passport, the Culinary Employability Profile, the Culinary Pathway Skills Map, ProStart Levels 1 and 2, CDOS, YouScience Culinary III, ServSafe Management, the technical assessment, instructional kitchens, The Cottage, client-centered production, the senior External Work-Based Learning course, training stations, employer feedback, pathway recognition, and annual review.</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Scope Rule</w:t>
            </w:r>
          </w:p>
          <w:p>
            <w:pPr>
              <w:pStyle w:val="SmallText"/>
              <w:keepLines/>
              <w:widowControl/>
            </w:pPr>
            <w:r>
              <w:rPr>
                <w:rFonts w:ascii="Liberation Serif" w:hAnsi="Liberation Serif"/>
                <w:sz w:val="18"/>
              </w:rPr>
              <w:t>Book Two defines what is judged, which evidence is appropriate, and what decisions may follow. Book Three defines who completes the operational step, when it occurs, which approved record is used, and where it is maintained.</w:t>
            </w:r>
          </w:p>
        </w:tc>
      </w:tr>
    </w:tbl>
    <w:p>
      <w:pPr>
        <w:spacing w:after="0"/>
      </w:pPr>
    </w:p>
    <w:p>
      <w:pPr>
        <w:pStyle w:val="Heading2"/>
      </w:pPr>
      <w:r>
        <w:t>Chapter 2: Three Separate Judgments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41"/>
        <w:gridCol w:w="2541"/>
        <w:gridCol w:w="2541"/>
        <w:gridCol w:w="2541"/>
      </w:tblGrid>
      <w:tr>
        <w:trPr>
          <w:tblHeader w:val="true"/>
          <w:cantSplit/>
          <w:cantSplit/>
        </w:trPr>
        <w:tc>
          <w:tcPr>
            <w:tcW w:type="dxa" w:w="1080"/>
            <w:shd w:fill="1F4E79"/>
            <w:vAlign w:val="center"/>
            <w:tcMar>
              <w:top w:w="65" w:type="dxa"/>
              <w:start w:w="80" w:type="dxa"/>
              <w:bottom w:w="65" w:type="dxa"/>
              <w:end w:w="80" w:type="dxa"/>
            </w:tcMar>
          </w:tcPr>
          <w:p>
            <w:pPr>
              <w:pStyle w:val="TableHeader"/>
              <w:keepLines/>
              <w:widowControl/>
            </w:pPr>
            <w:r>
              <w:rPr>
                <w:rFonts w:ascii="Liberation Serif" w:hAnsi="Liberation Serif"/>
              </w:rPr>
              <w:t>Subject</w:t>
            </w:r>
          </w:p>
        </w:tc>
        <w:tc>
          <w:tcPr>
            <w:tcW w:type="dxa" w:w="2592"/>
            <w:shd w:fill="1F4E79"/>
            <w:vAlign w:val="center"/>
            <w:tcMar>
              <w:top w:w="65" w:type="dxa"/>
              <w:start w:w="80" w:type="dxa"/>
              <w:bottom w:w="65" w:type="dxa"/>
              <w:end w:w="80" w:type="dxa"/>
            </w:tcMar>
          </w:tcPr>
          <w:p>
            <w:pPr>
              <w:pStyle w:val="TableHeader"/>
              <w:keepLines/>
              <w:widowControl/>
            </w:pPr>
            <w:r>
              <w:rPr>
                <w:rFonts w:ascii="Liberation Serif" w:hAnsi="Liberation Serif"/>
              </w:rPr>
              <w:t>Central question</w:t>
            </w:r>
          </w:p>
        </w:tc>
        <w:tc>
          <w:tcPr>
            <w:tcW w:type="dxa" w:w="4031"/>
            <w:shd w:fill="1F4E79"/>
            <w:vAlign w:val="center"/>
            <w:tcMar>
              <w:top w:w="65" w:type="dxa"/>
              <w:start w:w="80" w:type="dxa"/>
              <w:bottom w:w="65" w:type="dxa"/>
              <w:end w:w="80" w:type="dxa"/>
            </w:tcMar>
          </w:tcPr>
          <w:p>
            <w:pPr>
              <w:pStyle w:val="TableHeader"/>
              <w:keepLines/>
              <w:widowControl/>
            </w:pPr>
            <w:r>
              <w:rPr>
                <w:rFonts w:ascii="Liberation Serif" w:hAnsi="Liberation Serif"/>
              </w:rPr>
              <w:t>Representative evidence</w:t>
            </w:r>
          </w:p>
        </w:tc>
        <w:tc>
          <w:tcPr>
            <w:tcW w:type="dxa" w:w="2160"/>
            <w:shd w:fill="1F4E79"/>
            <w:vAlign w:val="center"/>
            <w:tcMar>
              <w:top w:w="65" w:type="dxa"/>
              <w:start w:w="80" w:type="dxa"/>
              <w:bottom w:w="65" w:type="dxa"/>
              <w:end w:w="80" w:type="dxa"/>
            </w:tcMar>
          </w:tcPr>
          <w:p>
            <w:pPr>
              <w:pStyle w:val="TableHeader"/>
              <w:keepLines/>
              <w:widowControl/>
            </w:pPr>
            <w:r>
              <w:rPr>
                <w:rFonts w:ascii="Liberation Serif" w:hAnsi="Liberation Serif"/>
              </w:rPr>
              <w:t>Primary decisions</w:t>
            </w:r>
          </w:p>
        </w:tc>
      </w:tr>
      <w:tr>
        <w:trPr>
          <w:cantSplit/>
          <w:cantSplit/>
        </w:trPr>
        <w:tc>
          <w:tcPr>
            <w:tcW w:type="dxa" w:w="108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Student</w:t>
            </w:r>
          </w:p>
        </w:tc>
        <w:tc>
          <w:tcPr>
            <w:tcW w:type="dxa" w:w="259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What has this student demonstrated, and what responsibility is appropriate next?</w:t>
            </w:r>
          </w:p>
        </w:tc>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Course assessments, practicals, observation, Employability Profile, credentials, technical assessment, The Cottage, leadership, workplace performance, portfolio, presentation, and reflection.</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Feedback, support, course evaluation, Gateway status, reassessment, reverification, technical-assessment follow-up, and final WBL evaluation.</w:t>
            </w:r>
          </w:p>
        </w:tc>
      </w:tr>
      <w:tr>
        <w:trPr>
          <w:cantSplit/>
          <w:cantSplit/>
        </w:trPr>
        <w:tc>
          <w:tcPr>
            <w:tcW w:type="dxa" w:w="1080"/>
            <w:vAlign w:val="top"/>
            <w:tcMar>
              <w:top w:w="65" w:type="dxa"/>
              <w:start w:w="80" w:type="dxa"/>
              <w:bottom w:w="65" w:type="dxa"/>
              <w:end w:w="80" w:type="dxa"/>
            </w:tcMar>
          </w:tcPr>
          <w:p>
            <w:pPr>
              <w:pStyle w:val="TableText"/>
              <w:keepLines w:val="0"/>
              <w:widowControl/>
            </w:pPr>
            <w:r>
              <w:rPr>
                <w:rFonts w:ascii="Liberation Serif" w:hAnsi="Liberation Serif"/>
                <w:sz w:val="15"/>
              </w:rPr>
              <w:t>Training station</w:t>
            </w:r>
          </w:p>
        </w:tc>
        <w:tc>
          <w:tcPr>
            <w:tcW w:type="dxa" w:w="2592"/>
            <w:vAlign w:val="top"/>
            <w:tcMar>
              <w:top w:w="65" w:type="dxa"/>
              <w:start w:w="80" w:type="dxa"/>
              <w:bottom w:w="65" w:type="dxa"/>
              <w:end w:w="80" w:type="dxa"/>
            </w:tcMar>
          </w:tcPr>
          <w:p>
            <w:pPr>
              <w:pStyle w:val="TableText"/>
              <w:keepLines w:val="0"/>
              <w:widowControl/>
            </w:pPr>
            <w:r>
              <w:rPr>
                <w:rFonts w:ascii="Liberation Serif" w:hAnsi="Liberation Serif"/>
                <w:sz w:val="15"/>
              </w:rPr>
              <w:t>Does this workplace provide safe, lawful, supervised, respectful, feedback-rich, educationally meaningful learning?</w:t>
            </w:r>
          </w:p>
        </w:tc>
        <w:tc>
          <w:tcPr>
            <w:tcW w:type="dxa" w:w="4031"/>
            <w:vAlign w:val="top"/>
            <w:tcMar>
              <w:top w:w="65" w:type="dxa"/>
              <w:start w:w="80" w:type="dxa"/>
              <w:bottom w:w="65" w:type="dxa"/>
              <w:end w:w="80" w:type="dxa"/>
            </w:tcMar>
          </w:tcPr>
          <w:p>
            <w:pPr>
              <w:pStyle w:val="TableText"/>
              <w:keepLines w:val="0"/>
              <w:widowControl/>
            </w:pPr>
            <w:r>
              <w:rPr>
                <w:rFonts w:ascii="Liberation Serif" w:hAnsi="Liberation Serif"/>
                <w:sz w:val="15"/>
              </w:rPr>
              <w:t>Site review, training plan, student voice, mentor evidence, coordinator observation, concerns, communication, and closeout.</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5"/>
              </w:rPr>
              <w:t>Approve, condition, modify, suspend, discontinue, renew, or expand.</w:t>
            </w:r>
          </w:p>
        </w:tc>
      </w:tr>
      <w:tr>
        <w:trPr>
          <w:cantSplit/>
          <w:cantSplit/>
        </w:trPr>
        <w:tc>
          <w:tcPr>
            <w:tcW w:type="dxa" w:w="108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Pathway</w:t>
            </w:r>
          </w:p>
        </w:tc>
        <w:tc>
          <w:tcPr>
            <w:tcW w:type="dxa" w:w="259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Is the pathway producing intended results with quality, access, capacity, partnership strength, credential opportunity, and district alignment?</w:t>
            </w:r>
          </w:p>
        </w:tc>
        <w:tc>
          <w:tcPr>
            <w:tcW w:type="dxa" w:w="403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Aggregated Gateway patterns, standards coverage, credential and technical-assessment results, participation, transitions, employer feedback, teacher reflection, staffing, resources, compliance, and annual review.</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Preserve, improve, expand, pause, stop, allocate support, and verify change.</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Separation Rule</w:t>
            </w:r>
          </w:p>
          <w:p>
            <w:pPr>
              <w:pStyle w:val="SmallText"/>
              <w:keepLines/>
              <w:widowControl/>
            </w:pPr>
            <w:r>
              <w:rPr>
                <w:rFonts w:ascii="Liberation Serif" w:hAnsi="Liberation Serif"/>
                <w:sz w:val="18"/>
              </w:rPr>
              <w:t>A weakness in a training station or in the pathway is not a student failure. A strong student result does not excuse unsafe, inequitable, or low-quality program conditions. A high credential pass rate does not prove that every student is ready for greater responsibility.</w:t>
            </w:r>
          </w:p>
        </w:tc>
      </w:tr>
    </w:tbl>
    <w:p>
      <w:pPr>
        <w:spacing w:after="0"/>
      </w:pPr>
    </w:p>
    <w:p>
      <w:pPr>
        <w:pStyle w:val="Heading2"/>
      </w:pPr>
      <w:r>
        <w:t>Chapter 3: Evidence and Decision Rules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1655"/>
            <w:shd w:fill="1F4E79"/>
            <w:vAlign w:val="center"/>
            <w:tcMar>
              <w:top w:w="65" w:type="dxa"/>
              <w:start w:w="80" w:type="dxa"/>
              <w:bottom w:w="65" w:type="dxa"/>
              <w:end w:w="80" w:type="dxa"/>
            </w:tcMar>
          </w:tcPr>
          <w:p>
            <w:pPr>
              <w:pStyle w:val="TableHeader"/>
              <w:keepLines/>
              <w:widowControl/>
            </w:pPr>
            <w:r>
              <w:rPr>
                <w:rFonts w:ascii="Liberation Serif" w:hAnsi="Liberation Serif"/>
              </w:rPr>
              <w:t>Evidence principle</w:t>
            </w:r>
          </w:p>
        </w:tc>
        <w:tc>
          <w:tcPr>
            <w:tcW w:type="dxa" w:w="8136"/>
            <w:shd w:fill="1F4E79"/>
            <w:vAlign w:val="center"/>
            <w:tcMar>
              <w:top w:w="65" w:type="dxa"/>
              <w:start w:w="80" w:type="dxa"/>
              <w:bottom w:w="65" w:type="dxa"/>
              <w:end w:w="80" w:type="dxa"/>
            </w:tcMar>
          </w:tcPr>
          <w:p>
            <w:pPr>
              <w:pStyle w:val="TableHeader"/>
              <w:keepLines/>
              <w:widowControl/>
            </w:pPr>
            <w:r>
              <w:rPr>
                <w:rFonts w:ascii="Liberation Serif" w:hAnsi="Liberation Serif"/>
              </w:rPr>
              <w:t>Pathway standard</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Alignment</w:t>
            </w:r>
          </w:p>
        </w:tc>
        <w:tc>
          <w:tcPr>
            <w:tcW w:type="dxa" w:w="81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Evidence measures an established course standard, Gateway competency, workplace goal, site-quality question, technical-assessment standard, credential requirement, or program question.</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6"/>
              </w:rPr>
              <w:t>Validity</w:t>
            </w:r>
          </w:p>
        </w:tc>
        <w:tc>
          <w:tcPr>
            <w:tcW w:type="dxa" w:w="8136"/>
            <w:vAlign w:val="top"/>
            <w:tcMar>
              <w:top w:w="65" w:type="dxa"/>
              <w:start w:w="80" w:type="dxa"/>
              <w:bottom w:w="65" w:type="dxa"/>
              <w:end w:w="80" w:type="dxa"/>
            </w:tcMar>
          </w:tcPr>
          <w:p>
            <w:pPr>
              <w:pStyle w:val="TableText"/>
              <w:keepLines w:val="0"/>
              <w:widowControl/>
            </w:pPr>
            <w:r>
              <w:rPr>
                <w:rFonts w:ascii="Liberation Serif" w:hAnsi="Liberation Serif"/>
                <w:sz w:val="16"/>
              </w:rPr>
              <w:t>The interpretation fits the evidence. Knowledge evidence cannot independently prove safe performance, a credential cannot independently prove full Gateway mastery, and satisfaction cannot independently prove quality.</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Reliability</w:t>
            </w:r>
          </w:p>
        </w:tc>
        <w:tc>
          <w:tcPr>
            <w:tcW w:type="dxa" w:w="81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Criteria support reasonably consistent judgment across tasks, time, evaluators, courses, buildings, and approved assessment administrations.</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6"/>
              </w:rPr>
              <w:t>Fairness</w:t>
            </w:r>
          </w:p>
        </w:tc>
        <w:tc>
          <w:tcPr>
            <w:tcW w:type="dxa" w:w="8136"/>
            <w:vAlign w:val="top"/>
            <w:tcMar>
              <w:top w:w="65" w:type="dxa"/>
              <w:start w:w="80" w:type="dxa"/>
              <w:bottom w:w="65" w:type="dxa"/>
              <w:end w:w="80" w:type="dxa"/>
            </w:tcMar>
          </w:tcPr>
          <w:p>
            <w:pPr>
              <w:pStyle w:val="TableText"/>
              <w:keepLines w:val="0"/>
              <w:widowControl/>
            </w:pPr>
            <w:r>
              <w:rPr>
                <w:rFonts w:ascii="Liberation Serif" w:hAnsi="Liberation Serif"/>
                <w:sz w:val="16"/>
              </w:rPr>
              <w:t>Approved supports remove irrelevant barriers while preserving the competency, industry expectation, or professional standard being judged.</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Authenticity</w:t>
            </w:r>
          </w:p>
        </w:tc>
        <w:tc>
          <w:tcPr>
            <w:tcW w:type="dxa" w:w="81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The task resembles the way knowledge, skill, judgment, service, or leadership is used in culinary and workplace settings.</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6"/>
              </w:rPr>
              <w:t>Usability</w:t>
            </w:r>
          </w:p>
        </w:tc>
        <w:tc>
          <w:tcPr>
            <w:tcW w:type="dxa" w:w="8136"/>
            <w:vAlign w:val="top"/>
            <w:tcMar>
              <w:top w:w="65" w:type="dxa"/>
              <w:start w:w="80" w:type="dxa"/>
              <w:bottom w:w="65" w:type="dxa"/>
              <w:end w:w="80" w:type="dxa"/>
            </w:tcMar>
          </w:tcPr>
          <w:p>
            <w:pPr>
              <w:pStyle w:val="TableText"/>
              <w:keepLines w:val="0"/>
              <w:widowControl/>
            </w:pPr>
            <w:r>
              <w:rPr>
                <w:rFonts w:ascii="Liberation Serif" w:hAnsi="Liberation Serif"/>
                <w:sz w:val="16"/>
              </w:rPr>
              <w:t>The tool is practical enough to be used accurately during a real lab, event, assessment administration, or workplace experience.</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Integrity</w:t>
            </w:r>
          </w:p>
        </w:tc>
        <w:tc>
          <w:tcPr>
            <w:tcW w:type="dxa" w:w="81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Hours, ratings, credentials, technical-assessment components, evidence references, completion decisions, and reported results are accurate and traceable.</w:t>
            </w:r>
          </w:p>
        </w:tc>
      </w:tr>
    </w:tbl>
    <w:p>
      <w:pPr>
        <w:spacing w:after="0"/>
      </w:pPr>
    </w:p>
    <w:p>
      <w:pPr>
        <w:pStyle w:val="ListBullet"/>
        <w:spacing w:after="30" w:line="240" w:lineRule="auto"/>
        <w:ind w:left="331" w:hanging="187"/>
      </w:pPr>
      <w:r>
        <w:rPr>
          <w:rFonts w:ascii="Liberation Serif" w:hAnsi="Liberation Serif"/>
          <w:sz w:val="18"/>
        </w:rPr>
        <w:t>Use more than one relevant source for Gateway completion, safety clearance, final External WBL evaluation, site suspension, and major program decisions whenever additional evidence is reasonably available.</w:t>
      </w:r>
    </w:p>
    <w:p>
      <w:pPr>
        <w:pStyle w:val="ListBullet"/>
        <w:spacing w:after="30" w:line="240" w:lineRule="auto"/>
        <w:ind w:left="331" w:hanging="187"/>
      </w:pPr>
      <w:r>
        <w:rPr>
          <w:rFonts w:ascii="Liberation Serif" w:hAnsi="Liberation Serif"/>
          <w:sz w:val="18"/>
        </w:rPr>
        <w:t>Use the most recent and most consistent evidence when current performance differs from early practice. Preserve the learning history without allowing an old failure to erase demonstrated growth.</w:t>
      </w:r>
    </w:p>
    <w:p>
      <w:pPr>
        <w:pStyle w:val="ListBullet"/>
        <w:spacing w:after="30" w:line="240" w:lineRule="auto"/>
        <w:ind w:left="331" w:hanging="187"/>
      </w:pPr>
      <w:r>
        <w:rPr>
          <w:rFonts w:ascii="Liberation Serif" w:hAnsi="Liberation Serif"/>
          <w:sz w:val="18"/>
        </w:rPr>
        <w:t>Do not average an unmet safety-critical standard into an overall passing result.</w:t>
      </w:r>
    </w:p>
    <w:p>
      <w:pPr>
        <w:pStyle w:val="ListBullet"/>
        <w:spacing w:after="30" w:line="240" w:lineRule="auto"/>
        <w:ind w:left="331" w:hanging="187"/>
      </w:pPr>
      <w:r>
        <w:rPr>
          <w:rFonts w:ascii="Liberation Serif" w:hAnsi="Liberation Serif"/>
          <w:sz w:val="18"/>
        </w:rPr>
        <w:t>Do not convert missing evidence into failure. Identify what is still required and the next opportunity to demonstrate it.</w:t>
      </w:r>
    </w:p>
    <w:p>
      <w:pPr>
        <w:pStyle w:val="ListBullet"/>
        <w:spacing w:after="30" w:line="240" w:lineRule="auto"/>
        <w:ind w:left="331" w:hanging="187"/>
      </w:pPr>
      <w:r>
        <w:rPr>
          <w:rFonts w:ascii="Liberation Serif" w:hAnsi="Liberation Serif"/>
          <w:sz w:val="18"/>
        </w:rPr>
        <w:t>Do not use percentage averages across unrelated standards to award a Gateway. Gateway decisions use the body of evidence required by that Gateway.</w:t>
      </w:r>
    </w:p>
    <w:p>
      <w:pPr>
        <w:pStyle w:val="ListBullet"/>
        <w:spacing w:after="30" w:line="240" w:lineRule="auto"/>
        <w:ind w:left="331" w:hanging="187"/>
      </w:pPr>
      <w:r>
        <w:rPr>
          <w:rFonts w:ascii="Liberation Serif" w:hAnsi="Liberation Serif"/>
          <w:sz w:val="18"/>
        </w:rPr>
        <w:t>Do not interpret a YouScience, ServSafe, or other external score beyond the purpose and approved use of that assessment.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4896"/>
            <w:shd w:fill="1C7C83"/>
            <w:vAlign w:val="center"/>
            <w:tcMar>
              <w:top w:w="65" w:type="dxa"/>
              <w:start w:w="80" w:type="dxa"/>
              <w:bottom w:w="65" w:type="dxa"/>
              <w:end w:w="80" w:type="dxa"/>
            </w:tcMar>
          </w:tcPr>
          <w:p>
            <w:pPr>
              <w:pStyle w:val="TableHeader"/>
              <w:keepLines/>
              <w:widowControl/>
            </w:pPr>
            <w:r>
              <w:rPr>
                <w:rFonts w:ascii="Liberation Serif" w:hAnsi="Liberation Serif"/>
              </w:rPr>
              <w:t>Provide Clear Direction</w:t>
            </w:r>
          </w:p>
        </w:tc>
        <w:tc>
          <w:tcPr>
            <w:tcW w:type="dxa" w:w="4896"/>
            <w:shd w:fill="1C7C83"/>
            <w:vAlign w:val="center"/>
            <w:tcMar>
              <w:top w:w="65" w:type="dxa"/>
              <w:start w:w="80" w:type="dxa"/>
              <w:bottom w:w="65" w:type="dxa"/>
              <w:end w:w="80" w:type="dxa"/>
            </w:tcMar>
          </w:tcPr>
          <w:p>
            <w:pPr>
              <w:pStyle w:val="TableHeader"/>
              <w:keepLines/>
              <w:widowControl/>
            </w:pPr>
            <w:r>
              <w:rPr>
                <w:rFonts w:ascii="Liberation Serif" w:hAnsi="Liberation Serif"/>
              </w:rPr>
              <w:t>Inspect What You Expect</w:t>
            </w:r>
          </w:p>
        </w:tc>
      </w:tr>
      <w:tr>
        <w:trPr>
          <w:cantSplit/>
          <w:cantSplit/>
        </w:trPr>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Criteria, evidence sources, credential requirements, and decision rules are shared before the final judgment.</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The consequence of the decision determines the strength of evidence required. Coaching may begin from one observation; progression, credentialing, and completion require a stronger record.</w:t>
            </w:r>
          </w:p>
        </w:tc>
      </w:tr>
    </w:tbl>
    <w:p>
      <w:pPr>
        <w:spacing w:after="0"/>
      </w:pPr>
    </w:p>
    <w:p>
      <w:pPr>
        <w:pStyle w:val="Heading2"/>
      </w:pPr>
      <w:r>
        <w:t>Chapter 4: Standards-Based Scale and Critical Thresholds</w:t>
      </w:r>
    </w:p>
    <w:p>
      <w:pPr/>
      <w:r>
        <w:rPr>
          <w:i w:val="0"/>
        </w:rPr>
        <w:t>Course achievement uses the district 1-4 standards-based model. Gateway completion uses the separate Canon levels of Completion with Distinction, Completion, and Not Yet Completed.</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3168"/>
            <w:shd w:fill="1F4E79"/>
            <w:vAlign w:val="center"/>
            <w:tcMar>
              <w:top w:w="65" w:type="dxa"/>
              <w:start w:w="80" w:type="dxa"/>
              <w:bottom w:w="65" w:type="dxa"/>
              <w:end w:w="80" w:type="dxa"/>
            </w:tcMar>
          </w:tcPr>
          <w:p>
            <w:pPr>
              <w:pStyle w:val="TableHeader"/>
              <w:keepLines/>
              <w:widowControl/>
            </w:pPr>
            <w:r>
              <w:rPr>
                <w:rFonts w:ascii="Liberation Serif" w:hAnsi="Liberation Serif"/>
              </w:rPr>
              <w:t>Course level</w:t>
            </w:r>
          </w:p>
        </w:tc>
        <w:tc>
          <w:tcPr>
            <w:tcW w:type="dxa" w:w="6623"/>
            <w:shd w:fill="1F4E79"/>
            <w:vAlign w:val="center"/>
            <w:tcMar>
              <w:top w:w="65" w:type="dxa"/>
              <w:start w:w="80" w:type="dxa"/>
              <w:bottom w:w="65" w:type="dxa"/>
              <w:end w:w="80" w:type="dxa"/>
            </w:tcMar>
          </w:tcPr>
          <w:p>
            <w:pPr>
              <w:pStyle w:val="TableHeader"/>
              <w:keepLines/>
              <w:widowControl/>
            </w:pPr>
            <w:r>
              <w:rPr>
                <w:rFonts w:ascii="Liberation Serif" w:hAnsi="Liberation Serif"/>
              </w:rPr>
              <w:t>Working interpretation</w:t>
            </w:r>
          </w:p>
        </w:tc>
      </w:tr>
      <w:tr>
        <w:trPr>
          <w:cantSplit/>
          <w:cantSplit/>
        </w:trPr>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4 - Exceeds the Standard</w:t>
            </w:r>
          </w:p>
        </w:tc>
        <w:tc>
          <w:tcPr>
            <w:tcW w:type="dxa" w:w="662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Performance consistently exceeds expectations and demonstrates distinction, independence, or leadership.</w:t>
            </w:r>
          </w:p>
        </w:tc>
      </w:tr>
      <w:tr>
        <w:trPr>
          <w:cantSplit/>
          <w:cantSplit/>
        </w:trPr>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6"/>
              </w:rPr>
              <w:t>3 - Meets the Standard</w:t>
            </w:r>
          </w:p>
        </w:tc>
        <w:tc>
          <w:tcPr>
            <w:tcW w:type="dxa" w:w="6623"/>
            <w:vAlign w:val="top"/>
            <w:tcMar>
              <w:top w:w="65" w:type="dxa"/>
              <w:start w:w="80" w:type="dxa"/>
              <w:bottom w:w="65" w:type="dxa"/>
              <w:end w:w="80" w:type="dxa"/>
            </w:tcMar>
          </w:tcPr>
          <w:p>
            <w:pPr>
              <w:pStyle w:val="TableText"/>
              <w:keepLines w:val="0"/>
              <w:widowControl/>
            </w:pPr>
            <w:r>
              <w:rPr>
                <w:rFonts w:ascii="Liberation Serif" w:hAnsi="Liberation Serif"/>
                <w:sz w:val="16"/>
              </w:rPr>
              <w:t>Performance consistently meets the approved course standard.</w:t>
            </w:r>
          </w:p>
        </w:tc>
      </w:tr>
      <w:tr>
        <w:trPr>
          <w:cantSplit/>
          <w:cantSplit/>
        </w:trPr>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2 - Approaching the Standard</w:t>
            </w:r>
          </w:p>
        </w:tc>
        <w:tc>
          <w:tcPr>
            <w:tcW w:type="dxa" w:w="662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Performance is developing but additional evidence, practice, or improvement is required.</w:t>
            </w:r>
          </w:p>
        </w:tc>
      </w:tr>
      <w:tr>
        <w:trPr>
          <w:cantSplit/>
          <w:cantSplit/>
        </w:trPr>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6"/>
              </w:rPr>
              <w:t>1 - Not Yet Demonstrating the Standard</w:t>
            </w:r>
          </w:p>
        </w:tc>
        <w:tc>
          <w:tcPr>
            <w:tcW w:type="dxa" w:w="6623"/>
            <w:vAlign w:val="top"/>
            <w:tcMar>
              <w:top w:w="65" w:type="dxa"/>
              <w:start w:w="80" w:type="dxa"/>
              <w:bottom w:w="65" w:type="dxa"/>
              <w:end w:w="80" w:type="dxa"/>
            </w:tcMar>
          </w:tcPr>
          <w:p>
            <w:pPr>
              <w:pStyle w:val="TableText"/>
              <w:keepLines w:val="0"/>
              <w:widowControl/>
            </w:pPr>
            <w:r>
              <w:rPr>
                <w:rFonts w:ascii="Liberation Serif" w:hAnsi="Liberation Serif"/>
                <w:sz w:val="16"/>
              </w:rPr>
              <w:t>Current evidence does not yet meet the standard.</w:t>
            </w:r>
          </w:p>
        </w:tc>
      </w:tr>
    </w:tbl>
    <w:p>
      <w:pPr>
        <w:spacing w:after="0"/>
      </w:pPr>
    </w:p>
    <w:p>
      <w:pPr/>
      <w:r>
        <w:rPr>
          <w:i w:val="0"/>
        </w:rPr>
        <w:t>The overall standards-based result matters. A student may earn course credit with an uneven profile when the weighted overall result meets the district passing standard and the lower area is not a critical completion condition.</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Critical Threshold Rule</w:t>
            </w:r>
          </w:p>
          <w:p>
            <w:pPr>
              <w:pStyle w:val="SmallText"/>
              <w:keepLines/>
              <w:widowControl/>
            </w:pPr>
            <w:r>
              <w:rPr>
                <w:rFonts w:ascii="Liberation Serif" w:hAnsi="Liberation Serif"/>
                <w:sz w:val="18"/>
              </w:rPr>
              <w:t>Safety, required hours, required portfolio completion, required final presentation, and other Canon-defined completion conditions cannot be averaged away by strength in another category. Credential and pathway-recognition requirements remain subject to the current approved rules that govern those outcomes.</w:t>
            </w:r>
          </w:p>
        </w:tc>
      </w:tr>
    </w:tbl>
    <w:p>
      <w:pPr>
        <w:spacing w:after="0"/>
      </w:pPr>
    </w:p>
    <w:p>
      <w:pPr>
        <w:pStyle w:val="Heading2"/>
      </w:pPr>
      <w:r>
        <w:t>Chapter 5: Standards, Assessments, Credentials, and Outcomes</w:t>
      </w:r>
    </w:p>
    <w:p>
      <w:pPr/>
      <w:r>
        <w:rPr>
          <w:i w:val="0"/>
        </w:rPr>
        <w:t>The pathway uses several external and local sources. They strengthen the assessment system only when each source is used for the decision it was designed to support.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088"/>
            <w:shd w:fill="1F4E79"/>
            <w:vAlign w:val="center"/>
            <w:tcMar>
              <w:top w:w="65" w:type="dxa"/>
              <w:start w:w="80" w:type="dxa"/>
              <w:bottom w:w="65" w:type="dxa"/>
              <w:end w:w="80" w:type="dxa"/>
            </w:tcMar>
          </w:tcPr>
          <w:p>
            <w:pPr>
              <w:pStyle w:val="TableHeader"/>
              <w:keepLines/>
              <w:widowControl/>
            </w:pPr>
            <w:r>
              <w:rPr>
                <w:rFonts w:ascii="Liberation Serif" w:hAnsi="Liberation Serif"/>
              </w:rPr>
              <w:t>Source</w:t>
            </w:r>
          </w:p>
        </w:tc>
        <w:tc>
          <w:tcPr>
            <w:tcW w:type="dxa" w:w="4320"/>
            <w:shd w:fill="1F4E79"/>
            <w:vAlign w:val="center"/>
            <w:tcMar>
              <w:top w:w="65" w:type="dxa"/>
              <w:start w:w="80" w:type="dxa"/>
              <w:bottom w:w="65" w:type="dxa"/>
              <w:end w:w="80" w:type="dxa"/>
            </w:tcMar>
          </w:tcPr>
          <w:p>
            <w:pPr>
              <w:pStyle w:val="TableHeader"/>
              <w:keepLines/>
              <w:widowControl/>
            </w:pPr>
            <w:r>
              <w:rPr>
                <w:rFonts w:ascii="Liberation Serif" w:hAnsi="Liberation Serif"/>
              </w:rPr>
              <w:t>Primary role</w:t>
            </w:r>
          </w:p>
        </w:tc>
        <w:tc>
          <w:tcPr>
            <w:tcW w:type="dxa" w:w="3384"/>
            <w:shd w:fill="1F4E79"/>
            <w:vAlign w:val="center"/>
            <w:tcMar>
              <w:top w:w="65" w:type="dxa"/>
              <w:start w:w="80" w:type="dxa"/>
              <w:bottom w:w="65" w:type="dxa"/>
              <w:end w:w="80" w:type="dxa"/>
            </w:tcMar>
          </w:tcPr>
          <w:p>
            <w:pPr>
              <w:pStyle w:val="TableHeader"/>
              <w:keepLines/>
              <w:widowControl/>
            </w:pPr>
            <w:r>
              <w:rPr>
                <w:rFonts w:ascii="Liberation Serif" w:hAnsi="Liberation Serif"/>
              </w:rPr>
              <w:t>What it does not do by itself</w:t>
            </w:r>
          </w:p>
        </w:tc>
      </w:tr>
      <w:tr>
        <w:trPr>
          <w:cantSplit/>
          <w:cantSplit/>
        </w:trPr>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District course outcomes</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Define what students are expected to learn in each course and how instruction is sequenced.</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 not prove that an individual student has demonstrated the outcome.</w:t>
            </w:r>
          </w:p>
        </w:tc>
      </w:tr>
      <w:tr>
        <w:trPr>
          <w:cantSplit/>
          <w:cantSplit/>
        </w:trPr>
        <w:tc>
          <w:tcPr>
            <w:tcW w:type="dxa" w:w="2088"/>
            <w:vAlign w:val="top"/>
            <w:tcMar>
              <w:top w:w="65" w:type="dxa"/>
              <w:start w:w="80" w:type="dxa"/>
              <w:bottom w:w="65" w:type="dxa"/>
              <w:end w:w="80" w:type="dxa"/>
            </w:tcMar>
          </w:tcPr>
          <w:p>
            <w:pPr>
              <w:pStyle w:val="TableText"/>
              <w:keepLines w:val="0"/>
              <w:widowControl/>
            </w:pPr>
            <w:r>
              <w:rPr>
                <w:rFonts w:ascii="Liberation Serif" w:hAnsi="Liberation Serif"/>
                <w:sz w:val="15"/>
              </w:rPr>
              <w:t>Culinary Pathway Skills Map</w:t>
            </w:r>
          </w:p>
        </w:tc>
        <w:tc>
          <w:tcPr>
            <w:tcW w:type="dxa" w:w="4320"/>
            <w:vAlign w:val="top"/>
            <w:tcMar>
              <w:top w:w="65" w:type="dxa"/>
              <w:start w:w="80" w:type="dxa"/>
              <w:bottom w:w="65" w:type="dxa"/>
              <w:end w:w="80" w:type="dxa"/>
            </w:tcMar>
          </w:tcPr>
          <w:p>
            <w:pPr>
              <w:pStyle w:val="TableText"/>
              <w:keepLines w:val="0"/>
              <w:widowControl/>
            </w:pPr>
            <w:r>
              <w:rPr>
                <w:rFonts w:ascii="Liberation Serif" w:hAnsi="Liberation Serif"/>
                <w:sz w:val="15"/>
              </w:rPr>
              <w:t>Crosswalks course outcomes with YouScience Culinary III, ProStart Levels 1 and 2, CDOS, Employability Profile domains, equipment, product knowledge, safety, production, and evidence.</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Does not replace approved curriculum, assessment tools, or the Passport.</w:t>
            </w:r>
          </w:p>
        </w:tc>
      </w:tr>
      <w:tr>
        <w:trPr>
          <w:cantSplit/>
          <w:cantSplit/>
        </w:trPr>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YouScience Culinary III</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Provides a pathway technical-assessment blueprint with weighted knowledge standards and required performance expectations.</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Does not independently determine a course grade, Gateway 5, Travel Rights, or full pathway competence.</w:t>
            </w:r>
          </w:p>
        </w:tc>
      </w:tr>
      <w:tr>
        <w:trPr>
          <w:cantSplit/>
          <w:cantSplit/>
        </w:trPr>
        <w:tc>
          <w:tcPr>
            <w:tcW w:type="dxa" w:w="2088"/>
            <w:vAlign w:val="top"/>
            <w:tcMar>
              <w:top w:w="65" w:type="dxa"/>
              <w:start w:w="80" w:type="dxa"/>
              <w:bottom w:w="65" w:type="dxa"/>
              <w:end w:w="80" w:type="dxa"/>
            </w:tcMar>
          </w:tcPr>
          <w:p>
            <w:pPr>
              <w:pStyle w:val="TableText"/>
              <w:keepLines w:val="0"/>
              <w:widowControl/>
            </w:pPr>
            <w:r>
              <w:rPr>
                <w:rFonts w:ascii="Liberation Serif" w:hAnsi="Liberation Serif"/>
                <w:sz w:val="15"/>
              </w:rPr>
              <w:t>ProStart Levels 1 and 2</w:t>
            </w:r>
          </w:p>
        </w:tc>
        <w:tc>
          <w:tcPr>
            <w:tcW w:type="dxa" w:w="4320"/>
            <w:vAlign w:val="top"/>
            <w:tcMar>
              <w:top w:w="65" w:type="dxa"/>
              <w:start w:w="80" w:type="dxa"/>
              <w:bottom w:w="65" w:type="dxa"/>
              <w:end w:w="80" w:type="dxa"/>
            </w:tcMar>
          </w:tcPr>
          <w:p>
            <w:pPr>
              <w:pStyle w:val="TableText"/>
              <w:keepLines w:val="0"/>
              <w:widowControl/>
            </w:pPr>
            <w:r>
              <w:rPr>
                <w:rFonts w:ascii="Liberation Serif" w:hAnsi="Liberation Serif"/>
                <w:sz w:val="15"/>
              </w:rPr>
              <w:t>Provide a national restaurant and foodservice curriculum framework for industry, safety, equipment, production, service, management, cost control, purchasing, marketing, nutrition, sustainability, and global cuisine.</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Curriculum coverage alone does not prove mastery or award a credential.</w:t>
            </w:r>
          </w:p>
        </w:tc>
      </w:tr>
      <w:tr>
        <w:trPr>
          <w:cantSplit/>
          <w:cantSplit/>
        </w:trPr>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CDOS</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Grounds career development, employability, workplace performance, occupational learning, and observable professional behavior.</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Does not reduce professionalism to personality or one teacher impression.</w:t>
            </w:r>
          </w:p>
        </w:tc>
      </w:tr>
      <w:tr>
        <w:trPr>
          <w:cantSplit/>
          <w:cantSplit/>
        </w:trPr>
        <w:tc>
          <w:tcPr>
            <w:tcW w:type="dxa" w:w="2088"/>
            <w:vAlign w:val="top"/>
            <w:tcMar>
              <w:top w:w="65" w:type="dxa"/>
              <w:start w:w="80" w:type="dxa"/>
              <w:bottom w:w="65" w:type="dxa"/>
              <w:end w:w="80" w:type="dxa"/>
            </w:tcMar>
          </w:tcPr>
          <w:p>
            <w:pPr>
              <w:pStyle w:val="TableText"/>
              <w:keepLines w:val="0"/>
              <w:widowControl/>
            </w:pPr>
            <w:r>
              <w:rPr>
                <w:rFonts w:ascii="Liberation Serif" w:hAnsi="Liberation Serif"/>
                <w:sz w:val="15"/>
              </w:rPr>
              <w:t>ServSafe Management</w:t>
            </w:r>
          </w:p>
        </w:tc>
        <w:tc>
          <w:tcPr>
            <w:tcW w:type="dxa" w:w="4320"/>
            <w:vAlign w:val="top"/>
            <w:tcMar>
              <w:top w:w="65" w:type="dxa"/>
              <w:start w:w="80" w:type="dxa"/>
              <w:bottom w:w="65" w:type="dxa"/>
              <w:end w:w="80" w:type="dxa"/>
            </w:tcMar>
          </w:tcPr>
          <w:p>
            <w:pPr>
              <w:pStyle w:val="TableText"/>
              <w:keepLines w:val="0"/>
              <w:widowControl/>
            </w:pPr>
            <w:r>
              <w:rPr>
                <w:rFonts w:ascii="Liberation Serif" w:hAnsi="Liberation Serif"/>
                <w:sz w:val="15"/>
              </w:rPr>
              <w:t>Provides industry-recognized food-safety credential evidence and an external confirmation of part of the student’s safety knowledge.</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Does not independently prove safe daily behavior, equipment competence, or complete Gateway mastery.</w:t>
            </w:r>
          </w:p>
        </w:tc>
      </w:tr>
      <w:tr>
        <w:trPr>
          <w:cantSplit/>
          <w:cantSplit/>
        </w:trPr>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GCSD Culinary Employability Profile</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Records longitudinal work-related skills, technical knowledge, WBL hours, postsecondary credit, technical assessment, credentials, endorsements, and recognition.</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Does not replace course grades or the Passport progression decision.</w:t>
            </w:r>
          </w:p>
        </w:tc>
      </w:tr>
      <w:tr>
        <w:trPr>
          <w:cantSplit/>
          <w:cantSplit/>
        </w:trPr>
        <w:tc>
          <w:tcPr>
            <w:tcW w:type="dxa" w:w="2088"/>
            <w:vAlign w:val="top"/>
            <w:tcMar>
              <w:top w:w="65" w:type="dxa"/>
              <w:start w:w="80" w:type="dxa"/>
              <w:bottom w:w="65" w:type="dxa"/>
              <w:end w:w="80" w:type="dxa"/>
            </w:tcMar>
          </w:tcPr>
          <w:p>
            <w:pPr>
              <w:pStyle w:val="TableText"/>
              <w:keepLines w:val="0"/>
              <w:widowControl/>
            </w:pPr>
            <w:r>
              <w:rPr>
                <w:rFonts w:ascii="Liberation Serif" w:hAnsi="Liberation Serif"/>
                <w:sz w:val="15"/>
              </w:rPr>
              <w:t>Culinary Passport</w:t>
            </w:r>
          </w:p>
        </w:tc>
        <w:tc>
          <w:tcPr>
            <w:tcW w:type="dxa" w:w="4320"/>
            <w:vAlign w:val="top"/>
            <w:tcMar>
              <w:top w:w="65" w:type="dxa"/>
              <w:start w:w="80" w:type="dxa"/>
              <w:bottom w:w="65" w:type="dxa"/>
              <w:end w:w="80" w:type="dxa"/>
            </w:tcMar>
          </w:tcPr>
          <w:p>
            <w:pPr>
              <w:pStyle w:val="TableText"/>
              <w:keepLines w:val="0"/>
              <w:widowControl/>
            </w:pPr>
            <w:r>
              <w:rPr>
                <w:rFonts w:ascii="Liberation Serif" w:hAnsi="Liberation Serif"/>
                <w:sz w:val="15"/>
              </w:rPr>
              <w:t>Records official Gateway completion and the responsibility authorized next.</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Does not replace the gradebook, Employability Profile, credential record, technical-assessment record, or WBL course file.</w:t>
            </w:r>
          </w:p>
        </w:tc>
      </w:tr>
      <w:tr>
        <w:trPr>
          <w:cantSplit/>
          <w:cantSplit/>
        </w:trPr>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CTE endorsement / 4+1 recognition</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Documents a formal pathway outcome when the student meets current approved state and district requirements.</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Is not a separate Gateway and is not an assessment method by itself.</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Source Hierarchy</w:t>
            </w:r>
          </w:p>
          <w:p>
            <w:pPr>
              <w:pStyle w:val="SmallText"/>
              <w:keepLines/>
              <w:widowControl/>
            </w:pPr>
            <w:r>
              <w:rPr>
                <w:rFonts w:ascii="Liberation Serif" w:hAnsi="Liberation Serif"/>
                <w:sz w:val="18"/>
              </w:rPr>
              <w:t>Course outcomes define what is taught. The Skills Map aligns the standards. Assessments determine what the student has demonstrated. Credentials document recognized external results. The Gateway decision determines progression.</w:t>
            </w:r>
          </w:p>
        </w:tc>
      </w:tr>
    </w:tbl>
    <w:p>
      <w:pPr>
        <w:spacing w:after="0"/>
      </w:pPr>
    </w:p>
    <w:p>
      <w:pPr>
        <w:pStyle w:val="Heading2"/>
      </w:pPr>
      <w:r>
        <w:t>Chapter 6: Current Assessment Inventory</w:t>
      </w:r>
    </w:p>
    <w:p>
      <w:pPr/>
      <w:r>
        <w:rPr>
          <w:i w:val="0"/>
        </w:rPr>
        <w:t>The pathway already possesses most of the evidence needed for a strong assessment system. Book Two preserves these sources, clarifies their purpose, and limits new tools to genuine gaps.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448"/>
            <w:shd w:fill="1F4E79"/>
            <w:vAlign w:val="center"/>
            <w:tcMar>
              <w:top w:w="65" w:type="dxa"/>
              <w:start w:w="80" w:type="dxa"/>
              <w:bottom w:w="65" w:type="dxa"/>
              <w:end w:w="80" w:type="dxa"/>
            </w:tcMar>
          </w:tcPr>
          <w:p>
            <w:pPr>
              <w:pStyle w:val="TableHeader"/>
              <w:keepLines/>
              <w:widowControl/>
            </w:pPr>
            <w:r>
              <w:rPr>
                <w:rFonts w:ascii="Liberation Serif" w:hAnsi="Liberation Serif"/>
              </w:rPr>
              <w:t>Existing source</w:t>
            </w:r>
          </w:p>
        </w:tc>
        <w:tc>
          <w:tcPr>
            <w:tcW w:type="dxa" w:w="3816"/>
            <w:shd w:fill="1F4E79"/>
            <w:vAlign w:val="center"/>
            <w:tcMar>
              <w:top w:w="65" w:type="dxa"/>
              <w:start w:w="80" w:type="dxa"/>
              <w:bottom w:w="65" w:type="dxa"/>
              <w:end w:w="80" w:type="dxa"/>
            </w:tcMar>
          </w:tcPr>
          <w:p>
            <w:pPr>
              <w:pStyle w:val="TableHeader"/>
              <w:keepLines/>
              <w:widowControl/>
            </w:pPr>
            <w:r>
              <w:rPr>
                <w:rFonts w:ascii="Liberation Serif" w:hAnsi="Liberation Serif"/>
              </w:rPr>
              <w:t>Purpose</w:t>
            </w:r>
          </w:p>
        </w:tc>
        <w:tc>
          <w:tcPr>
            <w:tcW w:type="dxa" w:w="3528"/>
            <w:shd w:fill="1F4E79"/>
            <w:vAlign w:val="center"/>
            <w:tcMar>
              <w:top w:w="65" w:type="dxa"/>
              <w:start w:w="80" w:type="dxa"/>
              <w:bottom w:w="65" w:type="dxa"/>
              <w:end w:w="80" w:type="dxa"/>
            </w:tcMar>
          </w:tcPr>
          <w:p>
            <w:pPr>
              <w:pStyle w:val="TableHeader"/>
              <w:keepLines/>
              <w:widowControl/>
            </w:pPr>
            <w:r>
              <w:rPr>
                <w:rFonts w:ascii="Liberation Serif" w:hAnsi="Liberation Serif"/>
              </w:rPr>
              <w:t>Book Two direction</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Culinary 1 and 2 learning objectives / student performance objectives</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Define foundational and applied knowledge, technical skills, professional habits, and communication expectations.</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Retain and edit into a clean, stable, course-owned objective set.</w:t>
            </w:r>
          </w:p>
        </w:tc>
      </w:tr>
      <w:tr>
        <w:trPr>
          <w:cantSplit/>
          <w:cantSplit/>
        </w:trPr>
        <w:tc>
          <w:tcPr>
            <w:tcW w:type="dxa" w:w="2448"/>
            <w:vAlign w:val="top"/>
            <w:tcMar>
              <w:top w:w="65" w:type="dxa"/>
              <w:start w:w="80" w:type="dxa"/>
              <w:bottom w:w="65" w:type="dxa"/>
              <w:end w:w="80" w:type="dxa"/>
            </w:tcMar>
          </w:tcPr>
          <w:p>
            <w:pPr>
              <w:pStyle w:val="TableText"/>
              <w:keepLines w:val="0"/>
              <w:widowControl/>
            </w:pPr>
            <w:r>
              <w:rPr>
                <w:rFonts w:ascii="Liberation Serif" w:hAnsi="Liberation Serif"/>
                <w:sz w:val="14"/>
              </w:rPr>
              <w:t>Culinary 1 and 2 course outline</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Connect learning targets to the 35-week sequence, repeated three-day lab cycle, projects, written final, and practical final.</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Retain as curriculum evidence; reconcile terminology and current food-safety references.</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Quarterly assessments</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Provide periodic evidence of content knowledge and application.</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Retain; map items to objectives and YouScience domains, then review item quality.</w:t>
            </w:r>
          </w:p>
        </w:tc>
      </w:tr>
      <w:tr>
        <w:trPr>
          <w:cantSplit/>
          <w:cantSplit/>
        </w:trPr>
        <w:tc>
          <w:tcPr>
            <w:tcW w:type="dxa" w:w="2448"/>
            <w:vAlign w:val="top"/>
            <w:tcMar>
              <w:top w:w="65" w:type="dxa"/>
              <w:start w:w="80" w:type="dxa"/>
              <w:bottom w:w="65" w:type="dxa"/>
              <w:end w:w="80" w:type="dxa"/>
            </w:tcMar>
          </w:tcPr>
          <w:p>
            <w:pPr>
              <w:pStyle w:val="TableText"/>
              <w:keepLines w:val="0"/>
              <w:widowControl/>
            </w:pPr>
            <w:r>
              <w:rPr>
                <w:rFonts w:ascii="Liberation Serif" w:hAnsi="Liberation Serif"/>
                <w:sz w:val="14"/>
              </w:rPr>
              <w:t>Practical labs and teacher observation</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Show safety, technique, organization, product quality, cleanup, teamwork, and response to feedback.</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Retain; use shared criteria for consequential decisions.</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Culinary Pathway Skills Map</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Crosswalks YouScience Culinary III, ProStart Levels 1 and 2, CDOS, Employability Profile domains, equipment, product, safety, and production across the pathway.</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Use as the master alignment record; complete course, unit, and evidence ownership collaboratively.</w:t>
            </w:r>
          </w:p>
        </w:tc>
      </w:tr>
      <w:tr>
        <w:trPr>
          <w:cantSplit/>
          <w:cantSplit/>
        </w:trPr>
        <w:tc>
          <w:tcPr>
            <w:tcW w:type="dxa" w:w="2448"/>
            <w:vAlign w:val="top"/>
            <w:tcMar>
              <w:top w:w="65" w:type="dxa"/>
              <w:start w:w="80" w:type="dxa"/>
              <w:bottom w:w="65" w:type="dxa"/>
              <w:end w:w="80" w:type="dxa"/>
            </w:tcMar>
          </w:tcPr>
          <w:p>
            <w:pPr>
              <w:pStyle w:val="TableText"/>
              <w:keepLines w:val="0"/>
              <w:widowControl/>
            </w:pPr>
            <w:r>
              <w:rPr>
                <w:rFonts w:ascii="Liberation Serif" w:hAnsi="Liberation Serif"/>
                <w:sz w:val="14"/>
              </w:rPr>
              <w:t>ProStart curriculum</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Provides national restaurant and foodservice content across technical, service, management, and career domains.</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Retain as the instructional framework; do not treat coverage as mastery.</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YouScience Culinary III technical assessment</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Provides weighted written standards and required performance expectations for the pathway assessment.</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Retain; maintain explicit alignment to course evidence and the approved technical-assessment components.</w:t>
            </w:r>
          </w:p>
        </w:tc>
      </w:tr>
      <w:tr>
        <w:trPr>
          <w:cantSplit/>
          <w:cantSplit/>
        </w:trPr>
        <w:tc>
          <w:tcPr>
            <w:tcW w:type="dxa" w:w="2448"/>
            <w:vAlign w:val="top"/>
            <w:tcMar>
              <w:top w:w="65" w:type="dxa"/>
              <w:start w:w="80" w:type="dxa"/>
              <w:bottom w:w="65" w:type="dxa"/>
              <w:end w:w="80" w:type="dxa"/>
            </w:tcMar>
          </w:tcPr>
          <w:p>
            <w:pPr>
              <w:pStyle w:val="TableText"/>
              <w:keepLines w:val="0"/>
              <w:widowControl/>
            </w:pPr>
            <w:r>
              <w:rPr>
                <w:rFonts w:ascii="Liberation Serif" w:hAnsi="Liberation Serif"/>
                <w:sz w:val="14"/>
              </w:rPr>
              <w:t>ServSafe Management</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Provides industry-recognized food-safety credential evidence.</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Retain; review preparation, participation, results, retesting, accommodations, and access without reducing safety to one exam.</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GCSD Culinary Employability Profile</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Combines work-related skills, technical knowledge, WBL hours, technical assessment, diploma endorsement, credentials, and recognition.</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Retain as the longitudinal profile; clarify timing, evaluator roles, and record ownership.</w:t>
            </w:r>
          </w:p>
        </w:tc>
      </w:tr>
      <w:tr>
        <w:trPr>
          <w:cantSplit/>
          <w:cantSplit/>
        </w:trPr>
        <w:tc>
          <w:tcPr>
            <w:tcW w:type="dxa" w:w="2448"/>
            <w:vAlign w:val="top"/>
            <w:tcMar>
              <w:top w:w="65" w:type="dxa"/>
              <w:start w:w="80" w:type="dxa"/>
              <w:bottom w:w="65" w:type="dxa"/>
              <w:end w:w="80" w:type="dxa"/>
            </w:tcMar>
          </w:tcPr>
          <w:p>
            <w:pPr>
              <w:pStyle w:val="TableText"/>
              <w:keepLines w:val="0"/>
              <w:widowControl/>
            </w:pPr>
            <w:r>
              <w:rPr>
                <w:rFonts w:ascii="Liberation Serif" w:hAnsi="Liberation Serif"/>
                <w:sz w:val="14"/>
              </w:rPr>
              <w:t>School-based enterprise, catering, pop-ups, and events</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Provide authentic evidence of planning, production, service, teamwork, customer response, management, and reflection.</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Retain; identify intended individual evidence before the event.</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Career planning and MaiaLearning</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Document interests, plans, exploration, and transition decisions.</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Use for student goals and follow-up; avoid duplicating career-plan information.</w:t>
            </w:r>
          </w:p>
        </w:tc>
      </w:tr>
      <w:tr>
        <w:trPr>
          <w:cantSplit/>
          <w:cantSplit/>
        </w:trPr>
        <w:tc>
          <w:tcPr>
            <w:tcW w:type="dxa" w:w="2448"/>
            <w:vAlign w:val="top"/>
            <w:tcMar>
              <w:top w:w="65" w:type="dxa"/>
              <w:start w:w="80" w:type="dxa"/>
              <w:bottom w:w="65" w:type="dxa"/>
              <w:end w:w="80" w:type="dxa"/>
            </w:tcMar>
          </w:tcPr>
          <w:p>
            <w:pPr>
              <w:pStyle w:val="TableText"/>
              <w:keepLines w:val="0"/>
              <w:widowControl/>
            </w:pPr>
            <w:r>
              <w:rPr>
                <w:rFonts w:ascii="Liberation Serif" w:hAnsi="Liberation Serif"/>
                <w:sz w:val="14"/>
              </w:rPr>
              <w:t>Technical assessment and CTE endorsement / 4+1 recognition</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Support the approved pathway and formal student recognition.</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Record components and outcomes separately; analyze patterns to identify instructional strengths and gaps.</w:t>
            </w:r>
          </w:p>
        </w:tc>
      </w:tr>
      <w:tr>
        <w:trPr>
          <w:cantSplit/>
          <w:cantSplit/>
        </w:trPr>
        <w:tc>
          <w:tcPr>
            <w:tcW w:type="dxa" w:w="244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External WBL records</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Document goals, duties, hours, attendance, performance, feedback, visits, portfolio, and reflection.</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Develop through Book Three; reuse authoritative data instead of creating parallel records.</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Inventory Rule</w:t>
            </w:r>
          </w:p>
          <w:p>
            <w:pPr>
              <w:pStyle w:val="SmallText"/>
              <w:keepLines/>
              <w:widowControl/>
            </w:pPr>
            <w:r>
              <w:rPr>
                <w:rFonts w:ascii="Liberation Serif" w:hAnsi="Liberation Serif"/>
                <w:sz w:val="18"/>
              </w:rPr>
              <w:t>The pathway does not need another disconnected assessment series. It needs a clear crosswalk showing where standards are taught, where they are assessed, who verifies the evidence, and what decision the evidence can support.</w:t>
            </w:r>
          </w:p>
        </w:tc>
      </w:tr>
    </w:tbl>
    <w:p>
      <w:pPr>
        <w:spacing w:after="0"/>
      </w:pPr>
    </w:p>
    <w:p>
      <w:r>
        <w:br w:type="page"/>
      </w:r>
    </w:p>
    <w:p>
      <w:pPr>
        <w:pStyle w:val="PartLabel"/>
      </w:pPr>
      <w:r>
        <w:t>PART II</w:t>
      </w:r>
    </w:p>
    <w:p>
      <w:pPr>
        <w:pStyle w:val="PartTitle"/>
      </w:pPr>
      <w:r>
        <w:t>Student Competency and the Culinary Passport</w:t>
      </w:r>
    </w:p>
    <w:p>
      <w:pPr>
        <w:pStyle w:val="PartIntro"/>
      </w:pPr>
      <w:r>
        <w:t>Record verified mastery, distinguish Gateway status from course grades and external credentials, and preserve a clear route to reassessment and reverification.</w:t>
      </w:r>
    </w:p>
    <w:p>
      <w:pPr>
        <w:pStyle w:val="Heading2"/>
      </w:pPr>
      <w:r>
        <w:t>Chapter 7: The Culinary Passport and Authoritative Records</w:t>
      </w:r>
    </w:p>
    <w:p>
      <w:pPr/>
      <w:r>
        <w:rPr>
          <w:i w:val="0"/>
        </w:rPr>
        <w:t>The Culinary Passport is the student’s official competency and progression record. It shows which Gateway has been completed, the completion level, the evidence supporting the decision, and the next stage of responsibility. It does not replace course grades, the Employability Profile, credentials, the technical assessment, the External Work-Based Learning portfolio, or required district records.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232"/>
            <w:shd w:fill="1F4E79"/>
            <w:vAlign w:val="center"/>
            <w:tcMar>
              <w:top w:w="65" w:type="dxa"/>
              <w:start w:w="80" w:type="dxa"/>
              <w:bottom w:w="65" w:type="dxa"/>
              <w:end w:w="80" w:type="dxa"/>
            </w:tcMar>
          </w:tcPr>
          <w:p>
            <w:pPr>
              <w:pStyle w:val="TableHeader"/>
              <w:keepLines/>
              <w:widowControl/>
            </w:pPr>
            <w:r>
              <w:rPr>
                <w:rFonts w:ascii="Liberation Serif" w:hAnsi="Liberation Serif"/>
              </w:rPr>
              <w:t>Record</w:t>
            </w:r>
          </w:p>
        </w:tc>
        <w:tc>
          <w:tcPr>
            <w:tcW w:type="dxa" w:w="4176"/>
            <w:shd w:fill="1F4E79"/>
            <w:vAlign w:val="center"/>
            <w:tcMar>
              <w:top w:w="65" w:type="dxa"/>
              <w:start w:w="80" w:type="dxa"/>
              <w:bottom w:w="65" w:type="dxa"/>
              <w:end w:w="80" w:type="dxa"/>
            </w:tcMar>
          </w:tcPr>
          <w:p>
            <w:pPr>
              <w:pStyle w:val="TableHeader"/>
              <w:keepLines/>
              <w:widowControl/>
            </w:pPr>
            <w:r>
              <w:rPr>
                <w:rFonts w:ascii="Liberation Serif" w:hAnsi="Liberation Serif"/>
              </w:rPr>
              <w:t>Primary purpose</w:t>
            </w:r>
          </w:p>
        </w:tc>
        <w:tc>
          <w:tcPr>
            <w:tcW w:type="dxa" w:w="3384"/>
            <w:shd w:fill="1F4E79"/>
            <w:vAlign w:val="center"/>
            <w:tcMar>
              <w:top w:w="65" w:type="dxa"/>
              <w:start w:w="80" w:type="dxa"/>
              <w:bottom w:w="65" w:type="dxa"/>
              <w:end w:w="80" w:type="dxa"/>
            </w:tcMar>
          </w:tcPr>
          <w:p>
            <w:pPr>
              <w:pStyle w:val="TableHeader"/>
              <w:keepLines/>
              <w:widowControl/>
            </w:pPr>
            <w:r>
              <w:rPr>
                <w:rFonts w:ascii="Liberation Serif" w:hAnsi="Liberation Serif"/>
              </w:rPr>
              <w:t>Relationship to the Passport</w:t>
            </w:r>
          </w:p>
        </w:tc>
      </w:tr>
      <w:tr>
        <w:trPr>
          <w:cantSplit/>
          <w:cantSplit/>
        </w:trPr>
        <w:tc>
          <w:tcPr>
            <w:tcW w:type="dxa" w:w="223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Course gradebook</w:t>
            </w:r>
          </w:p>
        </w:tc>
        <w:tc>
          <w:tcPr>
            <w:tcW w:type="dxa" w:w="417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Reports achievement of approved course standards.</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Supplies course evidence; does not independently award a Gateway.</w:t>
            </w:r>
          </w:p>
        </w:tc>
      </w:tr>
      <w:tr>
        <w:trPr>
          <w:cantSplit/>
          <w:cantSplit/>
        </w:trPr>
        <w:tc>
          <w:tcPr>
            <w:tcW w:type="dxa" w:w="2232"/>
            <w:vAlign w:val="top"/>
            <w:tcMar>
              <w:top w:w="65" w:type="dxa"/>
              <w:start w:w="80" w:type="dxa"/>
              <w:bottom w:w="65" w:type="dxa"/>
              <w:end w:w="80" w:type="dxa"/>
            </w:tcMar>
          </w:tcPr>
          <w:p>
            <w:pPr>
              <w:pStyle w:val="TableText"/>
              <w:keepLines w:val="0"/>
              <w:widowControl/>
            </w:pPr>
            <w:r>
              <w:rPr>
                <w:rFonts w:ascii="Liberation Serif" w:hAnsi="Liberation Serif"/>
                <w:sz w:val="15"/>
              </w:rPr>
              <w:t>Culinary Employability Profile</w:t>
            </w:r>
          </w:p>
        </w:tc>
        <w:tc>
          <w:tcPr>
            <w:tcW w:type="dxa" w:w="4176"/>
            <w:vAlign w:val="top"/>
            <w:tcMar>
              <w:top w:w="65" w:type="dxa"/>
              <w:start w:w="80" w:type="dxa"/>
              <w:bottom w:w="65" w:type="dxa"/>
              <w:end w:w="80" w:type="dxa"/>
            </w:tcMar>
          </w:tcPr>
          <w:p>
            <w:pPr>
              <w:pStyle w:val="TableText"/>
              <w:keepLines w:val="0"/>
              <w:widowControl/>
            </w:pPr>
            <w:r>
              <w:rPr>
                <w:rFonts w:ascii="Liberation Serif" w:hAnsi="Liberation Serif"/>
                <w:sz w:val="15"/>
              </w:rPr>
              <w:t>Tracks observable technical and professional growth across time and settings.</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Supports coaching, readiness, and Gateway decisions.</w:t>
            </w:r>
          </w:p>
        </w:tc>
      </w:tr>
      <w:tr>
        <w:trPr>
          <w:cantSplit/>
          <w:cantSplit/>
        </w:trPr>
        <w:tc>
          <w:tcPr>
            <w:tcW w:type="dxa" w:w="223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Skills Map</w:t>
            </w:r>
          </w:p>
        </w:tc>
        <w:tc>
          <w:tcPr>
            <w:tcW w:type="dxa" w:w="417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Aligns course outcomes, YouScience, ProStart, CDOS, equipment, safety, product, production, and evidence.</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Identifies where competencies are taught and assessed.</w:t>
            </w:r>
          </w:p>
        </w:tc>
      </w:tr>
      <w:tr>
        <w:trPr>
          <w:cantSplit/>
          <w:cantSplit/>
        </w:trPr>
        <w:tc>
          <w:tcPr>
            <w:tcW w:type="dxa" w:w="2232"/>
            <w:vAlign w:val="top"/>
            <w:tcMar>
              <w:top w:w="65" w:type="dxa"/>
              <w:start w:w="80" w:type="dxa"/>
              <w:bottom w:w="65" w:type="dxa"/>
              <w:end w:w="80" w:type="dxa"/>
            </w:tcMar>
          </w:tcPr>
          <w:p>
            <w:pPr>
              <w:pStyle w:val="TableText"/>
              <w:keepLines w:val="0"/>
              <w:widowControl/>
            </w:pPr>
            <w:r>
              <w:rPr>
                <w:rFonts w:ascii="Liberation Serif" w:hAnsi="Liberation Serif"/>
                <w:sz w:val="15"/>
              </w:rPr>
              <w:t>Credential / technical-assessment record</w:t>
            </w:r>
          </w:p>
        </w:tc>
        <w:tc>
          <w:tcPr>
            <w:tcW w:type="dxa" w:w="4176"/>
            <w:vAlign w:val="top"/>
            <w:tcMar>
              <w:top w:w="65" w:type="dxa"/>
              <w:start w:w="80" w:type="dxa"/>
              <w:bottom w:w="65" w:type="dxa"/>
              <w:end w:w="80" w:type="dxa"/>
            </w:tcMar>
          </w:tcPr>
          <w:p>
            <w:pPr>
              <w:pStyle w:val="TableText"/>
              <w:keepLines w:val="0"/>
              <w:widowControl/>
            </w:pPr>
            <w:r>
              <w:rPr>
                <w:rFonts w:ascii="Liberation Serif" w:hAnsi="Liberation Serif"/>
                <w:sz w:val="15"/>
              </w:rPr>
              <w:t>Records external or common evidence tied to defined standards, including component status and outcome.</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Contributes relevant evidence; does not automatically award a Gateway.</w:t>
            </w:r>
          </w:p>
        </w:tc>
      </w:tr>
      <w:tr>
        <w:trPr>
          <w:cantSplit/>
          <w:cantSplit/>
        </w:trPr>
        <w:tc>
          <w:tcPr>
            <w:tcW w:type="dxa" w:w="223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Culinary Passport</w:t>
            </w:r>
          </w:p>
        </w:tc>
        <w:tc>
          <w:tcPr>
            <w:tcW w:type="dxa" w:w="417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Records Gateway status, completion level, verifier, date, and evidence location.</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Authoritative progression record.</w:t>
            </w:r>
          </w:p>
        </w:tc>
      </w:tr>
      <w:tr>
        <w:trPr>
          <w:cantSplit/>
          <w:cantSplit/>
        </w:trPr>
        <w:tc>
          <w:tcPr>
            <w:tcW w:type="dxa" w:w="2232"/>
            <w:vAlign w:val="top"/>
            <w:tcMar>
              <w:top w:w="65" w:type="dxa"/>
              <w:start w:w="80" w:type="dxa"/>
              <w:bottom w:w="65" w:type="dxa"/>
              <w:end w:w="80" w:type="dxa"/>
            </w:tcMar>
          </w:tcPr>
          <w:p>
            <w:pPr>
              <w:pStyle w:val="TableText"/>
              <w:keepLines w:val="0"/>
              <w:widowControl/>
            </w:pPr>
            <w:r>
              <w:rPr>
                <w:rFonts w:ascii="Liberation Serif" w:hAnsi="Liberation Serif"/>
                <w:sz w:val="15"/>
              </w:rPr>
              <w:t>External WBL record</w:t>
            </w:r>
          </w:p>
        </w:tc>
        <w:tc>
          <w:tcPr>
            <w:tcW w:type="dxa" w:w="4176"/>
            <w:vAlign w:val="top"/>
            <w:tcMar>
              <w:top w:w="65" w:type="dxa"/>
              <w:start w:w="80" w:type="dxa"/>
              <w:bottom w:w="65" w:type="dxa"/>
              <w:end w:w="80" w:type="dxa"/>
            </w:tcMar>
          </w:tcPr>
          <w:p>
            <w:pPr>
              <w:pStyle w:val="TableText"/>
              <w:keepLines w:val="0"/>
              <w:widowControl/>
            </w:pPr>
            <w:r>
              <w:rPr>
                <w:rFonts w:ascii="Liberation Serif" w:hAnsi="Liberation Serif"/>
                <w:sz w:val="15"/>
              </w:rPr>
              <w:t>Documents hours, goals, workplace performance, portfolio, evaluations, presentation, and course result.</w:t>
            </w:r>
          </w:p>
        </w:tc>
        <w:tc>
          <w:tcPr>
            <w:tcW w:type="dxa" w:w="3384"/>
            <w:vAlign w:val="top"/>
            <w:tcMar>
              <w:top w:w="65" w:type="dxa"/>
              <w:start w:w="80" w:type="dxa"/>
              <w:bottom w:w="65" w:type="dxa"/>
              <w:end w:w="80" w:type="dxa"/>
            </w:tcMar>
          </w:tcPr>
          <w:p>
            <w:pPr>
              <w:pStyle w:val="TableText"/>
              <w:keepLines w:val="0"/>
              <w:widowControl/>
            </w:pPr>
            <w:r>
              <w:rPr>
                <w:rFonts w:ascii="Liberation Serif" w:hAnsi="Liberation Serif"/>
                <w:sz w:val="15"/>
              </w:rPr>
              <w:t>Supplies required evidence for Gateway 6.</w:t>
            </w:r>
          </w:p>
        </w:tc>
      </w:tr>
      <w:tr>
        <w:trPr>
          <w:cantSplit/>
          <w:cantSplit/>
        </w:trPr>
        <w:tc>
          <w:tcPr>
            <w:tcW w:type="dxa" w:w="223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Pathway-recognition record</w:t>
            </w:r>
          </w:p>
        </w:tc>
        <w:tc>
          <w:tcPr>
            <w:tcW w:type="dxa" w:w="417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Documents current approved requirements for technical endorsement or 4+1 recognition.</w:t>
            </w:r>
          </w:p>
        </w:tc>
        <w:tc>
          <w:tcPr>
            <w:tcW w:type="dxa" w:w="338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Records formal recognition separately from Gateway status.</w:t>
            </w:r>
          </w:p>
        </w:tc>
      </w:tr>
    </w:tbl>
    <w:p>
      <w:pPr>
        <w:spacing w:after="0"/>
      </w:pPr>
    </w:p>
    <w:p>
      <w:pPr>
        <w:pStyle w:val="Heading3"/>
      </w:pPr>
      <w:r>
        <w:t>Minimum Passport Record</w:t>
      </w:r>
    </w:p>
    <w:p>
      <w:pPr>
        <w:pStyle w:val="ListBullet"/>
        <w:spacing w:after="30" w:line="240" w:lineRule="auto"/>
        <w:ind w:left="331" w:hanging="187"/>
      </w:pPr>
      <w:r>
        <w:rPr>
          <w:rFonts w:ascii="Liberation Serif" w:hAnsi="Liberation Serif"/>
          <w:sz w:val="18"/>
        </w:rPr>
        <w:t>Student name, district identifier, and expected graduation year.</w:t>
      </w:r>
    </w:p>
    <w:p>
      <w:pPr>
        <w:pStyle w:val="ListBullet"/>
        <w:spacing w:after="30" w:line="240" w:lineRule="auto"/>
        <w:ind w:left="331" w:hanging="187"/>
      </w:pPr>
      <w:r>
        <w:rPr>
          <w:rFonts w:ascii="Liberation Serif" w:hAnsi="Liberation Serif"/>
          <w:sz w:val="18"/>
        </w:rPr>
        <w:t>Gateway number and official Gateway title.</w:t>
      </w:r>
    </w:p>
    <w:p>
      <w:pPr>
        <w:pStyle w:val="ListBullet"/>
        <w:spacing w:after="30" w:line="240" w:lineRule="auto"/>
        <w:ind w:left="331" w:hanging="187"/>
      </w:pPr>
      <w:r>
        <w:rPr>
          <w:rFonts w:ascii="Liberation Serif" w:hAnsi="Liberation Serif"/>
          <w:sz w:val="18"/>
        </w:rPr>
        <w:t>Competency criteria used for the decision.</w:t>
      </w:r>
    </w:p>
    <w:p>
      <w:pPr>
        <w:pStyle w:val="ListBullet"/>
        <w:spacing w:after="30" w:line="240" w:lineRule="auto"/>
        <w:ind w:left="331" w:hanging="187"/>
      </w:pPr>
      <w:r>
        <w:rPr>
          <w:rFonts w:ascii="Liberation Serif" w:hAnsi="Liberation Serif"/>
          <w:sz w:val="18"/>
        </w:rPr>
        <w:t>Completion with Distinction, Completion, or Not Yet Completed.</w:t>
      </w:r>
    </w:p>
    <w:p>
      <w:pPr>
        <w:pStyle w:val="ListBullet"/>
        <w:spacing w:after="30" w:line="240" w:lineRule="auto"/>
        <w:ind w:left="331" w:hanging="187"/>
      </w:pPr>
      <w:r>
        <w:rPr>
          <w:rFonts w:ascii="Liberation Serif" w:hAnsi="Liberation Serif"/>
          <w:sz w:val="18"/>
        </w:rPr>
        <w:t>Decision date and verifier name and role.</w:t>
      </w:r>
    </w:p>
    <w:p>
      <w:pPr>
        <w:pStyle w:val="ListBullet"/>
        <w:spacing w:after="30" w:line="240" w:lineRule="auto"/>
        <w:ind w:left="331" w:hanging="187"/>
      </w:pPr>
      <w:r>
        <w:rPr>
          <w:rFonts w:ascii="Liberation Serif" w:hAnsi="Liberation Serif"/>
          <w:sz w:val="18"/>
        </w:rPr>
        <w:t>Evidence locator identifying the approved record supporting the decision.</w:t>
      </w:r>
    </w:p>
    <w:p>
      <w:pPr>
        <w:pStyle w:val="ListBullet"/>
        <w:spacing w:after="30" w:line="240" w:lineRule="auto"/>
        <w:ind w:left="331" w:hanging="187"/>
      </w:pPr>
      <w:r>
        <w:rPr>
          <w:rFonts w:ascii="Liberation Serif" w:hAnsi="Liberation Serif"/>
          <w:sz w:val="18"/>
        </w:rPr>
        <w:t>Feedback and next step when the result is Not Yet Completed.</w:t>
      </w:r>
    </w:p>
    <w:p>
      <w:pPr>
        <w:pStyle w:val="ListBullet"/>
        <w:spacing w:after="30" w:line="240" w:lineRule="auto"/>
        <w:ind w:left="331" w:hanging="187"/>
      </w:pPr>
      <w:r>
        <w:rPr>
          <w:rFonts w:ascii="Liberation Serif" w:hAnsi="Liberation Serif"/>
          <w:sz w:val="18"/>
        </w:rPr>
        <w:t>Reassessment or reverification notation when applicable.</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Passport Rule</w:t>
            </w:r>
          </w:p>
          <w:p>
            <w:pPr>
              <w:pStyle w:val="SmallText"/>
              <w:keepLines/>
              <w:widowControl/>
            </w:pPr>
            <w:r>
              <w:rPr>
                <w:rFonts w:ascii="Liberation Serif" w:hAnsi="Liberation Serif"/>
                <w:sz w:val="18"/>
              </w:rPr>
              <w:t>The Passport records verified competency. It is not awarded for attendance, seat time, participation alone, completion of paperwork, curriculum exposure, possession of a credential, or completion of an assessment without demonstrated learning.</w:t>
            </w:r>
          </w:p>
        </w:tc>
      </w:tr>
    </w:tbl>
    <w:p>
      <w:pPr>
        <w:spacing w:after="0"/>
      </w:pPr>
    </w:p>
    <w:p>
      <w:pPr>
        <w:pStyle w:val="Heading2"/>
      </w:pPr>
      <w:r>
        <w:t>Chapter 8: Gateway Evidence and Progression</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033"/>
        <w:gridCol w:w="2033"/>
        <w:gridCol w:w="2033"/>
        <w:gridCol w:w="2033"/>
        <w:gridCol w:w="2033"/>
      </w:tblGrid>
      <w:tr>
        <w:trPr>
          <w:tblHeader w:val="true"/>
          <w:cantSplit/>
          <w:cantSplit/>
        </w:trPr>
        <w:tc>
          <w:tcPr>
            <w:tcW w:type="dxa" w:w="648"/>
            <w:shd w:fill="1F4E79"/>
            <w:vAlign w:val="center"/>
            <w:tcMar>
              <w:top w:w="65" w:type="dxa"/>
              <w:start w:w="80" w:type="dxa"/>
              <w:bottom w:w="65" w:type="dxa"/>
              <w:end w:w="80" w:type="dxa"/>
            </w:tcMar>
          </w:tcPr>
          <w:p>
            <w:pPr>
              <w:pStyle w:val="TableHeader"/>
              <w:keepLines/>
              <w:widowControl/>
            </w:pPr>
            <w:r>
              <w:rPr>
                <w:rFonts w:ascii="Liberation Serif" w:hAnsi="Liberation Serif"/>
              </w:rPr>
              <w:t>Gateway</w:t>
            </w:r>
          </w:p>
        </w:tc>
        <w:tc>
          <w:tcPr>
            <w:tcW w:type="dxa" w:w="1944"/>
            <w:shd w:fill="1F4E79"/>
            <w:vAlign w:val="center"/>
            <w:tcMar>
              <w:top w:w="65" w:type="dxa"/>
              <w:start w:w="80" w:type="dxa"/>
              <w:bottom w:w="65" w:type="dxa"/>
              <w:end w:w="80" w:type="dxa"/>
            </w:tcMar>
          </w:tcPr>
          <w:p>
            <w:pPr>
              <w:pStyle w:val="TableHeader"/>
              <w:keepLines/>
              <w:widowControl/>
            </w:pPr>
            <w:r>
              <w:rPr>
                <w:rFonts w:ascii="Liberation Serif" w:hAnsi="Liberation Serif"/>
              </w:rPr>
              <w:t>Official meaning</w:t>
            </w:r>
          </w:p>
        </w:tc>
        <w:tc>
          <w:tcPr>
            <w:tcW w:type="dxa" w:w="2951"/>
            <w:shd w:fill="1F4E79"/>
            <w:vAlign w:val="center"/>
            <w:tcMar>
              <w:top w:w="65" w:type="dxa"/>
              <w:start w:w="80" w:type="dxa"/>
              <w:bottom w:w="65" w:type="dxa"/>
              <w:end w:w="80" w:type="dxa"/>
            </w:tcMar>
          </w:tcPr>
          <w:p>
            <w:pPr>
              <w:pStyle w:val="TableHeader"/>
              <w:keepLines/>
              <w:widowControl/>
            </w:pPr>
            <w:r>
              <w:rPr>
                <w:rFonts w:ascii="Liberation Serif" w:hAnsi="Liberation Serif"/>
              </w:rPr>
              <w:t>Evidence focus</w:t>
            </w:r>
          </w:p>
        </w:tc>
        <w:tc>
          <w:tcPr>
            <w:tcW w:type="dxa" w:w="2808"/>
            <w:shd w:fill="1F4E79"/>
            <w:vAlign w:val="center"/>
            <w:tcMar>
              <w:top w:w="65" w:type="dxa"/>
              <w:start w:w="80" w:type="dxa"/>
              <w:bottom w:w="65" w:type="dxa"/>
              <w:end w:w="80" w:type="dxa"/>
            </w:tcMar>
          </w:tcPr>
          <w:p>
            <w:pPr>
              <w:pStyle w:val="TableHeader"/>
              <w:keepLines/>
              <w:widowControl/>
            </w:pPr>
            <w:r>
              <w:rPr>
                <w:rFonts w:ascii="Liberation Serif" w:hAnsi="Liberation Serif"/>
              </w:rPr>
              <w:t>Primary anchors</w:t>
            </w:r>
          </w:p>
        </w:tc>
        <w:tc>
          <w:tcPr>
            <w:tcW w:type="dxa" w:w="1584"/>
            <w:shd w:fill="1F4E79"/>
            <w:vAlign w:val="center"/>
            <w:tcMar>
              <w:top w:w="65" w:type="dxa"/>
              <w:start w:w="80" w:type="dxa"/>
              <w:bottom w:w="65" w:type="dxa"/>
              <w:end w:w="80" w:type="dxa"/>
            </w:tcMar>
          </w:tcPr>
          <w:p>
            <w:pPr>
              <w:pStyle w:val="TableHeader"/>
              <w:keepLines/>
              <w:widowControl/>
            </w:pPr>
            <w:r>
              <w:rPr>
                <w:rFonts w:ascii="Liberation Serif" w:hAnsi="Liberation Serif"/>
              </w:rPr>
              <w:t>Progression result</w:t>
            </w:r>
          </w:p>
        </w:tc>
      </w:tr>
      <w:tr>
        <w:trPr>
          <w:cantSplit/>
          <w:cantSplit/>
        </w:trPr>
        <w:tc>
          <w:tcPr>
            <w:tcW w:type="dxa" w:w="64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1</w:t>
            </w:r>
          </w:p>
        </w:tc>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Cleared for Supervised Kitchen Participation</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Safety, sanitation, food safety, hygiene, emergency procedures, basic equipment safety, and professional expectations.</w:t>
            </w:r>
          </w:p>
        </w:tc>
        <w:tc>
          <w:tcPr>
            <w:tcW w:type="dxa" w:w="280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YouScience service equipment and sanitation; ProStart food and workplace safety; CDOS safety and professional conduct.</w:t>
            </w:r>
          </w:p>
        </w:tc>
        <w:tc>
          <w:tcPr>
            <w:tcW w:type="dxa" w:w="158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May participate in supervised kitchen instruction under established controls.</w:t>
            </w:r>
          </w:p>
        </w:tc>
      </w:tr>
      <w:tr>
        <w:trPr>
          <w:cantSplit/>
          <w:cantSplit/>
        </w:trPr>
        <w:tc>
          <w:tcPr>
            <w:tcW w:type="dxa" w:w="648"/>
            <w:vAlign w:val="top"/>
            <w:tcMar>
              <w:top w:w="65" w:type="dxa"/>
              <w:start w:w="80" w:type="dxa"/>
              <w:bottom w:w="65" w:type="dxa"/>
              <w:end w:w="80" w:type="dxa"/>
            </w:tcMar>
          </w:tcPr>
          <w:p>
            <w:pPr>
              <w:pStyle w:val="TableText"/>
              <w:keepLines w:val="0"/>
              <w:widowControl/>
            </w:pPr>
            <w:r>
              <w:rPr>
                <w:rFonts w:ascii="Liberation Serif" w:hAnsi="Liberation Serif"/>
                <w:sz w:val="13"/>
              </w:rPr>
              <w:t>2</w:t>
            </w:r>
          </w:p>
        </w:tc>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3"/>
              </w:rPr>
              <w:t>Demonstrated Kitchen-Work Readiness</w:t>
            </w:r>
          </w:p>
        </w:tc>
        <w:tc>
          <w:tcPr>
            <w:tcW w:type="dxa" w:w="2951"/>
            <w:vAlign w:val="top"/>
            <w:tcMar>
              <w:top w:w="65" w:type="dxa"/>
              <w:start w:w="80" w:type="dxa"/>
              <w:bottom w:w="65" w:type="dxa"/>
              <w:end w:w="80" w:type="dxa"/>
            </w:tcMar>
          </w:tcPr>
          <w:p>
            <w:pPr>
              <w:pStyle w:val="TableText"/>
              <w:keepLines w:val="0"/>
              <w:widowControl/>
            </w:pPr>
            <w:r>
              <w:rPr>
                <w:rFonts w:ascii="Liberation Serif" w:hAnsi="Liberation Serif"/>
                <w:sz w:val="13"/>
              </w:rPr>
              <w:t>Mise en place, station organization, recipe interpretation, measuring and scaling, knife skills, time, communication, kitchen systems, cleanup, and closing.</w:t>
            </w:r>
          </w:p>
        </w:tc>
        <w:tc>
          <w:tcPr>
            <w:tcW w:type="dxa" w:w="2808"/>
            <w:vAlign w:val="top"/>
            <w:tcMar>
              <w:top w:w="65" w:type="dxa"/>
              <w:start w:w="80" w:type="dxa"/>
              <w:bottom w:w="65" w:type="dxa"/>
              <w:end w:w="80" w:type="dxa"/>
            </w:tcMar>
          </w:tcPr>
          <w:p>
            <w:pPr>
              <w:pStyle w:val="TableText"/>
              <w:keepLines w:val="0"/>
              <w:widowControl/>
            </w:pPr>
            <w:r>
              <w:rPr>
                <w:rFonts w:ascii="Liberation Serif" w:hAnsi="Liberation Serif"/>
                <w:sz w:val="13"/>
              </w:rPr>
              <w:t>YouScience equipment and math; ProStart Kitchen Essentials and communication; CDOS work habits.</w:t>
            </w:r>
          </w:p>
        </w:tc>
        <w:tc>
          <w:tcPr>
            <w:tcW w:type="dxa" w:w="1584"/>
            <w:vAlign w:val="top"/>
            <w:tcMar>
              <w:top w:w="65" w:type="dxa"/>
              <w:start w:w="80" w:type="dxa"/>
              <w:bottom w:w="65" w:type="dxa"/>
              <w:end w:w="80" w:type="dxa"/>
            </w:tcMar>
          </w:tcPr>
          <w:p>
            <w:pPr>
              <w:pStyle w:val="TableText"/>
              <w:keepLines w:val="0"/>
              <w:widowControl/>
            </w:pPr>
            <w:r>
              <w:rPr>
                <w:rFonts w:ascii="Liberation Serif" w:hAnsi="Liberation Serif"/>
                <w:sz w:val="13"/>
              </w:rPr>
              <w:t>Ready for sustained kitchen work and integrated lab responsibility.</w:t>
            </w:r>
          </w:p>
        </w:tc>
      </w:tr>
      <w:tr>
        <w:trPr>
          <w:cantSplit/>
          <w:cantSplit/>
        </w:trPr>
        <w:tc>
          <w:tcPr>
            <w:tcW w:type="dxa" w:w="64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3</w:t>
            </w:r>
          </w:p>
        </w:tc>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Demonstrated Foundational Culinary Competence</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Culinary techniques, ingredient knowledge, product quality, and consistent instructional performance across Culinary 1 and 2.</w:t>
            </w:r>
          </w:p>
        </w:tc>
        <w:tc>
          <w:tcPr>
            <w:tcW w:type="dxa" w:w="280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Foundational YouScience domains; ProStart Level 1 and selected Level 2 production; course outcomes.</w:t>
            </w:r>
          </w:p>
        </w:tc>
        <w:tc>
          <w:tcPr>
            <w:tcW w:type="dxa" w:w="158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Ready to enter Advanced Culinary.</w:t>
            </w:r>
          </w:p>
        </w:tc>
      </w:tr>
      <w:tr>
        <w:trPr>
          <w:cantSplit/>
          <w:cantSplit/>
        </w:trPr>
        <w:tc>
          <w:tcPr>
            <w:tcW w:type="dxa" w:w="648"/>
            <w:vAlign w:val="top"/>
            <w:tcMar>
              <w:top w:w="65" w:type="dxa"/>
              <w:start w:w="80" w:type="dxa"/>
              <w:bottom w:w="65" w:type="dxa"/>
              <w:end w:w="80" w:type="dxa"/>
            </w:tcMar>
          </w:tcPr>
          <w:p>
            <w:pPr>
              <w:pStyle w:val="TableText"/>
              <w:keepLines w:val="0"/>
              <w:widowControl/>
            </w:pPr>
            <w:r>
              <w:rPr>
                <w:rFonts w:ascii="Liberation Serif" w:hAnsi="Liberation Serif"/>
                <w:sz w:val="13"/>
              </w:rPr>
              <w:t>4</w:t>
            </w:r>
          </w:p>
        </w:tc>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3"/>
              </w:rPr>
              <w:t>Demonstrated Client-Centered Culinary Performance</w:t>
            </w:r>
          </w:p>
        </w:tc>
        <w:tc>
          <w:tcPr>
            <w:tcW w:type="dxa" w:w="2951"/>
            <w:vAlign w:val="top"/>
            <w:tcMar>
              <w:top w:w="65" w:type="dxa"/>
              <w:start w:w="80" w:type="dxa"/>
              <w:bottom w:w="65" w:type="dxa"/>
              <w:end w:w="80" w:type="dxa"/>
            </w:tcMar>
          </w:tcPr>
          <w:p>
            <w:pPr>
              <w:pStyle w:val="TableText"/>
              <w:keepLines w:val="0"/>
              <w:widowControl/>
            </w:pPr>
            <w:r>
              <w:rPr>
                <w:rFonts w:ascii="Liberation Serif" w:hAnsi="Liberation Serif"/>
                <w:sz w:val="13"/>
              </w:rPr>
              <w:t>Authentic production, catering, client expectations, event execution, quality control, and professional service through Advanced Culinary and The Cottage.</w:t>
            </w:r>
          </w:p>
        </w:tc>
        <w:tc>
          <w:tcPr>
            <w:tcW w:type="dxa" w:w="2808"/>
            <w:vAlign w:val="top"/>
            <w:tcMar>
              <w:top w:w="65" w:type="dxa"/>
              <w:start w:w="80" w:type="dxa"/>
              <w:bottom w:w="65" w:type="dxa"/>
              <w:end w:w="80" w:type="dxa"/>
            </w:tcMar>
          </w:tcPr>
          <w:p>
            <w:pPr>
              <w:pStyle w:val="TableText"/>
              <w:keepLines w:val="0"/>
              <w:widowControl/>
            </w:pPr>
            <w:r>
              <w:rPr>
                <w:rFonts w:ascii="Liberation Serif" w:hAnsi="Liberation Serif"/>
                <w:sz w:val="13"/>
              </w:rPr>
              <w:t>ProStart service, management, costing, purchasing, marketing, and production; YouScience performance standards; CDOS.</w:t>
            </w:r>
          </w:p>
        </w:tc>
        <w:tc>
          <w:tcPr>
            <w:tcW w:type="dxa" w:w="1584"/>
            <w:vAlign w:val="top"/>
            <w:tcMar>
              <w:top w:w="65" w:type="dxa"/>
              <w:start w:w="80" w:type="dxa"/>
              <w:bottom w:w="65" w:type="dxa"/>
              <w:end w:w="80" w:type="dxa"/>
            </w:tcMar>
          </w:tcPr>
          <w:p>
            <w:pPr>
              <w:pStyle w:val="TableText"/>
              <w:keepLines w:val="0"/>
              <w:widowControl/>
            </w:pPr>
            <w:r>
              <w:rPr>
                <w:rFonts w:ascii="Liberation Serif" w:hAnsi="Liberation Serif"/>
                <w:sz w:val="13"/>
              </w:rPr>
              <w:t>Demonstrates professional performance for real clients under school supervision.</w:t>
            </w:r>
          </w:p>
        </w:tc>
      </w:tr>
      <w:tr>
        <w:trPr>
          <w:cantSplit/>
          <w:cantSplit/>
        </w:trPr>
        <w:tc>
          <w:tcPr>
            <w:tcW w:type="dxa" w:w="64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5</w:t>
            </w:r>
          </w:p>
        </w:tc>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Professional, Leadership, and Career Readiness</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Leadership, kitchen management, supervision, employment preparation, resume, portfolio preparation, interview skills, technical-assessment completion, and career readiness.</w:t>
            </w:r>
          </w:p>
        </w:tc>
        <w:tc>
          <w:tcPr>
            <w:tcW w:type="dxa" w:w="280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CDOS; ProStart management and career development; YouScience Culinary III; Employability Profile.</w:t>
            </w:r>
          </w:p>
        </w:tc>
        <w:tc>
          <w:tcPr>
            <w:tcW w:type="dxa" w:w="158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Earns External WBL Educational Readiness; student-facing term: Travel Rights.</w:t>
            </w:r>
          </w:p>
        </w:tc>
      </w:tr>
      <w:tr>
        <w:trPr>
          <w:cantSplit/>
          <w:cantSplit/>
        </w:trPr>
        <w:tc>
          <w:tcPr>
            <w:tcW w:type="dxa" w:w="648"/>
            <w:vAlign w:val="top"/>
            <w:tcMar>
              <w:top w:w="65" w:type="dxa"/>
              <w:start w:w="80" w:type="dxa"/>
              <w:bottom w:w="65" w:type="dxa"/>
              <w:end w:w="80" w:type="dxa"/>
            </w:tcMar>
          </w:tcPr>
          <w:p>
            <w:pPr>
              <w:pStyle w:val="TableText"/>
              <w:keepLines w:val="0"/>
              <w:widowControl/>
            </w:pPr>
            <w:r>
              <w:rPr>
                <w:rFonts w:ascii="Liberation Serif" w:hAnsi="Liberation Serif"/>
                <w:sz w:val="13"/>
              </w:rPr>
              <w:t>6</w:t>
            </w:r>
          </w:p>
        </w:tc>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3"/>
              </w:rPr>
              <w:t>Completed Authentic Workplace Learning</w:t>
            </w:r>
          </w:p>
        </w:tc>
        <w:tc>
          <w:tcPr>
            <w:tcW w:type="dxa" w:w="2951"/>
            <w:vAlign w:val="top"/>
            <w:tcMar>
              <w:top w:w="65" w:type="dxa"/>
              <w:start w:w="80" w:type="dxa"/>
              <w:bottom w:w="65" w:type="dxa"/>
              <w:end w:w="80" w:type="dxa"/>
            </w:tcMar>
          </w:tcPr>
          <w:p>
            <w:pPr>
              <w:pStyle w:val="TableText"/>
              <w:keepLines w:val="0"/>
              <w:widowControl/>
            </w:pPr>
            <w:r>
              <w:rPr>
                <w:rFonts w:ascii="Liberation Serif" w:hAnsi="Liberation Serif"/>
                <w:sz w:val="13"/>
              </w:rPr>
              <w:t>300 verified workplace hours, completed portfolio, employer evaluation, coordinator evaluation, final presentation, reflection, and successful workplace transfer.</w:t>
            </w:r>
          </w:p>
        </w:tc>
        <w:tc>
          <w:tcPr>
            <w:tcW w:type="dxa" w:w="2808"/>
            <w:vAlign w:val="top"/>
            <w:tcMar>
              <w:top w:w="65" w:type="dxa"/>
              <w:start w:w="80" w:type="dxa"/>
              <w:bottom w:w="65" w:type="dxa"/>
              <w:end w:w="80" w:type="dxa"/>
            </w:tcMar>
          </w:tcPr>
          <w:p>
            <w:pPr>
              <w:pStyle w:val="TableText"/>
              <w:keepLines w:val="0"/>
              <w:widowControl/>
            </w:pPr>
            <w:r>
              <w:rPr>
                <w:rFonts w:ascii="Liberation Serif" w:hAnsi="Liberation Serif"/>
                <w:sz w:val="13"/>
              </w:rPr>
              <w:t>CDOS workplace application; Employability Profile; individual workplace goals; employer and coordinator evidence.</w:t>
            </w:r>
          </w:p>
        </w:tc>
        <w:tc>
          <w:tcPr>
            <w:tcW w:type="dxa" w:w="1584"/>
            <w:vAlign w:val="top"/>
            <w:tcMar>
              <w:top w:w="65" w:type="dxa"/>
              <w:start w:w="80" w:type="dxa"/>
              <w:bottom w:w="65" w:type="dxa"/>
              <w:end w:w="80" w:type="dxa"/>
            </w:tcMar>
          </w:tcPr>
          <w:p>
            <w:pPr>
              <w:pStyle w:val="TableText"/>
              <w:keepLines w:val="0"/>
              <w:widowControl/>
            </w:pPr>
            <w:r>
              <w:rPr>
                <w:rFonts w:ascii="Liberation Serif" w:hAnsi="Liberation Serif"/>
                <w:sz w:val="13"/>
              </w:rPr>
              <w:t>Completes the Culinary Pathway.</w:t>
            </w:r>
          </w:p>
        </w:tc>
      </w:tr>
    </w:tbl>
    <w:p>
      <w:pPr>
        <w:spacing w:after="0"/>
      </w:pPr>
    </w:p>
    <w:p>
      <w:pPr/>
      <w:r>
        <w:rPr>
          <w:i w:val="0"/>
        </w:rPr>
        <w:t>A Gateway decision may draw from more than one task, unit, course, or authentic experience. The authorized teacher verifies Gateways 1 through 5. The credentialed Work-Based Learning Coordinator determines the final External Work-Based Learning evaluation and Gateway 6 decision.</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Travel Rights Are Earned</w:t>
            </w:r>
          </w:p>
          <w:p>
            <w:pPr>
              <w:pStyle w:val="SmallText"/>
              <w:keepLines/>
              <w:widowControl/>
            </w:pPr>
            <w:r>
              <w:rPr>
                <w:rFonts w:ascii="Liberation Serif" w:hAnsi="Liberation Serif"/>
                <w:sz w:val="18"/>
              </w:rPr>
              <w:t>Gateway 5 confirms educational readiness for External Work-Based Learning. It does not guarantee a specific employer, schedule, transportation arrangement, support plan, or placement. Technical-assessment and credential status are reviewed at the same stage but remain separate decisions.</w:t>
            </w:r>
          </w:p>
        </w:tc>
      </w:tr>
    </w:tbl>
    <w:p>
      <w:pPr>
        <w:spacing w:after="0"/>
      </w:pPr>
    </w:p>
    <w:p>
      <w:pPr>
        <w:pStyle w:val="Heading2"/>
      </w:pPr>
      <w:r>
        <w:t>Chapter 9: Completion, Reassessment, and Reverification</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232"/>
            <w:shd w:fill="1F4E79"/>
            <w:vAlign w:val="center"/>
            <w:tcMar>
              <w:top w:w="65" w:type="dxa"/>
              <w:start w:w="80" w:type="dxa"/>
              <w:bottom w:w="65" w:type="dxa"/>
              <w:end w:w="80" w:type="dxa"/>
            </w:tcMar>
          </w:tcPr>
          <w:p>
            <w:pPr>
              <w:pStyle w:val="TableHeader"/>
              <w:keepLines/>
              <w:widowControl/>
            </w:pPr>
            <w:r>
              <w:rPr>
                <w:rFonts w:ascii="Liberation Serif" w:hAnsi="Liberation Serif"/>
              </w:rPr>
              <w:t>Gateway completion level</w:t>
            </w:r>
          </w:p>
        </w:tc>
        <w:tc>
          <w:tcPr>
            <w:tcW w:type="dxa" w:w="4320"/>
            <w:shd w:fill="1F4E79"/>
            <w:vAlign w:val="center"/>
            <w:tcMar>
              <w:top w:w="65" w:type="dxa"/>
              <w:start w:w="80" w:type="dxa"/>
              <w:bottom w:w="65" w:type="dxa"/>
              <w:end w:w="80" w:type="dxa"/>
            </w:tcMar>
          </w:tcPr>
          <w:p>
            <w:pPr>
              <w:pStyle w:val="TableHeader"/>
              <w:keepLines/>
              <w:widowControl/>
            </w:pPr>
            <w:r>
              <w:rPr>
                <w:rFonts w:ascii="Liberation Serif" w:hAnsi="Liberation Serif"/>
              </w:rPr>
              <w:t>Meaning</w:t>
            </w:r>
          </w:p>
        </w:tc>
        <w:tc>
          <w:tcPr>
            <w:tcW w:type="dxa" w:w="3240"/>
            <w:shd w:fill="1F4E79"/>
            <w:vAlign w:val="center"/>
            <w:tcMar>
              <w:top w:w="65" w:type="dxa"/>
              <w:start w:w="80" w:type="dxa"/>
              <w:bottom w:w="65" w:type="dxa"/>
              <w:end w:w="80" w:type="dxa"/>
            </w:tcMar>
          </w:tcPr>
          <w:p>
            <w:pPr>
              <w:pStyle w:val="TableHeader"/>
              <w:keepLines/>
              <w:widowControl/>
            </w:pPr>
            <w:r>
              <w:rPr>
                <w:rFonts w:ascii="Liberation Serif" w:hAnsi="Liberation Serif"/>
              </w:rPr>
              <w:t>Required response</w:t>
            </w:r>
          </w:p>
        </w:tc>
      </w:tr>
      <w:tr>
        <w:trPr>
          <w:cantSplit/>
          <w:cantSplit/>
        </w:trPr>
        <w:tc>
          <w:tcPr>
            <w:tcW w:type="dxa" w:w="223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Completion with Distinction</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The body of evidence consistently exceeds pathway expectations, with no critical standard below Completion.</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Record the completed Gateway and preserve evidence supporting the distinction.</w:t>
            </w:r>
          </w:p>
        </w:tc>
      </w:tr>
      <w:tr>
        <w:trPr>
          <w:cantSplit/>
          <w:cantSplit/>
        </w:trPr>
        <w:tc>
          <w:tcPr>
            <w:tcW w:type="dxa" w:w="2232"/>
            <w:vAlign w:val="top"/>
            <w:tcMar>
              <w:top w:w="65" w:type="dxa"/>
              <w:start w:w="80" w:type="dxa"/>
              <w:bottom w:w="65" w:type="dxa"/>
              <w:end w:w="80" w:type="dxa"/>
            </w:tcMar>
          </w:tcPr>
          <w:p>
            <w:pPr>
              <w:pStyle w:val="TableText"/>
              <w:keepLines w:val="0"/>
              <w:widowControl/>
            </w:pPr>
            <w:r>
              <w:rPr>
                <w:rFonts w:ascii="Liberation Serif" w:hAnsi="Liberation Serif"/>
                <w:sz w:val="16"/>
              </w:rPr>
              <w:t>Completion</w:t>
            </w:r>
          </w:p>
        </w:tc>
        <w:tc>
          <w:tcPr>
            <w:tcW w:type="dxa" w:w="4320"/>
            <w:vAlign w:val="top"/>
            <w:tcMar>
              <w:top w:w="65" w:type="dxa"/>
              <w:start w:w="80" w:type="dxa"/>
              <w:bottom w:w="65" w:type="dxa"/>
              <w:end w:w="80" w:type="dxa"/>
            </w:tcMar>
          </w:tcPr>
          <w:p>
            <w:pPr>
              <w:pStyle w:val="TableText"/>
              <w:keepLines w:val="0"/>
              <w:widowControl/>
            </w:pPr>
            <w:r>
              <w:rPr>
                <w:rFonts w:ascii="Liberation Serif" w:hAnsi="Liberation Serif"/>
                <w:sz w:val="16"/>
              </w:rPr>
              <w:t>The body of evidence meets pathway expectations, including every critical standard.</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6"/>
              </w:rPr>
              <w:t>Record the completed Gateway and identify the next stage or transition.</w:t>
            </w:r>
          </w:p>
        </w:tc>
      </w:tr>
      <w:tr>
        <w:trPr>
          <w:cantSplit/>
          <w:cantSplit/>
        </w:trPr>
        <w:tc>
          <w:tcPr>
            <w:tcW w:type="dxa" w:w="223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Not Yet Completed</w:t>
            </w:r>
          </w:p>
        </w:tc>
        <w:tc>
          <w:tcPr>
            <w:tcW w:type="dxa" w:w="432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The required competency has not yet been demonstrated or essential evidence is incomplete.</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Identify the unmet criterion, provide instruction and practice, and establish an appropriate reassessment path.</w:t>
            </w:r>
          </w:p>
        </w:tc>
      </w:tr>
    </w:tbl>
    <w:p>
      <w:pPr>
        <w:spacing w:after="0"/>
      </w:pPr>
    </w:p>
    <w:p>
      <w:pPr>
        <w:pStyle w:val="Heading3"/>
      </w:pPr>
      <w:r>
        <w:t>Reassessment</w:t>
      </w:r>
    </w:p>
    <w:p>
      <w:pPr>
        <w:pStyle w:val="ListNumber"/>
        <w:spacing w:after="40" w:line="240" w:lineRule="auto"/>
        <w:ind w:left="403" w:hanging="245"/>
      </w:pPr>
      <w:r>
        <w:rPr>
          <w:rFonts w:ascii="Liberation Serif" w:hAnsi="Liberation Serif"/>
          <w:sz w:val="18"/>
        </w:rPr>
        <w:t>State the specific criterion that has not yet been demonstrated.</w:t>
      </w:r>
    </w:p>
    <w:p>
      <w:pPr>
        <w:pStyle w:val="ListNumber"/>
        <w:spacing w:after="40" w:line="240" w:lineRule="auto"/>
        <w:ind w:left="403" w:hanging="245"/>
      </w:pPr>
      <w:r>
        <w:rPr>
          <w:rFonts w:ascii="Liberation Serif" w:hAnsi="Liberation Serif"/>
          <w:sz w:val="18"/>
        </w:rPr>
        <w:t>Provide feedback and require reflection on the gap.</w:t>
      </w:r>
    </w:p>
    <w:p>
      <w:pPr>
        <w:pStyle w:val="ListNumber"/>
        <w:spacing w:after="40" w:line="240" w:lineRule="auto"/>
        <w:ind w:left="403" w:hanging="245"/>
      </w:pPr>
      <w:r>
        <w:rPr>
          <w:rFonts w:ascii="Liberation Serif" w:hAnsi="Liberation Serif"/>
          <w:sz w:val="18"/>
        </w:rPr>
        <w:t>Provide additional instruction, modeling, guided practice, remediation, or support.</w:t>
      </w:r>
    </w:p>
    <w:p>
      <w:pPr>
        <w:pStyle w:val="ListNumber"/>
        <w:spacing w:after="40" w:line="240" w:lineRule="auto"/>
        <w:ind w:left="403" w:hanging="245"/>
      </w:pPr>
      <w:r>
        <w:rPr>
          <w:rFonts w:ascii="Liberation Serif" w:hAnsi="Liberation Serif"/>
          <w:sz w:val="18"/>
        </w:rPr>
        <w:t>Allow enough time for learning to occur; immediate retesting is not permitted.</w:t>
      </w:r>
    </w:p>
    <w:p>
      <w:pPr>
        <w:pStyle w:val="ListNumber"/>
        <w:spacing w:after="40" w:line="240" w:lineRule="auto"/>
        <w:ind w:left="403" w:hanging="245"/>
      </w:pPr>
      <w:r>
        <w:rPr>
          <w:rFonts w:ascii="Liberation Serif" w:hAnsi="Liberation Serif"/>
          <w:sz w:val="18"/>
        </w:rPr>
        <w:t>Use an equivalent assessment that measures the same competency through a fresh but comparable task.</w:t>
      </w:r>
    </w:p>
    <w:p>
      <w:pPr>
        <w:pStyle w:val="ListNumber"/>
        <w:spacing w:after="40" w:line="240" w:lineRule="auto"/>
        <w:ind w:left="403" w:hanging="245"/>
      </w:pPr>
      <w:r>
        <w:rPr>
          <w:rFonts w:ascii="Liberation Serif" w:hAnsi="Liberation Serif"/>
          <w:sz w:val="18"/>
        </w:rPr>
        <w:t>Record the new evidence and current status without erasing the history of support and growth.</w:t>
      </w:r>
    </w:p>
    <w:p>
      <w:pPr>
        <w:pStyle w:val="Heading3"/>
      </w:pPr>
      <w:r>
        <w:t>Required Reverification Points</w:t>
      </w:r>
    </w:p>
    <w:p>
      <w:pPr>
        <w:pStyle w:val="ListBullet"/>
        <w:spacing w:after="30" w:line="240" w:lineRule="auto"/>
        <w:ind w:left="331" w:hanging="187"/>
      </w:pPr>
      <w:r>
        <w:rPr>
          <w:rFonts w:ascii="Liberation Serif" w:hAnsi="Liberation Serif"/>
          <w:sz w:val="18"/>
        </w:rPr>
        <w:t>Before client-centered production through The Cottage: relevant safety, sanitation, emergency, allergen, and equipment requirements.</w:t>
      </w:r>
    </w:p>
    <w:p>
      <w:pPr>
        <w:pStyle w:val="ListBullet"/>
        <w:spacing w:after="30" w:line="240" w:lineRule="auto"/>
        <w:ind w:left="331" w:hanging="187"/>
      </w:pPr>
      <w:r>
        <w:rPr>
          <w:rFonts w:ascii="Liberation Serif" w:hAnsi="Liberation Serif"/>
          <w:sz w:val="18"/>
        </w:rPr>
        <w:t>Before Kitchen Management leadership or supervisory responsibility: safety, kitchen systems, communication, emergency response, and the process being supervised.</w:t>
      </w:r>
    </w:p>
    <w:p>
      <w:pPr>
        <w:pStyle w:val="ListBullet"/>
        <w:spacing w:after="30" w:line="240" w:lineRule="auto"/>
        <w:ind w:left="331" w:hanging="187"/>
      </w:pPr>
      <w:r>
        <w:rPr>
          <w:rFonts w:ascii="Liberation Serif" w:hAnsi="Liberation Serif"/>
          <w:sz w:val="18"/>
        </w:rPr>
        <w:t>Before External Work-Based Learning begins: current safety and sanitation practice, concern reporting, professional conduct, and readiness for approved duties and equipment.</w:t>
      </w:r>
    </w:p>
    <w:p>
      <w:pPr>
        <w:pStyle w:val="ListBullet"/>
        <w:spacing w:after="30" w:line="240" w:lineRule="auto"/>
        <w:ind w:left="331" w:hanging="187"/>
      </w:pPr>
      <w:r>
        <w:rPr>
          <w:rFonts w:ascii="Liberation Serif" w:hAnsi="Liberation Serif"/>
          <w:sz w:val="18"/>
        </w:rPr>
        <w:t>Before any new high-risk duty, unfamiliar equipment set, materially different environment, or increased level of independence.</w:t>
      </w:r>
    </w:p>
    <w:p>
      <w:pPr>
        <w:pStyle w:val="ListBullet"/>
        <w:spacing w:after="30" w:line="240" w:lineRule="auto"/>
        <w:ind w:left="331" w:hanging="187"/>
      </w:pPr>
      <w:r>
        <w:rPr>
          <w:rFonts w:ascii="Liberation Serif" w:hAnsi="Liberation Serif"/>
          <w:sz w:val="18"/>
        </w:rPr>
        <w:t>After a significant safety incident, extended absence, or other condition that creates a reasonable question about current readiness.</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Preparation Before Independence</w:t>
            </w:r>
          </w:p>
          <w:p>
            <w:pPr>
              <w:pStyle w:val="SmallText"/>
              <w:keepLines/>
              <w:widowControl/>
            </w:pPr>
            <w:r>
              <w:rPr>
                <w:rFonts w:ascii="Liberation Serif" w:hAnsi="Liberation Serif"/>
                <w:sz w:val="18"/>
              </w:rPr>
              <w:t>Reverification does not erase an earlier completion. It confirms whether the student is prepared for the new responsibility. A Not Yet Completed reverification pauses that responsibility and triggers instruction, practice, and reassessment.</w:t>
            </w:r>
          </w:p>
        </w:tc>
      </w:tr>
    </w:tbl>
    <w:p>
      <w:pPr>
        <w:spacing w:after="0"/>
      </w:pPr>
    </w:p>
    <w:p>
      <w:pPr>
        <w:pStyle w:val="Heading2"/>
      </w:pPr>
      <w:r>
        <w:t>Chapter 10: Course Grades and Gateway Decisions</w:t>
      </w:r>
    </w:p>
    <w:p>
      <w:pPr/>
      <w:r>
        <w:rPr>
          <w:i w:val="0"/>
        </w:rPr>
        <w:t>Course grades and Gateway decisions are related but distinct. A course grade reports achievement of approved course standards. A Gateway records whether the competencies required for the next level of pathway responsibility have been demonstrated. A credential records an external result. Pathway recognition records whether current formal requirements have been met.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3168"/>
            <w:shd w:fill="1F4E79"/>
            <w:vAlign w:val="center"/>
            <w:tcMar>
              <w:top w:w="65" w:type="dxa"/>
              <w:start w:w="80" w:type="dxa"/>
              <w:bottom w:w="65" w:type="dxa"/>
              <w:end w:w="80" w:type="dxa"/>
            </w:tcMar>
          </w:tcPr>
          <w:p>
            <w:pPr>
              <w:pStyle w:val="TableHeader"/>
              <w:keepLines/>
              <w:widowControl/>
            </w:pPr>
            <w:r>
              <w:rPr>
                <w:rFonts w:ascii="Liberation Serif" w:hAnsi="Liberation Serif"/>
              </w:rPr>
              <w:t>Course / setting</w:t>
            </w:r>
          </w:p>
        </w:tc>
        <w:tc>
          <w:tcPr>
            <w:tcW w:type="dxa" w:w="6623"/>
            <w:shd w:fill="1F4E79"/>
            <w:vAlign w:val="center"/>
            <w:tcMar>
              <w:top w:w="65" w:type="dxa"/>
              <w:start w:w="80" w:type="dxa"/>
              <w:bottom w:w="65" w:type="dxa"/>
              <w:end w:w="80" w:type="dxa"/>
            </w:tcMar>
          </w:tcPr>
          <w:p>
            <w:pPr>
              <w:pStyle w:val="TableHeader"/>
              <w:keepLines/>
              <w:widowControl/>
            </w:pPr>
            <w:r>
              <w:rPr>
                <w:rFonts w:ascii="Liberation Serif" w:hAnsi="Liberation Serif"/>
              </w:rPr>
              <w:t>Standards-based reporting categories</w:t>
            </w:r>
          </w:p>
        </w:tc>
      </w:tr>
      <w:tr>
        <w:trPr>
          <w:cantSplit/>
          <w:cantSplit/>
        </w:trPr>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Culinary 1 and 2</w:t>
            </w:r>
          </w:p>
        </w:tc>
        <w:tc>
          <w:tcPr>
            <w:tcW w:type="dxa" w:w="662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Safety and sanitation; kitchen systems; culinary knowledge and reasoning; technical production and product quality; professional practice.</w:t>
            </w:r>
          </w:p>
        </w:tc>
      </w:tr>
      <w:tr>
        <w:trPr>
          <w:cantSplit/>
          <w:cantSplit/>
        </w:trPr>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6"/>
              </w:rPr>
              <w:t>Advanced Culinary and The Cottage</w:t>
            </w:r>
          </w:p>
        </w:tc>
        <w:tc>
          <w:tcPr>
            <w:tcW w:type="dxa" w:w="6623"/>
            <w:vAlign w:val="top"/>
            <w:tcMar>
              <w:top w:w="65" w:type="dxa"/>
              <w:start w:w="80" w:type="dxa"/>
              <w:bottom w:w="65" w:type="dxa"/>
              <w:end w:w="80" w:type="dxa"/>
            </w:tcMar>
          </w:tcPr>
          <w:p>
            <w:pPr>
              <w:pStyle w:val="TableText"/>
              <w:keepLines w:val="0"/>
              <w:widowControl/>
            </w:pPr>
            <w:r>
              <w:rPr>
                <w:rFonts w:ascii="Liberation Serif" w:hAnsi="Liberation Serif"/>
                <w:sz w:val="16"/>
              </w:rPr>
              <w:t>Client planning; production and service execution; quality and safety control; professional communication and teamwork; reflection and improvement.</w:t>
            </w:r>
          </w:p>
        </w:tc>
      </w:tr>
      <w:tr>
        <w:trPr>
          <w:cantSplit/>
          <w:cantSplit/>
        </w:trPr>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Kitchen Management</w:t>
            </w:r>
          </w:p>
        </w:tc>
        <w:tc>
          <w:tcPr>
            <w:tcW w:type="dxa" w:w="662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Leadership and supervision; planning and resource management; quality, safety, and operations; professional judgment and communication; employment and career readiness.</w:t>
            </w:r>
          </w:p>
        </w:tc>
      </w:tr>
      <w:tr>
        <w:trPr>
          <w:cantSplit/>
          <w:cantSplit/>
        </w:trPr>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6"/>
              </w:rPr>
              <w:t>External Work-Based Learning</w:t>
            </w:r>
          </w:p>
        </w:tc>
        <w:tc>
          <w:tcPr>
            <w:tcW w:type="dxa" w:w="6623"/>
            <w:vAlign w:val="top"/>
            <w:tcMar>
              <w:top w:w="65" w:type="dxa"/>
              <w:start w:w="80" w:type="dxa"/>
              <w:bottom w:w="65" w:type="dxa"/>
              <w:end w:w="80" w:type="dxa"/>
            </w:tcMar>
          </w:tcPr>
          <w:p>
            <w:pPr>
              <w:pStyle w:val="TableText"/>
              <w:keepLines w:val="0"/>
              <w:widowControl/>
            </w:pPr>
            <w:r>
              <w:rPr>
                <w:rFonts w:ascii="Liberation Serif" w:hAnsi="Liberation Serif"/>
                <w:sz w:val="16"/>
              </w:rPr>
              <w:t>Portfolio and required assignments; workplace performance and application of pathway competencies; final presentation or exit interview; training-plan progress and coordinator reviews; student self-evaluation.</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No-Compensation Rule</w:t>
            </w:r>
          </w:p>
          <w:p>
            <w:pPr>
              <w:pStyle w:val="SmallText"/>
              <w:keepLines/>
              <w:widowControl/>
            </w:pPr>
            <w:r>
              <w:rPr>
                <w:rFonts w:ascii="Liberation Serif" w:hAnsi="Liberation Serif"/>
                <w:sz w:val="18"/>
              </w:rPr>
              <w:t>Strong performance in one category does not compensate for an unmet safety-critical standard or a missing Canon-required completion component. A strong external score does not compensate for unsafe observed performance; strong classroom performance does not erase an unmet formal credential or recognition requirement.</w:t>
            </w:r>
          </w:p>
        </w:tc>
      </w:tr>
    </w:tbl>
    <w:p>
      <w:pPr>
        <w:spacing w:after="0"/>
      </w:pPr>
    </w:p>
    <w:p>
      <w:r>
        <w:br w:type="page"/>
      </w:r>
    </w:p>
    <w:p>
      <w:pPr>
        <w:pStyle w:val="PartLabel"/>
      </w:pPr>
      <w:r>
        <w:t>PART III</w:t>
      </w:r>
    </w:p>
    <w:p>
      <w:pPr>
        <w:pStyle w:val="PartTitle"/>
      </w:pPr>
      <w:r>
        <w:t>Assessment Across the Pathway</w:t>
      </w:r>
    </w:p>
    <w:p>
      <w:pPr>
        <w:pStyle w:val="PartIntro"/>
      </w:pPr>
      <w:r>
        <w:t>Use course evidence, authentic client work, leadership, external assessments, credentials, and workplace performance to verify the six Gateways without duplicating systems.</w:t>
      </w:r>
    </w:p>
    <w:p>
      <w:pPr>
        <w:pStyle w:val="Heading2"/>
      </w:pPr>
      <w:r>
        <w:t>Chapter 11: Grade 10 - Culinary 1 and Culinary 2</w:t>
      </w:r>
    </w:p>
    <w:p>
      <w:pPr/>
      <w:r>
        <w:rPr>
          <w:i w:val="0"/>
        </w:rPr>
        <w:t>Grade 10 establishes Gateways 1 through 3. The two courses remain distinct, but their evidence forms one developmental foundation for the pathway.</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41"/>
        <w:gridCol w:w="2541"/>
        <w:gridCol w:w="2541"/>
        <w:gridCol w:w="2541"/>
      </w:tblGrid>
      <w:tr>
        <w:trPr>
          <w:tblHeader w:val="true"/>
          <w:cantSplit/>
          <w:cantSplit/>
        </w:trPr>
        <w:tc>
          <w:tcPr>
            <w:tcW w:type="dxa" w:w="720"/>
            <w:shd w:fill="1F4E79"/>
            <w:vAlign w:val="center"/>
            <w:tcMar>
              <w:top w:w="65" w:type="dxa"/>
              <w:start w:w="80" w:type="dxa"/>
              <w:bottom w:w="65" w:type="dxa"/>
              <w:end w:w="80" w:type="dxa"/>
            </w:tcMar>
          </w:tcPr>
          <w:p>
            <w:pPr>
              <w:pStyle w:val="TableHeader"/>
              <w:keepLines/>
              <w:widowControl/>
            </w:pPr>
            <w:r>
              <w:rPr>
                <w:rFonts w:ascii="Liberation Serif" w:hAnsi="Liberation Serif"/>
              </w:rPr>
              <w:t>Gateway</w:t>
            </w:r>
          </w:p>
        </w:tc>
        <w:tc>
          <w:tcPr>
            <w:tcW w:type="dxa" w:w="3240"/>
            <w:shd w:fill="1F4E79"/>
            <w:vAlign w:val="center"/>
            <w:tcMar>
              <w:top w:w="65" w:type="dxa"/>
              <w:start w:w="80" w:type="dxa"/>
              <w:bottom w:w="65" w:type="dxa"/>
              <w:end w:w="80" w:type="dxa"/>
            </w:tcMar>
          </w:tcPr>
          <w:p>
            <w:pPr>
              <w:pStyle w:val="TableHeader"/>
              <w:keepLines/>
              <w:widowControl/>
            </w:pPr>
            <w:r>
              <w:rPr>
                <w:rFonts w:ascii="Liberation Serif" w:hAnsi="Liberation Serif"/>
              </w:rPr>
              <w:t>Required evidence pattern</w:t>
            </w:r>
          </w:p>
        </w:tc>
        <w:tc>
          <w:tcPr>
            <w:tcW w:type="dxa" w:w="2880"/>
            <w:shd w:fill="1F4E79"/>
            <w:vAlign w:val="center"/>
            <w:tcMar>
              <w:top w:w="65" w:type="dxa"/>
              <w:start w:w="80" w:type="dxa"/>
              <w:bottom w:w="65" w:type="dxa"/>
              <w:end w:w="80" w:type="dxa"/>
            </w:tcMar>
          </w:tcPr>
          <w:p>
            <w:pPr>
              <w:pStyle w:val="TableHeader"/>
              <w:keepLines/>
              <w:widowControl/>
            </w:pPr>
            <w:r>
              <w:rPr>
                <w:rFonts w:ascii="Liberation Serif" w:hAnsi="Liberation Serif"/>
              </w:rPr>
              <w:t>Decision standard</w:t>
            </w:r>
          </w:p>
        </w:tc>
        <w:tc>
          <w:tcPr>
            <w:tcW w:type="dxa" w:w="2951"/>
            <w:shd w:fill="1F4E79"/>
            <w:vAlign w:val="center"/>
            <w:tcMar>
              <w:top w:w="65" w:type="dxa"/>
              <w:start w:w="80" w:type="dxa"/>
              <w:bottom w:w="65" w:type="dxa"/>
              <w:end w:w="80" w:type="dxa"/>
            </w:tcMar>
          </w:tcPr>
          <w:p>
            <w:pPr>
              <w:pStyle w:val="TableHeader"/>
              <w:keepLines/>
              <w:widowControl/>
            </w:pPr>
            <w:r>
              <w:rPr>
                <w:rFonts w:ascii="Liberation Serif" w:hAnsi="Liberation Serif"/>
              </w:rPr>
              <w:t>External alignment</w:t>
            </w:r>
          </w:p>
        </w:tc>
      </w:tr>
      <w:tr>
        <w:trPr>
          <w:cantSplit/>
          <w:cantSplit/>
        </w:trPr>
        <w:tc>
          <w:tcPr>
            <w:tcW w:type="dxa" w:w="72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1</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Knowledge checks plus direct demonstration of safety, sanitation, hygiene, emergency response, allergen awareness, and basic equipment practice.</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Every critical safety criterion is demonstrated before supervised kitchen participation.</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YouScience service equipment and sanitation; ProStart food and workplace safety; CDOS safety, appearance, and ethical/legal responsibility.</w:t>
            </w:r>
          </w:p>
        </w:tc>
      </w:tr>
      <w:tr>
        <w:trPr>
          <w:cantSplit/>
          <w:cantSplit/>
        </w:trPr>
        <w:tc>
          <w:tcPr>
            <w:tcW w:type="dxa" w:w="720"/>
            <w:vAlign w:val="top"/>
            <w:tcMar>
              <w:top w:w="65" w:type="dxa"/>
              <w:start w:w="80" w:type="dxa"/>
              <w:bottom w:w="65" w:type="dxa"/>
              <w:end w:w="80" w:type="dxa"/>
            </w:tcMar>
          </w:tcPr>
          <w:p>
            <w:pPr>
              <w:pStyle w:val="TableText"/>
              <w:keepLines w:val="0"/>
              <w:widowControl/>
            </w:pPr>
            <w:r>
              <w:rPr>
                <w:rFonts w:ascii="Liberation Serif" w:hAnsi="Liberation Serif"/>
                <w:sz w:val="14"/>
              </w:rPr>
              <w:t>2</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4"/>
              </w:rPr>
              <w:t>Repeated lab and station evidence showing mise en place, recipe use, measuring, knife skills, time management, communication, kitchen systems, cleanup, and closing.</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The student functions dependably within established kitchen routines across more than one task.</w:t>
            </w:r>
          </w:p>
        </w:tc>
        <w:tc>
          <w:tcPr>
            <w:tcW w:type="dxa" w:w="2951"/>
            <w:vAlign w:val="top"/>
            <w:tcMar>
              <w:top w:w="65" w:type="dxa"/>
              <w:start w:w="80" w:type="dxa"/>
              <w:bottom w:w="65" w:type="dxa"/>
              <w:end w:w="80" w:type="dxa"/>
            </w:tcMar>
          </w:tcPr>
          <w:p>
            <w:pPr>
              <w:pStyle w:val="TableText"/>
              <w:keepLines w:val="0"/>
              <w:widowControl/>
            </w:pPr>
            <w:r>
              <w:rPr>
                <w:rFonts w:ascii="Liberation Serif" w:hAnsi="Liberation Serif"/>
                <w:sz w:val="14"/>
              </w:rPr>
              <w:t>YouScience equipment and math; ProStart Kitchen Essentials and communication; CDOS attendance, punctuality, quality, resource management, communication, and teamwork.</w:t>
            </w:r>
          </w:p>
        </w:tc>
      </w:tr>
      <w:tr>
        <w:trPr>
          <w:cantSplit/>
          <w:cantSplit/>
        </w:trPr>
        <w:tc>
          <w:tcPr>
            <w:tcW w:type="dxa" w:w="72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3</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Written and scenario-based assessments, practical work, products, teacher observation, course standards, quarterly assessments, and relevant Employability Profile patterns.</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The body of evidence demonstrates foundational technique, ingredient knowledge, product quality, and consistent performance sufficient for Advanced Culinary.</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YouScience foundational domains; ProStart Level 1 and selected Level 2 production; Culinary 1 and 2 outcomes.</w:t>
            </w:r>
          </w:p>
        </w:tc>
      </w:tr>
    </w:tbl>
    <w:p>
      <w:pPr>
        <w:spacing w:after="0"/>
      </w:pPr>
    </w:p>
    <w:p>
      <w:pPr>
        <w:pStyle w:val="ListBullet"/>
        <w:spacing w:after="30" w:line="240" w:lineRule="auto"/>
        <w:ind w:left="331" w:hanging="187"/>
      </w:pPr>
      <w:r>
        <w:rPr>
          <w:rFonts w:ascii="Liberation Serif" w:hAnsi="Liberation Serif"/>
          <w:sz w:val="18"/>
        </w:rPr>
        <w:t>Use direct observation for performance that cannot be verified on paper.</w:t>
      </w:r>
    </w:p>
    <w:p>
      <w:pPr>
        <w:pStyle w:val="ListBullet"/>
        <w:spacing w:after="30" w:line="240" w:lineRule="auto"/>
        <w:ind w:left="331" w:hanging="187"/>
      </w:pPr>
      <w:r>
        <w:rPr>
          <w:rFonts w:ascii="Liberation Serif" w:hAnsi="Liberation Serif"/>
          <w:sz w:val="18"/>
        </w:rPr>
        <w:t>Review process and product when both matter.</w:t>
      </w:r>
    </w:p>
    <w:p>
      <w:pPr>
        <w:pStyle w:val="ListBullet"/>
        <w:spacing w:after="30" w:line="240" w:lineRule="auto"/>
        <w:ind w:left="331" w:hanging="187"/>
      </w:pPr>
      <w:r>
        <w:rPr>
          <w:rFonts w:ascii="Liberation Serif" w:hAnsi="Liberation Serif"/>
          <w:sz w:val="18"/>
        </w:rPr>
        <w:t>Map quarterly and final assessments to course objectives and YouScience domains through a table of specifications or item map.</w:t>
      </w:r>
    </w:p>
    <w:p>
      <w:pPr>
        <w:pStyle w:val="ListBullet"/>
        <w:spacing w:after="30" w:line="240" w:lineRule="auto"/>
        <w:ind w:left="331" w:hanging="187"/>
      </w:pPr>
      <w:r>
        <w:rPr>
          <w:rFonts w:ascii="Liberation Serif" w:hAnsi="Liberation Serif"/>
          <w:sz w:val="18"/>
        </w:rPr>
        <w:t>Record specific comments when a rating alone would not explain the next step.</w:t>
      </w:r>
    </w:p>
    <w:p>
      <w:pPr>
        <w:pStyle w:val="ListBullet"/>
        <w:spacing w:after="30" w:line="240" w:lineRule="auto"/>
        <w:ind w:left="331" w:hanging="187"/>
      </w:pPr>
      <w:r>
        <w:rPr>
          <w:rFonts w:ascii="Liberation Serif" w:hAnsi="Liberation Serif"/>
          <w:sz w:val="18"/>
        </w:rPr>
        <w:t>A course may be completed while a specific Passport competency remains Not Yet Completed when district grading rules support that result. The course grade and Passport status remain separate records.</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Gateway 3 Technical-Assessment Readiness Review</w:t>
            </w:r>
          </w:p>
          <w:p>
            <w:pPr>
              <w:pStyle w:val="SmallText"/>
              <w:keepLines/>
              <w:widowControl/>
            </w:pPr>
            <w:r>
              <w:rPr>
                <w:rFonts w:ascii="Liberation Serif" w:hAnsi="Liberation Serif"/>
                <w:sz w:val="18"/>
              </w:rPr>
              <w:t>At the end of Culinary 1 and 2, the department confirms that the assigned portion of the YouScience and ProStart blueprint has been taught and assessed. This is a curriculum-coverage and foundational-readiness review, not the terminal pathway technical assessment.</w:t>
            </w:r>
          </w:p>
        </w:tc>
      </w:tr>
    </w:tbl>
    <w:p>
      <w:pPr>
        <w:spacing w:after="0"/>
      </w:pPr>
    </w:p>
    <w:p>
      <w:pPr>
        <w:pStyle w:val="Heading2"/>
      </w:pPr>
      <w:r>
        <w:t>Chapter 12: Advanced Culinary and The Cottage</w:t>
      </w:r>
    </w:p>
    <w:p>
      <w:pPr/>
      <w:r>
        <w:rPr>
          <w:i w:val="0"/>
        </w:rPr>
        <w:t>Advanced Culinary moves from foundational technique to client-centered performance. The Cottage is the primary school-controlled environment for Gateway 4. Evidence shows whether the student can plan, execute, communicate, control quality, serve, and close work when a real client, audience, deadline, or consequence is present.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1944"/>
            <w:shd w:fill="1F4E79"/>
            <w:vAlign w:val="center"/>
            <w:tcMar>
              <w:top w:w="65" w:type="dxa"/>
              <w:start w:w="80" w:type="dxa"/>
              <w:bottom w:w="65" w:type="dxa"/>
              <w:end w:w="80" w:type="dxa"/>
            </w:tcMar>
          </w:tcPr>
          <w:p>
            <w:pPr>
              <w:pStyle w:val="TableHeader"/>
              <w:keepLines/>
              <w:widowControl/>
            </w:pPr>
            <w:r>
              <w:rPr>
                <w:rFonts w:ascii="Liberation Serif" w:hAnsi="Liberation Serif"/>
              </w:rPr>
              <w:t>Assessment domain</w:t>
            </w:r>
          </w:p>
        </w:tc>
        <w:tc>
          <w:tcPr>
            <w:tcW w:type="dxa" w:w="4536"/>
            <w:shd w:fill="1F4E79"/>
            <w:vAlign w:val="center"/>
            <w:tcMar>
              <w:top w:w="65" w:type="dxa"/>
              <w:start w:w="80" w:type="dxa"/>
              <w:bottom w:w="65" w:type="dxa"/>
              <w:end w:w="80" w:type="dxa"/>
            </w:tcMar>
          </w:tcPr>
          <w:p>
            <w:pPr>
              <w:pStyle w:val="TableHeader"/>
              <w:keepLines/>
              <w:widowControl/>
            </w:pPr>
            <w:r>
              <w:rPr>
                <w:rFonts w:ascii="Liberation Serif" w:hAnsi="Liberation Serif"/>
              </w:rPr>
              <w:t>Visible evidence</w:t>
            </w:r>
          </w:p>
        </w:tc>
        <w:tc>
          <w:tcPr>
            <w:tcW w:type="dxa" w:w="3311"/>
            <w:shd w:fill="1F4E79"/>
            <w:vAlign w:val="center"/>
            <w:tcMar>
              <w:top w:w="65" w:type="dxa"/>
              <w:start w:w="80" w:type="dxa"/>
              <w:bottom w:w="65" w:type="dxa"/>
              <w:end w:w="80" w:type="dxa"/>
            </w:tcMar>
          </w:tcPr>
          <w:p>
            <w:pPr>
              <w:pStyle w:val="TableHeader"/>
              <w:keepLines/>
              <w:widowControl/>
            </w:pPr>
            <w:r>
              <w:rPr>
                <w:rFonts w:ascii="Liberation Serif" w:hAnsi="Liberation Serif"/>
              </w:rPr>
              <w:t>Standards anchor</w:t>
            </w:r>
          </w:p>
        </w:tc>
      </w:tr>
      <w:tr>
        <w:trPr>
          <w:cantSplit/>
          <w:cantSplit/>
        </w:trPr>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Client planning</w:t>
            </w:r>
          </w:p>
        </w:tc>
        <w:tc>
          <w:tcPr>
            <w:tcW w:type="dxa" w:w="45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Request clarification, audience and dietary needs, menu or product plan, quantity, costing, timeline, assigned role, and communication.</w:t>
            </w:r>
          </w:p>
        </w:tc>
        <w:tc>
          <w:tcPr>
            <w:tcW w:type="dxa" w:w="331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ProStart service, cost control, purchasing, inventory, marketing, nutrition, and menu planning; YouScience menu and math performance standards.</w:t>
            </w:r>
          </w:p>
        </w:tc>
      </w:tr>
      <w:tr>
        <w:trPr>
          <w:cantSplit/>
          <w:cantSplit/>
        </w:trPr>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5"/>
              </w:rPr>
              <w:t>Production and service</w:t>
            </w:r>
          </w:p>
        </w:tc>
        <w:tc>
          <w:tcPr>
            <w:tcW w:type="dxa" w:w="4536"/>
            <w:vAlign w:val="top"/>
            <w:tcMar>
              <w:top w:w="65" w:type="dxa"/>
              <w:start w:w="80" w:type="dxa"/>
              <w:bottom w:w="65" w:type="dxa"/>
              <w:end w:w="80" w:type="dxa"/>
            </w:tcMar>
          </w:tcPr>
          <w:p>
            <w:pPr>
              <w:pStyle w:val="TableText"/>
              <w:keepLines w:val="0"/>
              <w:widowControl/>
            </w:pPr>
            <w:r>
              <w:rPr>
                <w:rFonts w:ascii="Liberation Serif" w:hAnsi="Liberation Serif"/>
                <w:sz w:val="15"/>
              </w:rPr>
              <w:t>Mise en place, safe execution, timing, station coordination, service, delivery, cleanup, and closing.</w:t>
            </w:r>
          </w:p>
        </w:tc>
        <w:tc>
          <w:tcPr>
            <w:tcW w:type="dxa" w:w="3311"/>
            <w:vAlign w:val="top"/>
            <w:tcMar>
              <w:top w:w="65" w:type="dxa"/>
              <w:start w:w="80" w:type="dxa"/>
              <w:bottom w:w="65" w:type="dxa"/>
              <w:end w:w="80" w:type="dxa"/>
            </w:tcMar>
          </w:tcPr>
          <w:p>
            <w:pPr>
              <w:pStyle w:val="TableText"/>
              <w:keepLines w:val="0"/>
              <w:widowControl/>
            </w:pPr>
            <w:r>
              <w:rPr>
                <w:rFonts w:ascii="Liberation Serif" w:hAnsi="Liberation Serif"/>
                <w:sz w:val="15"/>
              </w:rPr>
              <w:t>YouScience product and production domains; ProStart production and serving guests.</w:t>
            </w:r>
          </w:p>
        </w:tc>
      </w:tr>
      <w:tr>
        <w:trPr>
          <w:cantSplit/>
          <w:cantSplit/>
        </w:trPr>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Quality control</w:t>
            </w:r>
          </w:p>
        </w:tc>
        <w:tc>
          <w:tcPr>
            <w:tcW w:type="dxa" w:w="45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Product and service standards, checking, correction, consistency, and response to feedback.</w:t>
            </w:r>
          </w:p>
        </w:tc>
        <w:tc>
          <w:tcPr>
            <w:tcW w:type="dxa" w:w="331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ProStart management and quality expectations; CDOS quality of work and problem solving.</w:t>
            </w:r>
          </w:p>
        </w:tc>
      </w:tr>
      <w:tr>
        <w:trPr>
          <w:cantSplit/>
          <w:cantSplit/>
        </w:trPr>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5"/>
              </w:rPr>
              <w:t>Professional performance</w:t>
            </w:r>
          </w:p>
        </w:tc>
        <w:tc>
          <w:tcPr>
            <w:tcW w:type="dxa" w:w="4536"/>
            <w:vAlign w:val="top"/>
            <w:tcMar>
              <w:top w:w="65" w:type="dxa"/>
              <w:start w:w="80" w:type="dxa"/>
              <w:bottom w:w="65" w:type="dxa"/>
              <w:end w:w="80" w:type="dxa"/>
            </w:tcMar>
          </w:tcPr>
          <w:p>
            <w:pPr>
              <w:pStyle w:val="TableText"/>
              <w:keepLines w:val="0"/>
              <w:widowControl/>
            </w:pPr>
            <w:r>
              <w:rPr>
                <w:rFonts w:ascii="Liberation Serif" w:hAnsi="Liberation Serif"/>
                <w:sz w:val="15"/>
              </w:rPr>
              <w:t>Attendance, communication, teamwork, accountability, composure, resource use, and follow-through.</w:t>
            </w:r>
          </w:p>
        </w:tc>
        <w:tc>
          <w:tcPr>
            <w:tcW w:type="dxa" w:w="3311"/>
            <w:vAlign w:val="top"/>
            <w:tcMar>
              <w:top w:w="65" w:type="dxa"/>
              <w:start w:w="80" w:type="dxa"/>
              <w:bottom w:w="65" w:type="dxa"/>
              <w:end w:w="80" w:type="dxa"/>
            </w:tcMar>
          </w:tcPr>
          <w:p>
            <w:pPr>
              <w:pStyle w:val="TableText"/>
              <w:keepLines w:val="0"/>
              <w:widowControl/>
            </w:pPr>
            <w:r>
              <w:rPr>
                <w:rFonts w:ascii="Liberation Serif" w:hAnsi="Liberation Serif"/>
                <w:sz w:val="15"/>
              </w:rPr>
              <w:t>CDOS work-related skills and Employability Profile.</w:t>
            </w:r>
          </w:p>
        </w:tc>
      </w:tr>
      <w:tr>
        <w:trPr>
          <w:cantSplit/>
          <w:cantSplit/>
        </w:trPr>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Reflection and improvement</w:t>
            </w:r>
          </w:p>
        </w:tc>
        <w:tc>
          <w:tcPr>
            <w:tcW w:type="dxa" w:w="45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Explanation of results, challenges, correction, learning, and next responsibility.</w:t>
            </w:r>
          </w:p>
        </w:tc>
        <w:tc>
          <w:tcPr>
            <w:tcW w:type="dxa" w:w="331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Pathway reflection and continuous-improvement expectations.</w:t>
            </w:r>
          </w:p>
        </w:tc>
      </w:tr>
    </w:tbl>
    <w:p>
      <w:pPr>
        <w:spacing w:after="0"/>
      </w:pPr>
    </w:p>
    <w:p>
      <w:pPr>
        <w:pStyle w:val="ListBullet"/>
        <w:spacing w:after="30" w:line="240" w:lineRule="auto"/>
        <w:ind w:left="331" w:hanging="187"/>
      </w:pPr>
      <w:r>
        <w:rPr>
          <w:rFonts w:ascii="Liberation Serif" w:hAnsi="Liberation Serif"/>
          <w:sz w:val="18"/>
        </w:rPr>
        <w:t>Preserve individual evidence inside team production. A successful event does not prove that every student completed Gateway 4.</w:t>
      </w:r>
    </w:p>
    <w:p>
      <w:pPr>
        <w:pStyle w:val="ListBullet"/>
        <w:spacing w:after="30" w:line="240" w:lineRule="auto"/>
        <w:ind w:left="331" w:hanging="187"/>
      </w:pPr>
      <w:r>
        <w:rPr>
          <w:rFonts w:ascii="Liberation Serif" w:hAnsi="Liberation Serif"/>
          <w:sz w:val="18"/>
        </w:rPr>
        <w:t>Client satisfaction matters but does not replace safety, quality, professional conduct, teacher judgment, or evidence of learning.</w:t>
      </w:r>
    </w:p>
    <w:p>
      <w:pPr>
        <w:pStyle w:val="ListBullet"/>
        <w:spacing w:after="30" w:line="240" w:lineRule="auto"/>
        <w:ind w:left="331" w:hanging="187"/>
      </w:pPr>
      <w:r>
        <w:rPr>
          <w:rFonts w:ascii="Liberation Serif" w:hAnsi="Liberation Serif"/>
          <w:sz w:val="18"/>
        </w:rPr>
        <w:t>Revenue, event count, customer praise, and public visibility may describe The Cottage; none independently proves student learning or program quality.</w:t>
      </w:r>
    </w:p>
    <w:p>
      <w:pPr>
        <w:pStyle w:val="ListBullet"/>
        <w:spacing w:after="30" w:line="240" w:lineRule="auto"/>
        <w:ind w:left="331" w:hanging="187"/>
      </w:pPr>
      <w:r>
        <w:rPr>
          <w:rFonts w:ascii="Liberation Serif" w:hAnsi="Liberation Serif"/>
          <w:sz w:val="18"/>
        </w:rPr>
        <w:t>When evidence is incomplete, assign targeted practice and a later equivalent client-centered task.</w:t>
      </w:r>
    </w:p>
    <w:p>
      <w:pPr>
        <w:pStyle w:val="ListBullet"/>
        <w:spacing w:after="30" w:line="240" w:lineRule="auto"/>
        <w:ind w:left="331" w:hanging="187"/>
      </w:pPr>
      <w:r>
        <w:rPr>
          <w:rFonts w:ascii="Liberation Serif" w:hAnsi="Liberation Serif"/>
          <w:sz w:val="18"/>
        </w:rPr>
        <w:t>Use ServSafe preparation and credential results as food-safety evidence when the approved course sequence places them here, while continuing to observe actual safe practice.</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Learning Before Labor</w:t>
            </w:r>
          </w:p>
          <w:p>
            <w:pPr>
              <w:pStyle w:val="SmallText"/>
              <w:keepLines/>
              <w:widowControl/>
            </w:pPr>
            <w:r>
              <w:rPr>
                <w:rFonts w:ascii="Liberation Serif" w:hAnsi="Liberation Serif"/>
                <w:sz w:val="18"/>
              </w:rPr>
              <w:t>The Cottage is an instructional environment. Client needs create authentic pressure, but educational purpose controls assessment and student responsibility.</w:t>
            </w:r>
          </w:p>
        </w:tc>
      </w:tr>
    </w:tbl>
    <w:p>
      <w:pPr>
        <w:spacing w:after="0"/>
      </w:pPr>
    </w:p>
    <w:p>
      <w:pPr>
        <w:pStyle w:val="Heading2"/>
      </w:pPr>
      <w:r>
        <w:t>Chapter 13: Kitchen Management Assessment Plan</w:t>
      </w:r>
    </w:p>
    <w:p>
      <w:pPr/>
      <w:r>
        <w:rPr>
          <w:i w:val="0"/>
        </w:rPr>
        <w:t>Kitchen Management is the leadership bridge between culinary production and professional employment. Technical production provides the setting; the assessed outcome is the student’s ability to organize people, systems, decisions, communication, and results.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41"/>
        <w:gridCol w:w="2541"/>
        <w:gridCol w:w="2541"/>
        <w:gridCol w:w="2541"/>
      </w:tblGrid>
      <w:tr>
        <w:trPr>
          <w:tblHeader w:val="true"/>
          <w:cantSplit/>
          <w:cantSplit/>
        </w:trPr>
        <w:tc>
          <w:tcPr>
            <w:tcW w:type="dxa" w:w="1728"/>
            <w:shd w:fill="1F4E79"/>
            <w:vAlign w:val="center"/>
            <w:tcMar>
              <w:top w:w="65" w:type="dxa"/>
              <w:start w:w="80" w:type="dxa"/>
              <w:bottom w:w="65" w:type="dxa"/>
              <w:end w:w="80" w:type="dxa"/>
            </w:tcMar>
          </w:tcPr>
          <w:p>
            <w:pPr>
              <w:pStyle w:val="TableHeader"/>
              <w:keepLines/>
              <w:widowControl/>
            </w:pPr>
            <w:r>
              <w:rPr>
                <w:rFonts w:ascii="Liberation Serif" w:hAnsi="Liberation Serif"/>
              </w:rPr>
              <w:t>Domain</w:t>
            </w:r>
          </w:p>
        </w:tc>
        <w:tc>
          <w:tcPr>
            <w:tcW w:type="dxa" w:w="2951"/>
            <w:shd w:fill="1F4E79"/>
            <w:vAlign w:val="center"/>
            <w:tcMar>
              <w:top w:w="65" w:type="dxa"/>
              <w:start w:w="80" w:type="dxa"/>
              <w:bottom w:w="65" w:type="dxa"/>
              <w:end w:w="80" w:type="dxa"/>
            </w:tcMar>
          </w:tcPr>
          <w:p>
            <w:pPr>
              <w:pStyle w:val="TableHeader"/>
              <w:keepLines/>
              <w:widowControl/>
            </w:pPr>
            <w:r>
              <w:rPr>
                <w:rFonts w:ascii="Liberation Serif" w:hAnsi="Liberation Serif"/>
              </w:rPr>
              <w:t>Completion standard</w:t>
            </w:r>
          </w:p>
        </w:tc>
        <w:tc>
          <w:tcPr>
            <w:tcW w:type="dxa" w:w="3096"/>
            <w:shd w:fill="1F4E79"/>
            <w:vAlign w:val="center"/>
            <w:tcMar>
              <w:top w:w="65" w:type="dxa"/>
              <w:start w:w="80" w:type="dxa"/>
              <w:bottom w:w="65" w:type="dxa"/>
              <w:end w:w="80" w:type="dxa"/>
            </w:tcMar>
          </w:tcPr>
          <w:p>
            <w:pPr>
              <w:pStyle w:val="TableHeader"/>
              <w:keepLines/>
              <w:widowControl/>
            </w:pPr>
            <w:r>
              <w:rPr>
                <w:rFonts w:ascii="Liberation Serif" w:hAnsi="Liberation Serif"/>
              </w:rPr>
              <w:t>Representative evidence</w:t>
            </w:r>
          </w:p>
        </w:tc>
        <w:tc>
          <w:tcPr>
            <w:tcW w:type="dxa" w:w="2015"/>
            <w:shd w:fill="1F4E79"/>
            <w:vAlign w:val="center"/>
            <w:tcMar>
              <w:top w:w="65" w:type="dxa"/>
              <w:start w:w="80" w:type="dxa"/>
              <w:bottom w:w="65" w:type="dxa"/>
              <w:end w:w="80" w:type="dxa"/>
            </w:tcMar>
          </w:tcPr>
          <w:p>
            <w:pPr>
              <w:pStyle w:val="TableHeader"/>
              <w:keepLines/>
              <w:widowControl/>
            </w:pPr>
            <w:r>
              <w:rPr>
                <w:rFonts w:ascii="Liberation Serif" w:hAnsi="Liberation Serif"/>
              </w:rPr>
              <w:t>External anchor</w:t>
            </w:r>
          </w:p>
        </w:tc>
      </w:tr>
      <w:tr>
        <w:trPr>
          <w:cantSplit/>
          <w:cantSplit/>
        </w:trPr>
        <w:tc>
          <w:tcPr>
            <w:tcW w:type="dxa" w:w="172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Leadership and supervision</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Gives clear direction, delegates appropriately, monitors work, coaches respectfully, and holds the team accountable.</w:t>
            </w:r>
          </w:p>
        </w:tc>
        <w:tc>
          <w:tcPr>
            <w:tcW w:type="dxa" w:w="3096"/>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Briefing, delegation plan, observation, coaching record, peer or teacher feedback, reflection.</w:t>
            </w:r>
          </w:p>
        </w:tc>
        <w:tc>
          <w:tcPr>
            <w:tcW w:type="dxa" w:w="2015"/>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CDOS communication, interpersonal dynamics, ethical/legal responsibility; ProStart management.</w:t>
            </w:r>
          </w:p>
        </w:tc>
      </w:tr>
      <w:tr>
        <w:trPr>
          <w:cantSplit/>
          <w:cantSplit/>
        </w:trPr>
        <w:tc>
          <w:tcPr>
            <w:tcW w:type="dxa" w:w="1728"/>
            <w:vAlign w:val="top"/>
            <w:tcMar>
              <w:top w:w="65" w:type="dxa"/>
              <w:start w:w="80" w:type="dxa"/>
              <w:bottom w:w="65" w:type="dxa"/>
              <w:end w:w="80" w:type="dxa"/>
            </w:tcMar>
          </w:tcPr>
          <w:p>
            <w:pPr>
              <w:pStyle w:val="TableText"/>
              <w:keepLines w:val="0"/>
              <w:widowControl/>
            </w:pPr>
            <w:r>
              <w:rPr>
                <w:rFonts w:ascii="Liberation Serif" w:hAnsi="Liberation Serif"/>
                <w:sz w:val="13"/>
              </w:rPr>
              <w:t>Planning and resource management</w:t>
            </w:r>
          </w:p>
        </w:tc>
        <w:tc>
          <w:tcPr>
            <w:tcW w:type="dxa" w:w="2951"/>
            <w:vAlign w:val="top"/>
            <w:tcMar>
              <w:top w:w="65" w:type="dxa"/>
              <w:start w:w="80" w:type="dxa"/>
              <w:bottom w:w="65" w:type="dxa"/>
              <w:end w:w="80" w:type="dxa"/>
            </w:tcMar>
          </w:tcPr>
          <w:p>
            <w:pPr>
              <w:pStyle w:val="TableText"/>
              <w:keepLines w:val="0"/>
              <w:widowControl/>
            </w:pPr>
            <w:r>
              <w:rPr>
                <w:rFonts w:ascii="Liberation Serif" w:hAnsi="Liberation Serif"/>
                <w:sz w:val="13"/>
              </w:rPr>
              <w:t>Builds a workable plan, establishes priorities, uses time and resources responsibly, and adjusts when conditions change.</w:t>
            </w:r>
          </w:p>
        </w:tc>
        <w:tc>
          <w:tcPr>
            <w:tcW w:type="dxa" w:w="3096"/>
            <w:vAlign w:val="top"/>
            <w:tcMar>
              <w:top w:w="65" w:type="dxa"/>
              <w:start w:w="80" w:type="dxa"/>
              <w:bottom w:w="65" w:type="dxa"/>
              <w:end w:w="80" w:type="dxa"/>
            </w:tcMar>
          </w:tcPr>
          <w:p>
            <w:pPr>
              <w:pStyle w:val="TableText"/>
              <w:keepLines w:val="0"/>
              <w:widowControl/>
            </w:pPr>
            <w:r>
              <w:rPr>
                <w:rFonts w:ascii="Liberation Serif" w:hAnsi="Liberation Serif"/>
                <w:sz w:val="13"/>
              </w:rPr>
              <w:t>Production plan, schedule, inventory or purchasing work, costing, station assignment, contingency response.</w:t>
            </w:r>
          </w:p>
        </w:tc>
        <w:tc>
          <w:tcPr>
            <w:tcW w:type="dxa" w:w="2015"/>
            <w:vAlign w:val="top"/>
            <w:tcMar>
              <w:top w:w="65" w:type="dxa"/>
              <w:start w:w="80" w:type="dxa"/>
              <w:bottom w:w="65" w:type="dxa"/>
              <w:end w:w="80" w:type="dxa"/>
            </w:tcMar>
          </w:tcPr>
          <w:p>
            <w:pPr>
              <w:pStyle w:val="TableText"/>
              <w:keepLines w:val="0"/>
              <w:widowControl/>
            </w:pPr>
            <w:r>
              <w:rPr>
                <w:rFonts w:ascii="Liberation Serif" w:hAnsi="Liberation Serif"/>
                <w:sz w:val="13"/>
              </w:rPr>
              <w:t>YouScience culinary math and menu planning; ProStart cost control, purchasing, inventory.</w:t>
            </w:r>
          </w:p>
        </w:tc>
      </w:tr>
      <w:tr>
        <w:trPr>
          <w:cantSplit/>
          <w:cantSplit/>
        </w:trPr>
        <w:tc>
          <w:tcPr>
            <w:tcW w:type="dxa" w:w="172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Quality, safety, and operations</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Protects safety and sanitation, monitors standards, identifies problems, and completes closeout.</w:t>
            </w:r>
          </w:p>
        </w:tc>
        <w:tc>
          <w:tcPr>
            <w:tcW w:type="dxa" w:w="3096"/>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Quality checks, safety decisions, correction, service review, sanitation and closing verification.</w:t>
            </w:r>
          </w:p>
        </w:tc>
        <w:tc>
          <w:tcPr>
            <w:tcW w:type="dxa" w:w="2015"/>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YouScience sanitation and performance standards; ProStart safety and operations.</w:t>
            </w:r>
          </w:p>
        </w:tc>
      </w:tr>
      <w:tr>
        <w:trPr>
          <w:cantSplit/>
          <w:cantSplit/>
        </w:trPr>
        <w:tc>
          <w:tcPr>
            <w:tcW w:type="dxa" w:w="1728"/>
            <w:vAlign w:val="top"/>
            <w:tcMar>
              <w:top w:w="65" w:type="dxa"/>
              <w:start w:w="80" w:type="dxa"/>
              <w:bottom w:w="65" w:type="dxa"/>
              <w:end w:w="80" w:type="dxa"/>
            </w:tcMar>
          </w:tcPr>
          <w:p>
            <w:pPr>
              <w:pStyle w:val="TableText"/>
              <w:keepLines w:val="0"/>
              <w:widowControl/>
            </w:pPr>
            <w:r>
              <w:rPr>
                <w:rFonts w:ascii="Liberation Serif" w:hAnsi="Liberation Serif"/>
                <w:sz w:val="13"/>
              </w:rPr>
              <w:t>Professional judgment and communication</w:t>
            </w:r>
          </w:p>
        </w:tc>
        <w:tc>
          <w:tcPr>
            <w:tcW w:type="dxa" w:w="2951"/>
            <w:vAlign w:val="top"/>
            <w:tcMar>
              <w:top w:w="65" w:type="dxa"/>
              <w:start w:w="80" w:type="dxa"/>
              <w:bottom w:w="65" w:type="dxa"/>
              <w:end w:w="80" w:type="dxa"/>
            </w:tcMar>
          </w:tcPr>
          <w:p>
            <w:pPr>
              <w:pStyle w:val="TableText"/>
              <w:keepLines w:val="0"/>
              <w:widowControl/>
            </w:pPr>
            <w:r>
              <w:rPr>
                <w:rFonts w:ascii="Liberation Serif" w:hAnsi="Liberation Serif"/>
                <w:sz w:val="13"/>
              </w:rPr>
              <w:t>Solves problems, communicates under pressure, acts ethically, recognizes limits, and seeks help when needed.</w:t>
            </w:r>
          </w:p>
        </w:tc>
        <w:tc>
          <w:tcPr>
            <w:tcW w:type="dxa" w:w="3096"/>
            <w:vAlign w:val="top"/>
            <w:tcMar>
              <w:top w:w="65" w:type="dxa"/>
              <w:start w:w="80" w:type="dxa"/>
              <w:bottom w:w="65" w:type="dxa"/>
              <w:end w:w="80" w:type="dxa"/>
            </w:tcMar>
          </w:tcPr>
          <w:p>
            <w:pPr>
              <w:pStyle w:val="TableText"/>
              <w:keepLines w:val="0"/>
              <w:widowControl/>
            </w:pPr>
            <w:r>
              <w:rPr>
                <w:rFonts w:ascii="Liberation Serif" w:hAnsi="Liberation Serif"/>
                <w:sz w:val="13"/>
              </w:rPr>
              <w:t>Scenario response, authentic problem solving, meeting notes, communication, reflection.</w:t>
            </w:r>
          </w:p>
        </w:tc>
        <w:tc>
          <w:tcPr>
            <w:tcW w:type="dxa" w:w="2015"/>
            <w:vAlign w:val="top"/>
            <w:tcMar>
              <w:top w:w="65" w:type="dxa"/>
              <w:start w:w="80" w:type="dxa"/>
              <w:bottom w:w="65" w:type="dxa"/>
              <w:end w:w="80" w:type="dxa"/>
            </w:tcMar>
          </w:tcPr>
          <w:p>
            <w:pPr>
              <w:pStyle w:val="TableText"/>
              <w:keepLines w:val="0"/>
              <w:widowControl/>
            </w:pPr>
            <w:r>
              <w:rPr>
                <w:rFonts w:ascii="Liberation Serif" w:hAnsi="Liberation Serif"/>
                <w:sz w:val="13"/>
              </w:rPr>
              <w:t>CDOS thinking/problem solving, communication, foundation development.</w:t>
            </w:r>
          </w:p>
        </w:tc>
      </w:tr>
      <w:tr>
        <w:trPr>
          <w:cantSplit/>
          <w:cantSplit/>
        </w:trPr>
        <w:tc>
          <w:tcPr>
            <w:tcW w:type="dxa" w:w="172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Employment and career readiness</w:t>
            </w:r>
          </w:p>
        </w:tc>
        <w:tc>
          <w:tcPr>
            <w:tcW w:type="dxa" w:w="2951"/>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Presents a professional resume, prepares portfolio evidence, demonstrates interview readiness, and identifies a realistic transition plan.</w:t>
            </w:r>
          </w:p>
        </w:tc>
        <w:tc>
          <w:tcPr>
            <w:tcW w:type="dxa" w:w="3096"/>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Resume, portfolio preparation, mock or authentic interview, professional communication, career plan.</w:t>
            </w:r>
          </w:p>
        </w:tc>
        <w:tc>
          <w:tcPr>
            <w:tcW w:type="dxa" w:w="2015"/>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CDOS career development; ProStart Building a Successful Career; Employability Profile.</w:t>
            </w:r>
          </w:p>
        </w:tc>
      </w:tr>
    </w:tbl>
    <w:p>
      <w:pPr>
        <w:spacing w:after="0"/>
      </w:pPr>
    </w:p>
    <w:p>
      <w:pPr>
        <w:pStyle w:val="Heading3"/>
      </w:pPr>
      <w:r>
        <w:t>Required Gateway 5 Evidence</w:t>
      </w:r>
    </w:p>
    <w:p>
      <w:pPr>
        <w:pStyle w:val="ListBullet"/>
        <w:spacing w:after="30" w:line="240" w:lineRule="auto"/>
        <w:ind w:left="331" w:hanging="187"/>
      </w:pPr>
      <w:r>
        <w:rPr>
          <w:rFonts w:ascii="Liberation Serif" w:hAnsi="Liberation Serif"/>
          <w:sz w:val="18"/>
        </w:rPr>
        <w:t>At least two distinct leadership assignments, including one complete planning-execution-closeout cycle.</w:t>
      </w:r>
    </w:p>
    <w:p>
      <w:pPr>
        <w:pStyle w:val="ListBullet"/>
        <w:spacing w:after="30" w:line="240" w:lineRule="auto"/>
        <w:ind w:left="331" w:hanging="187"/>
      </w:pPr>
      <w:r>
        <w:rPr>
          <w:rFonts w:ascii="Liberation Serif" w:hAnsi="Liberation Serif"/>
          <w:sz w:val="18"/>
        </w:rPr>
        <w:t>Direct observation of delegation, supervision, feedback, and accountability.</w:t>
      </w:r>
    </w:p>
    <w:p>
      <w:pPr>
        <w:pStyle w:val="ListBullet"/>
        <w:spacing w:after="30" w:line="240" w:lineRule="auto"/>
        <w:ind w:left="331" w:hanging="187"/>
      </w:pPr>
      <w:r>
        <w:rPr>
          <w:rFonts w:ascii="Liberation Serif" w:hAnsi="Liberation Serif"/>
          <w:sz w:val="18"/>
        </w:rPr>
        <w:t>Evidence of managing time, resources, quality, safety, and communication.</w:t>
      </w:r>
    </w:p>
    <w:p>
      <w:pPr>
        <w:pStyle w:val="ListBullet"/>
        <w:spacing w:after="30" w:line="240" w:lineRule="auto"/>
        <w:ind w:left="331" w:hanging="187"/>
      </w:pPr>
      <w:r>
        <w:rPr>
          <w:rFonts w:ascii="Liberation Serif" w:hAnsi="Liberation Serif"/>
          <w:sz w:val="18"/>
        </w:rPr>
        <w:t>One authentic operational problem requiring judgment and a documented response.</w:t>
      </w:r>
    </w:p>
    <w:p>
      <w:pPr>
        <w:pStyle w:val="ListBullet"/>
        <w:spacing w:after="30" w:line="240" w:lineRule="auto"/>
        <w:ind w:left="331" w:hanging="187"/>
      </w:pPr>
      <w:r>
        <w:rPr>
          <w:rFonts w:ascii="Liberation Serif" w:hAnsi="Liberation Serif"/>
          <w:sz w:val="18"/>
        </w:rPr>
        <w:t>Completed resume, portfolio preparation, interview evidence, and transition plan.</w:t>
      </w:r>
    </w:p>
    <w:p>
      <w:pPr>
        <w:pStyle w:val="ListBullet"/>
        <w:spacing w:after="30" w:line="240" w:lineRule="auto"/>
        <w:ind w:left="331" w:hanging="187"/>
      </w:pPr>
      <w:r>
        <w:rPr>
          <w:rFonts w:ascii="Liberation Serif" w:hAnsi="Liberation Serif"/>
          <w:sz w:val="18"/>
        </w:rPr>
        <w:t>Completion in every Kitchen Management reporting category; safety and professional conduct cannot be averaged away.</w:t>
      </w:r>
    </w:p>
    <w:p>
      <w:pPr>
        <w:pStyle w:val="ListBullet"/>
        <w:spacing w:after="30" w:line="240" w:lineRule="auto"/>
        <w:ind w:left="331" w:hanging="187"/>
      </w:pPr>
      <w:r>
        <w:rPr>
          <w:rFonts w:ascii="Liberation Serif" w:hAnsi="Liberation Serif"/>
          <w:sz w:val="18"/>
        </w:rPr>
        <w:t>Current technical-assessment, credential, and pathway-recognition records reviewed and directed to the appropriate completion process.</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Build Leaders, Not Just Cooks</w:t>
            </w:r>
          </w:p>
          <w:p>
            <w:pPr>
              <w:pStyle w:val="SmallText"/>
              <w:keepLines/>
              <w:widowControl/>
            </w:pPr>
            <w:r>
              <w:rPr>
                <w:rFonts w:ascii="Liberation Serif" w:hAnsi="Liberation Serif"/>
                <w:sz w:val="18"/>
              </w:rPr>
              <w:t>Leadership is demonstrated through the effect of the student’s preparation, communication, supervision, decisions, and follow-through on the work of the team.</w:t>
            </w:r>
          </w:p>
        </w:tc>
      </w:tr>
    </w:tbl>
    <w:p>
      <w:pPr>
        <w:spacing w:after="0"/>
      </w:pPr>
    </w:p>
    <w:p>
      <w:pPr>
        <w:pStyle w:val="Heading2"/>
      </w:pPr>
      <w:r>
        <w:t>Chapter 14: Technical Assessment, Credentials, and Pathway Recognition</w:t>
      </w:r>
    </w:p>
    <w:p>
      <w:pPr/>
      <w:r>
        <w:rPr>
          <w:i w:val="0"/>
        </w:rPr>
        <w:t>The pathway technical assessment, industry credentials, Gateway 5, and formal pathway recognition occur near the same transition point, but they answer different questions and must remain separate records.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41"/>
        <w:gridCol w:w="2541"/>
        <w:gridCol w:w="2541"/>
        <w:gridCol w:w="2541"/>
      </w:tblGrid>
      <w:tr>
        <w:trPr>
          <w:tblHeader w:val="true"/>
          <w:cantSplit/>
          <w:cantSplit/>
        </w:trPr>
        <w:tc>
          <w:tcPr>
            <w:tcW w:type="dxa" w:w="1800"/>
            <w:shd w:fill="1F4E79"/>
            <w:vAlign w:val="center"/>
            <w:tcMar>
              <w:top w:w="65" w:type="dxa"/>
              <w:start w:w="80" w:type="dxa"/>
              <w:bottom w:w="65" w:type="dxa"/>
              <w:end w:w="80" w:type="dxa"/>
            </w:tcMar>
          </w:tcPr>
          <w:p>
            <w:pPr>
              <w:pStyle w:val="TableHeader"/>
              <w:keepLines/>
              <w:widowControl/>
            </w:pPr>
            <w:r>
              <w:rPr>
                <w:rFonts w:ascii="Liberation Serif" w:hAnsi="Liberation Serif"/>
              </w:rPr>
              <w:t>Decision</w:t>
            </w:r>
          </w:p>
        </w:tc>
        <w:tc>
          <w:tcPr>
            <w:tcW w:type="dxa" w:w="3096"/>
            <w:shd w:fill="1F4E79"/>
            <w:vAlign w:val="center"/>
            <w:tcMar>
              <w:top w:w="65" w:type="dxa"/>
              <w:start w:w="80" w:type="dxa"/>
              <w:bottom w:w="65" w:type="dxa"/>
              <w:end w:w="80" w:type="dxa"/>
            </w:tcMar>
          </w:tcPr>
          <w:p>
            <w:pPr>
              <w:pStyle w:val="TableHeader"/>
              <w:keepLines/>
              <w:widowControl/>
            </w:pPr>
            <w:r>
              <w:rPr>
                <w:rFonts w:ascii="Liberation Serif" w:hAnsi="Liberation Serif"/>
              </w:rPr>
              <w:t>Central question</w:t>
            </w:r>
          </w:p>
        </w:tc>
        <w:tc>
          <w:tcPr>
            <w:tcW w:type="dxa" w:w="3600"/>
            <w:shd w:fill="1F4E79"/>
            <w:vAlign w:val="center"/>
            <w:tcMar>
              <w:top w:w="65" w:type="dxa"/>
              <w:start w:w="80" w:type="dxa"/>
              <w:bottom w:w="65" w:type="dxa"/>
              <w:end w:w="80" w:type="dxa"/>
            </w:tcMar>
          </w:tcPr>
          <w:p>
            <w:pPr>
              <w:pStyle w:val="TableHeader"/>
              <w:keepLines/>
              <w:widowControl/>
            </w:pPr>
            <w:r>
              <w:rPr>
                <w:rFonts w:ascii="Liberation Serif" w:hAnsi="Liberation Serif"/>
              </w:rPr>
              <w:t>Authoritative evidence</w:t>
            </w:r>
          </w:p>
        </w:tc>
        <w:tc>
          <w:tcPr>
            <w:tcW w:type="dxa" w:w="1296"/>
            <w:shd w:fill="1F4E79"/>
            <w:vAlign w:val="center"/>
            <w:tcMar>
              <w:top w:w="65" w:type="dxa"/>
              <w:start w:w="80" w:type="dxa"/>
              <w:bottom w:w="65" w:type="dxa"/>
              <w:end w:w="80" w:type="dxa"/>
            </w:tcMar>
          </w:tcPr>
          <w:p>
            <w:pPr>
              <w:pStyle w:val="TableHeader"/>
              <w:keepLines/>
              <w:widowControl/>
            </w:pPr>
            <w:r>
              <w:rPr>
                <w:rFonts w:ascii="Liberation Serif" w:hAnsi="Liberation Serif"/>
              </w:rPr>
              <w:t>Result</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Gateway 5 / Travel Rights</w:t>
            </w:r>
          </w:p>
        </w:tc>
        <w:tc>
          <w:tcPr>
            <w:tcW w:type="dxa" w:w="309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Is the student educationally ready for supervised external responsibility?</w:t>
            </w:r>
          </w:p>
        </w:tc>
        <w:tc>
          <w:tcPr>
            <w:tcW w:type="dxa" w:w="36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Leadership, management, professional conduct, safety, career readiness, course evidence, Employability Profile, and relevant technical-assessment evidence.</w:t>
            </w:r>
          </w:p>
        </w:tc>
        <w:tc>
          <w:tcPr>
            <w:tcW w:type="dxa" w:w="129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Completion with Distinction, Completion, or Not Yet Completed.</w:t>
            </w:r>
          </w:p>
        </w:tc>
      </w:tr>
      <w:tr>
        <w:trPr>
          <w:cantSplit/>
          <w:cantSplit/>
        </w:trPr>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4"/>
              </w:rPr>
              <w:t>Technical-assessment status</w:t>
            </w:r>
          </w:p>
        </w:tc>
        <w:tc>
          <w:tcPr>
            <w:tcW w:type="dxa" w:w="3096"/>
            <w:vAlign w:val="top"/>
            <w:tcMar>
              <w:top w:w="65" w:type="dxa"/>
              <w:start w:w="80" w:type="dxa"/>
              <w:bottom w:w="65" w:type="dxa"/>
              <w:end w:w="80" w:type="dxa"/>
            </w:tcMar>
          </w:tcPr>
          <w:p>
            <w:pPr>
              <w:pStyle w:val="TableText"/>
              <w:keepLines w:val="0"/>
              <w:widowControl/>
            </w:pPr>
            <w:r>
              <w:rPr>
                <w:rFonts w:ascii="Liberation Serif" w:hAnsi="Liberation Serif"/>
                <w:sz w:val="14"/>
              </w:rPr>
              <w:t>Has the student completed the current approved technical-assessment components and achieved the required result?</w:t>
            </w:r>
          </w:p>
        </w:tc>
        <w:tc>
          <w:tcPr>
            <w:tcW w:type="dxa" w:w="3600"/>
            <w:vAlign w:val="top"/>
            <w:tcMar>
              <w:top w:w="65" w:type="dxa"/>
              <w:start w:w="80" w:type="dxa"/>
              <w:bottom w:w="65" w:type="dxa"/>
              <w:end w:w="80" w:type="dxa"/>
            </w:tcMar>
          </w:tcPr>
          <w:p>
            <w:pPr>
              <w:pStyle w:val="TableText"/>
              <w:keepLines w:val="0"/>
              <w:widowControl/>
            </w:pPr>
            <w:r>
              <w:rPr>
                <w:rFonts w:ascii="Liberation Serif" w:hAnsi="Liberation Serif"/>
                <w:sz w:val="14"/>
              </w:rPr>
              <w:t>Approved written, performance, project, or local components; accommodations; administration records; official result.</w:t>
            </w:r>
          </w:p>
        </w:tc>
        <w:tc>
          <w:tcPr>
            <w:tcW w:type="dxa" w:w="1296"/>
            <w:vAlign w:val="top"/>
            <w:tcMar>
              <w:top w:w="65" w:type="dxa"/>
              <w:start w:w="80" w:type="dxa"/>
              <w:bottom w:w="65" w:type="dxa"/>
              <w:end w:w="80" w:type="dxa"/>
            </w:tcMar>
          </w:tcPr>
          <w:p>
            <w:pPr>
              <w:pStyle w:val="TableText"/>
              <w:keepLines w:val="0"/>
              <w:widowControl/>
            </w:pPr>
            <w:r>
              <w:rPr>
                <w:rFonts w:ascii="Liberation Serif" w:hAnsi="Liberation Serif"/>
                <w:sz w:val="14"/>
              </w:rPr>
              <w:t>Complete / incomplete, result recorded, remediation or retest action as applicable.</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Credential status</w:t>
            </w:r>
          </w:p>
        </w:tc>
        <w:tc>
          <w:tcPr>
            <w:tcW w:type="dxa" w:w="309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Has the student earned an industry-recognized credential such as ServSafe Management?</w:t>
            </w:r>
          </w:p>
        </w:tc>
        <w:tc>
          <w:tcPr>
            <w:tcW w:type="dxa" w:w="36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Approved provider result and credential record.</w:t>
            </w:r>
          </w:p>
        </w:tc>
        <w:tc>
          <w:tcPr>
            <w:tcW w:type="dxa" w:w="129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Credential earned, not yet earned, or not attempted, with follow-up as appropriate.</w:t>
            </w:r>
          </w:p>
        </w:tc>
      </w:tr>
      <w:tr>
        <w:trPr>
          <w:cantSplit/>
          <w:cantSplit/>
        </w:trPr>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4"/>
              </w:rPr>
              <w:t>CTE endorsement / 4+1 recognition</w:t>
            </w:r>
          </w:p>
        </w:tc>
        <w:tc>
          <w:tcPr>
            <w:tcW w:type="dxa" w:w="3096"/>
            <w:vAlign w:val="top"/>
            <w:tcMar>
              <w:top w:w="65" w:type="dxa"/>
              <w:start w:w="80" w:type="dxa"/>
              <w:bottom w:w="65" w:type="dxa"/>
              <w:end w:w="80" w:type="dxa"/>
            </w:tcMar>
          </w:tcPr>
          <w:p>
            <w:pPr>
              <w:pStyle w:val="TableText"/>
              <w:keepLines w:val="0"/>
              <w:widowControl/>
            </w:pPr>
            <w:r>
              <w:rPr>
                <w:rFonts w:ascii="Liberation Serif" w:hAnsi="Liberation Serif"/>
                <w:sz w:val="14"/>
              </w:rPr>
              <w:t>Has the student met all current state and district requirements for the formal outcome?</w:t>
            </w:r>
          </w:p>
        </w:tc>
        <w:tc>
          <w:tcPr>
            <w:tcW w:type="dxa" w:w="3600"/>
            <w:vAlign w:val="top"/>
            <w:tcMar>
              <w:top w:w="65" w:type="dxa"/>
              <w:start w:w="80" w:type="dxa"/>
              <w:bottom w:w="65" w:type="dxa"/>
              <w:end w:w="80" w:type="dxa"/>
            </w:tcMar>
          </w:tcPr>
          <w:p>
            <w:pPr>
              <w:pStyle w:val="TableText"/>
              <w:keepLines w:val="0"/>
              <w:widowControl/>
            </w:pPr>
            <w:r>
              <w:rPr>
                <w:rFonts w:ascii="Liberation Serif" w:hAnsi="Liberation Serif"/>
                <w:sz w:val="14"/>
              </w:rPr>
              <w:t>Current approved pathway, assessment, course, portfolio, credit, and other required records.</w:t>
            </w:r>
          </w:p>
        </w:tc>
        <w:tc>
          <w:tcPr>
            <w:tcW w:type="dxa" w:w="1296"/>
            <w:vAlign w:val="top"/>
            <w:tcMar>
              <w:top w:w="65" w:type="dxa"/>
              <w:start w:w="80" w:type="dxa"/>
              <w:bottom w:w="65" w:type="dxa"/>
              <w:end w:w="80" w:type="dxa"/>
            </w:tcMar>
          </w:tcPr>
          <w:p>
            <w:pPr>
              <w:pStyle w:val="TableText"/>
              <w:keepLines w:val="0"/>
              <w:widowControl/>
            </w:pPr>
            <w:r>
              <w:rPr>
                <w:rFonts w:ascii="Liberation Serif" w:hAnsi="Liberation Serif"/>
                <w:sz w:val="14"/>
              </w:rPr>
              <w:t>Formal recognition recorded through the authorized district process.</w:t>
            </w:r>
          </w:p>
        </w:tc>
      </w:tr>
    </w:tbl>
    <w:p>
      <w:pPr>
        <w:spacing w:after="0"/>
      </w:pPr>
    </w:p>
    <w:p>
      <w:pPr>
        <w:pStyle w:val="Heading3"/>
      </w:pPr>
      <w:r>
        <w:t>YouScience Culinary III</w:t>
      </w:r>
    </w:p>
    <w:p>
      <w:pPr/>
      <w:r>
        <w:rPr>
          <w:i w:val="0"/>
        </w:rPr>
        <w:t>The Culinary Pathway Skills Map uses YouScience Culinary III as the technical-assessment blueprint. Its written domains are weighted across service equipment, sanitation and food safety, culinary mathematics, menu planning, marketing, eggs and dairy, produce, grains and pasta, sustainability, proteins, and bakery production. Its performance expectations include knife cuts, food-safety certification, culinary mathematics, menu creation, representative production tasks, bakery production for quantity, and workplace skills.</w:t>
      </w:r>
    </w:p>
    <w:p>
      <w:pPr>
        <w:pStyle w:val="ListBullet"/>
        <w:spacing w:after="30" w:line="240" w:lineRule="auto"/>
        <w:ind w:left="331" w:hanging="187"/>
      </w:pPr>
      <w:r>
        <w:rPr>
          <w:rFonts w:ascii="Liberation Serif" w:hAnsi="Liberation Serif"/>
          <w:sz w:val="18"/>
        </w:rPr>
        <w:t>Distribute instruction and evidence across all four pathway courses rather than treating the assessment as a short-term test-preparation event.</w:t>
      </w:r>
    </w:p>
    <w:p>
      <w:pPr>
        <w:pStyle w:val="ListBullet"/>
        <w:spacing w:after="30" w:line="240" w:lineRule="auto"/>
        <w:ind w:left="331" w:hanging="187"/>
      </w:pPr>
      <w:r>
        <w:rPr>
          <w:rFonts w:ascii="Liberation Serif" w:hAnsi="Liberation Serif"/>
          <w:sz w:val="18"/>
        </w:rPr>
        <w:t>Use the Skills Map to assign course ownership, unit location, evidence source, and review point for every domain and performance expectation.</w:t>
      </w:r>
    </w:p>
    <w:p>
      <w:pPr>
        <w:pStyle w:val="ListBullet"/>
        <w:spacing w:after="30" w:line="240" w:lineRule="auto"/>
        <w:ind w:left="331" w:hanging="187"/>
      </w:pPr>
      <w:r>
        <w:rPr>
          <w:rFonts w:ascii="Liberation Serif" w:hAnsi="Liberation Serif"/>
          <w:sz w:val="18"/>
        </w:rPr>
        <w:t>Review component results separately so the department can identify knowledge, performance, and curriculum gaps.</w:t>
      </w:r>
    </w:p>
    <w:p>
      <w:pPr>
        <w:pStyle w:val="ListBullet"/>
        <w:spacing w:after="30" w:line="240" w:lineRule="auto"/>
        <w:ind w:left="331" w:hanging="187"/>
      </w:pPr>
      <w:r>
        <w:rPr>
          <w:rFonts w:ascii="Liberation Serif" w:hAnsi="Liberation Serif"/>
          <w:sz w:val="18"/>
        </w:rPr>
        <w:t>Record the official result in the designated technical-assessment and Employability Profile records.</w:t>
      </w:r>
    </w:p>
    <w:p>
      <w:pPr>
        <w:pStyle w:val="ListBullet"/>
        <w:spacing w:after="30" w:line="240" w:lineRule="auto"/>
        <w:ind w:left="331" w:hanging="187"/>
      </w:pPr>
      <w:r>
        <w:rPr>
          <w:rFonts w:ascii="Liberation Serif" w:hAnsi="Liberation Serif"/>
          <w:sz w:val="18"/>
        </w:rPr>
        <w:t>Do not use a single total score to overrule a larger body of current evidence for Gateway readiness unless current approved policy explicitly requires that use.</w:t>
      </w:r>
    </w:p>
    <w:p>
      <w:pPr>
        <w:pStyle w:val="Heading3"/>
      </w:pPr>
      <w:r>
        <w:t>ServSafe Management and Other Credentials</w:t>
      </w:r>
    </w:p>
    <w:p>
      <w:pPr/>
      <w:r>
        <w:rPr>
          <w:i w:val="0"/>
        </w:rPr>
        <w:t>ServSafe Management confirms an industry-recognized level of food-safety knowledge. It strengthens the evidence base for the pathway and may support approved program requirements. It does not replace direct observation of safe behavior, sanitation routines, allergen control, equipment use, or professional judgment.</w:t>
      </w:r>
    </w:p>
    <w:p>
      <w:pPr>
        <w:pStyle w:val="ListBullet"/>
        <w:spacing w:after="30" w:line="240" w:lineRule="auto"/>
        <w:ind w:left="331" w:hanging="187"/>
      </w:pPr>
      <w:r>
        <w:rPr>
          <w:rFonts w:ascii="Liberation Serif" w:hAnsi="Liberation Serif"/>
          <w:sz w:val="18"/>
        </w:rPr>
        <w:t>Provide clear preparation, administration, accommodation, retesting, and result-recording procedures through approved district practice.</w:t>
      </w:r>
    </w:p>
    <w:p>
      <w:pPr>
        <w:pStyle w:val="ListBullet"/>
        <w:spacing w:after="30" w:line="240" w:lineRule="auto"/>
        <w:ind w:left="331" w:hanging="187"/>
      </w:pPr>
      <w:r>
        <w:rPr>
          <w:rFonts w:ascii="Liberation Serif" w:hAnsi="Liberation Serif"/>
          <w:sz w:val="18"/>
        </w:rPr>
        <w:t>Review participation, pass results, retest patterns, access, and support needs in the annual program evaluation.</w:t>
      </w:r>
    </w:p>
    <w:p>
      <w:pPr>
        <w:pStyle w:val="ListBullet"/>
        <w:spacing w:after="30" w:line="240" w:lineRule="auto"/>
        <w:ind w:left="331" w:hanging="187"/>
      </w:pPr>
      <w:r>
        <w:rPr>
          <w:rFonts w:ascii="Liberation Serif" w:hAnsi="Liberation Serif"/>
          <w:sz w:val="18"/>
        </w:rPr>
        <w:t>Record additional approved credentials in the Employability Profile without creating a separate Gateway for each credential.</w:t>
      </w:r>
    </w:p>
    <w:p>
      <w:pPr>
        <w:pStyle w:val="Heading3"/>
      </w:pPr>
      <w:r>
        <w:t>Administration, Accommodations, and Follow-Up</w:t>
      </w:r>
    </w:p>
    <w:p>
      <w:pPr>
        <w:pStyle w:val="ListBullet"/>
        <w:spacing w:after="30" w:line="240" w:lineRule="auto"/>
        <w:ind w:left="331" w:hanging="187"/>
      </w:pPr>
      <w:r>
        <w:rPr>
          <w:rFonts w:ascii="Liberation Serif" w:hAnsi="Liberation Serif"/>
          <w:sz w:val="18"/>
        </w:rPr>
        <w:t>Use the current approved assessment edition, provider procedures, security rules, accommodations, and district administration process.</w:t>
      </w:r>
    </w:p>
    <w:p>
      <w:pPr>
        <w:pStyle w:val="ListBullet"/>
        <w:spacing w:after="30" w:line="240" w:lineRule="auto"/>
        <w:ind w:left="331" w:hanging="187"/>
      </w:pPr>
      <w:r>
        <w:rPr>
          <w:rFonts w:ascii="Liberation Serif" w:hAnsi="Liberation Serif"/>
          <w:sz w:val="18"/>
        </w:rPr>
        <w:t>Communicate the purpose, components, criteria, schedule, permitted supports, and consequences before administration.</w:t>
      </w:r>
    </w:p>
    <w:p>
      <w:pPr>
        <w:pStyle w:val="ListBullet"/>
        <w:spacing w:after="30" w:line="240" w:lineRule="auto"/>
        <w:ind w:left="331" w:hanging="187"/>
      </w:pPr>
      <w:r>
        <w:rPr>
          <w:rFonts w:ascii="Liberation Serif" w:hAnsi="Liberation Serif"/>
          <w:sz w:val="18"/>
        </w:rPr>
        <w:t>Preserve the construct being measured while applying approved accommodations and access supports.</w:t>
      </w:r>
    </w:p>
    <w:p>
      <w:pPr>
        <w:pStyle w:val="ListBullet"/>
        <w:spacing w:after="30" w:line="240" w:lineRule="auto"/>
        <w:ind w:left="331" w:hanging="187"/>
      </w:pPr>
      <w:r>
        <w:rPr>
          <w:rFonts w:ascii="Liberation Serif" w:hAnsi="Liberation Serif"/>
          <w:sz w:val="18"/>
        </w:rPr>
        <w:t>When a requirement is not yet met, identify whether the next action is instruction, remediation, reassessment, retesting, documentation correction, or review of current eligibility rules.</w:t>
      </w:r>
    </w:p>
    <w:p>
      <w:pPr>
        <w:pStyle w:val="ListBullet"/>
        <w:spacing w:after="30" w:line="240" w:lineRule="auto"/>
        <w:ind w:left="331" w:hanging="187"/>
      </w:pPr>
      <w:r>
        <w:rPr>
          <w:rFonts w:ascii="Liberation Serif" w:hAnsi="Liberation Serif"/>
          <w:sz w:val="18"/>
        </w:rPr>
        <w:t>Do not invent a local passing score, retest rule, component substitution, or recognition requirement. Current authorized requirements control.</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Three Decisions, One Transition Point</w:t>
            </w:r>
          </w:p>
          <w:p>
            <w:pPr>
              <w:pStyle w:val="SmallText"/>
              <w:keepLines/>
              <w:widowControl/>
            </w:pPr>
            <w:r>
              <w:rPr>
                <w:rFonts w:ascii="Liberation Serif" w:hAnsi="Liberation Serif"/>
                <w:sz w:val="18"/>
              </w:rPr>
              <w:t>Gateway 5, technical-assessment completion, and CTE endorsement or 4+1 recognition may be reviewed together for efficiency. They remain separate judgments so one record does not silently substitute for another.</w:t>
            </w:r>
          </w:p>
        </w:tc>
      </w:tr>
    </w:tbl>
    <w:p>
      <w:pPr>
        <w:spacing w:after="0"/>
      </w:pPr>
    </w:p>
    <w:p>
      <w:pPr>
        <w:pStyle w:val="Heading2"/>
      </w:pPr>
      <w:r>
        <w:t>Chapter 15: Senior External Work-Based Learning Evaluation</w:t>
      </w:r>
    </w:p>
    <w:p>
      <w:pPr/>
      <w:r>
        <w:rPr>
          <w:i w:val="0"/>
        </w:rPr>
        <w:t>External Work-Based Learning is evaluated through a common standards-based structure across varied approved placements. The credentialed WBL Coordinator is the sole final evaluator. Employer, teacher, and student evidence informs the decision but does not replace coordinator judgment.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3311"/>
            <w:shd w:fill="1F4E79"/>
            <w:vAlign w:val="center"/>
            <w:tcMar>
              <w:top w:w="65" w:type="dxa"/>
              <w:start w:w="80" w:type="dxa"/>
              <w:bottom w:w="65" w:type="dxa"/>
              <w:end w:w="80" w:type="dxa"/>
            </w:tcMar>
          </w:tcPr>
          <w:p>
            <w:pPr>
              <w:pStyle w:val="TableHeader"/>
              <w:keepLines/>
              <w:widowControl/>
            </w:pPr>
            <w:r>
              <w:rPr>
                <w:rFonts w:ascii="Liberation Serif" w:hAnsi="Liberation Serif"/>
              </w:rPr>
              <w:t>Evaluation strand</w:t>
            </w:r>
          </w:p>
        </w:tc>
        <w:tc>
          <w:tcPr>
            <w:tcW w:type="dxa" w:w="936"/>
            <w:shd w:fill="1F4E79"/>
            <w:vAlign w:val="center"/>
            <w:tcMar>
              <w:top w:w="65" w:type="dxa"/>
              <w:start w:w="80" w:type="dxa"/>
              <w:bottom w:w="65" w:type="dxa"/>
              <w:end w:w="80" w:type="dxa"/>
            </w:tcMar>
          </w:tcPr>
          <w:p>
            <w:pPr>
              <w:pStyle w:val="TableHeader"/>
              <w:keepLines/>
              <w:widowControl/>
            </w:pPr>
            <w:r>
              <w:rPr>
                <w:rFonts w:ascii="Liberation Serif" w:hAnsi="Liberation Serif"/>
              </w:rPr>
              <w:t>Weight</w:t>
            </w:r>
          </w:p>
        </w:tc>
        <w:tc>
          <w:tcPr>
            <w:tcW w:type="dxa" w:w="5544"/>
            <w:shd w:fill="1F4E79"/>
            <w:vAlign w:val="center"/>
            <w:tcMar>
              <w:top w:w="65" w:type="dxa"/>
              <w:start w:w="80" w:type="dxa"/>
              <w:bottom w:w="65" w:type="dxa"/>
              <w:end w:w="80" w:type="dxa"/>
            </w:tcMar>
          </w:tcPr>
          <w:p>
            <w:pPr>
              <w:pStyle w:val="TableHeader"/>
              <w:keepLines/>
              <w:widowControl/>
            </w:pPr>
            <w:r>
              <w:rPr>
                <w:rFonts w:ascii="Liberation Serif" w:hAnsi="Liberation Serif"/>
              </w:rPr>
              <w:t>Evidence emphasis</w:t>
            </w:r>
          </w:p>
        </w:tc>
      </w:tr>
      <w:tr>
        <w:trPr>
          <w:cantSplit/>
          <w:cantSplit/>
        </w:trPr>
        <w:tc>
          <w:tcPr>
            <w:tcW w:type="dxa" w:w="331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Portfolio and required assignments</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40%</w:t>
            </w:r>
          </w:p>
        </w:tc>
        <w:tc>
          <w:tcPr>
            <w:tcW w:type="dxa" w:w="55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Quality, completeness, application of prior pathway learning, individualized evidence, and professional presentation.</w:t>
            </w:r>
          </w:p>
        </w:tc>
      </w:tr>
      <w:tr>
        <w:trPr>
          <w:cantSplit/>
          <w:cantSplit/>
        </w:trPr>
        <w:tc>
          <w:tcPr>
            <w:tcW w:type="dxa" w:w="3311"/>
            <w:vAlign w:val="top"/>
            <w:tcMar>
              <w:top w:w="65" w:type="dxa"/>
              <w:start w:w="80" w:type="dxa"/>
              <w:bottom w:w="65" w:type="dxa"/>
              <w:end w:w="80" w:type="dxa"/>
            </w:tcMar>
          </w:tcPr>
          <w:p>
            <w:pPr>
              <w:pStyle w:val="TableText"/>
              <w:keepLines w:val="0"/>
              <w:widowControl/>
            </w:pPr>
            <w:r>
              <w:rPr>
                <w:rFonts w:ascii="Liberation Serif" w:hAnsi="Liberation Serif"/>
                <w:sz w:val="16"/>
              </w:rPr>
              <w:t>Workplace performance and application of pathway competencies</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6"/>
              </w:rPr>
              <w:t>30%</w:t>
            </w:r>
          </w:p>
        </w:tc>
        <w:tc>
          <w:tcPr>
            <w:tcW w:type="dxa" w:w="5544"/>
            <w:vAlign w:val="top"/>
            <w:tcMar>
              <w:top w:w="65" w:type="dxa"/>
              <w:start w:w="80" w:type="dxa"/>
              <w:bottom w:w="65" w:type="dxa"/>
              <w:end w:w="80" w:type="dxa"/>
            </w:tcMar>
          </w:tcPr>
          <w:p>
            <w:pPr>
              <w:pStyle w:val="TableText"/>
              <w:keepLines w:val="0"/>
              <w:widowControl/>
            </w:pPr>
            <w:r>
              <w:rPr>
                <w:rFonts w:ascii="Liberation Serif" w:hAnsi="Liberation Serif"/>
                <w:sz w:val="16"/>
              </w:rPr>
              <w:t>Safety, professionalism, communication, teamwork, organization, problem solving, quality, and increasing responsibility. Employer feedback informs this strand.</w:t>
            </w:r>
          </w:p>
        </w:tc>
      </w:tr>
      <w:tr>
        <w:trPr>
          <w:cantSplit/>
          <w:cantSplit/>
        </w:trPr>
        <w:tc>
          <w:tcPr>
            <w:tcW w:type="dxa" w:w="331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Final presentation or exit interview</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15%</w:t>
            </w:r>
          </w:p>
        </w:tc>
        <w:tc>
          <w:tcPr>
            <w:tcW w:type="dxa" w:w="55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Synthesis of learning, evidence, feedback, career fit, growth, and next steps.</w:t>
            </w:r>
          </w:p>
        </w:tc>
      </w:tr>
      <w:tr>
        <w:trPr>
          <w:cantSplit/>
          <w:cantSplit/>
        </w:trPr>
        <w:tc>
          <w:tcPr>
            <w:tcW w:type="dxa" w:w="3311"/>
            <w:vAlign w:val="top"/>
            <w:tcMar>
              <w:top w:w="65" w:type="dxa"/>
              <w:start w:w="80" w:type="dxa"/>
              <w:bottom w:w="65" w:type="dxa"/>
              <w:end w:w="80" w:type="dxa"/>
            </w:tcMar>
          </w:tcPr>
          <w:p>
            <w:pPr>
              <w:pStyle w:val="TableText"/>
              <w:keepLines w:val="0"/>
              <w:widowControl/>
            </w:pPr>
            <w:r>
              <w:rPr>
                <w:rFonts w:ascii="Liberation Serif" w:hAnsi="Liberation Serif"/>
                <w:sz w:val="16"/>
              </w:rPr>
              <w:t>Training-plan progress and coordinator reviews</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6"/>
              </w:rPr>
              <w:t>10%</w:t>
            </w:r>
          </w:p>
        </w:tc>
        <w:tc>
          <w:tcPr>
            <w:tcW w:type="dxa" w:w="5544"/>
            <w:vAlign w:val="top"/>
            <w:tcMar>
              <w:top w:w="65" w:type="dxa"/>
              <w:start w:w="80" w:type="dxa"/>
              <w:bottom w:w="65" w:type="dxa"/>
              <w:end w:w="80" w:type="dxa"/>
            </w:tcMar>
          </w:tcPr>
          <w:p>
            <w:pPr>
              <w:pStyle w:val="TableText"/>
              <w:keepLines w:val="0"/>
              <w:widowControl/>
            </w:pPr>
            <w:r>
              <w:rPr>
                <w:rFonts w:ascii="Liberation Serif" w:hAnsi="Liberation Serif"/>
                <w:sz w:val="16"/>
              </w:rPr>
              <w:t>Progress toward approved goals, responsiveness to feedback, completion of milestones, and maintained employment expectations.</w:t>
            </w:r>
          </w:p>
        </w:tc>
      </w:tr>
      <w:tr>
        <w:trPr>
          <w:cantSplit/>
          <w:cantSplit/>
        </w:trPr>
        <w:tc>
          <w:tcPr>
            <w:tcW w:type="dxa" w:w="3311"/>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Student self-evaluation</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5%</w:t>
            </w:r>
          </w:p>
        </w:tc>
        <w:tc>
          <w:tcPr>
            <w:tcW w:type="dxa" w:w="55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Evidence-based reflection, honest analysis of strengths and needs, and realistic planning.</w:t>
            </w:r>
          </w:p>
        </w:tc>
      </w:tr>
    </w:tbl>
    <w:p>
      <w:pPr>
        <w:spacing w:after="0"/>
      </w:pPr>
    </w:p>
    <w:p>
      <w:pPr/>
      <w:r>
        <w:rPr>
          <w:i w:val="0"/>
        </w:rPr>
        <w:t>Each strand is scored through the district 1-4 standards-based model. The weighted overall result determines course achievement. A lower noncritical strand may be offset by stronger performance elsewhere when the overall result meets the district standard.</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Coordinator Authority</w:t>
            </w:r>
          </w:p>
          <w:p>
            <w:pPr>
              <w:pStyle w:val="SmallText"/>
              <w:keepLines/>
              <w:widowControl/>
            </w:pPr>
            <w:r>
              <w:rPr>
                <w:rFonts w:ascii="Liberation Serif" w:hAnsi="Liberation Serif"/>
                <w:sz w:val="18"/>
              </w:rPr>
              <w:t>The employer provides important workplace evidence. The student contributes self-evaluation and context. The credentialed WBL Coordinator evaluates the complete body of evidence, assigns the final standards-based result, and determines Gateway 6.</w:t>
            </w:r>
          </w:p>
        </w:tc>
      </w:tr>
    </w:tbl>
    <w:p>
      <w:pPr>
        <w:spacing w:after="0"/>
      </w:pPr>
    </w:p>
    <w:p>
      <w:pPr>
        <w:pStyle w:val="Heading3"/>
      </w:pPr>
      <w:r>
        <w:t>Gateway 6 Completion Thresholds</w:t>
      </w:r>
    </w:p>
    <w:p>
      <w:pPr>
        <w:pStyle w:val="ListBullet"/>
        <w:spacing w:after="30" w:line="240" w:lineRule="auto"/>
        <w:ind w:left="331" w:hanging="187"/>
      </w:pPr>
      <w:r>
        <w:rPr>
          <w:rFonts w:ascii="Liberation Serif" w:hAnsi="Liberation Serif"/>
          <w:sz w:val="18"/>
        </w:rPr>
        <w:t>Gateway 5 / Travel Rights completed before the external course begins.</w:t>
      </w:r>
    </w:p>
    <w:p>
      <w:pPr>
        <w:pStyle w:val="ListBullet"/>
        <w:spacing w:after="30" w:line="240" w:lineRule="auto"/>
        <w:ind w:left="331" w:hanging="187"/>
      </w:pPr>
      <w:r>
        <w:rPr>
          <w:rFonts w:ascii="Liberation Serif" w:hAnsi="Liberation Serif"/>
          <w:sz w:val="18"/>
        </w:rPr>
        <w:t>Approved training station and training plan.</w:t>
      </w:r>
    </w:p>
    <w:p>
      <w:pPr>
        <w:pStyle w:val="ListBullet"/>
        <w:spacing w:after="30" w:line="240" w:lineRule="auto"/>
        <w:ind w:left="331" w:hanging="187"/>
      </w:pPr>
      <w:r>
        <w:rPr>
          <w:rFonts w:ascii="Liberation Serif" w:hAnsi="Liberation Serif"/>
          <w:sz w:val="18"/>
        </w:rPr>
        <w:t>300 verified workplace hours.</w:t>
      </w:r>
    </w:p>
    <w:p>
      <w:pPr>
        <w:pStyle w:val="ListBullet"/>
        <w:spacing w:after="30" w:line="240" w:lineRule="auto"/>
        <w:ind w:left="331" w:hanging="187"/>
      </w:pPr>
      <w:r>
        <w:rPr>
          <w:rFonts w:ascii="Liberation Serif" w:hAnsi="Liberation Serif"/>
          <w:sz w:val="18"/>
        </w:rPr>
        <w:t>Completed portfolio containing all common required assignments and individualized placement evidence.</w:t>
      </w:r>
    </w:p>
    <w:p>
      <w:pPr>
        <w:pStyle w:val="ListBullet"/>
        <w:spacing w:after="30" w:line="240" w:lineRule="auto"/>
        <w:ind w:left="331" w:hanging="187"/>
      </w:pPr>
      <w:r>
        <w:rPr>
          <w:rFonts w:ascii="Liberation Serif" w:hAnsi="Liberation Serif"/>
          <w:sz w:val="18"/>
        </w:rPr>
        <w:t>Employer evaluation.</w:t>
      </w:r>
    </w:p>
    <w:p>
      <w:pPr>
        <w:pStyle w:val="ListBullet"/>
        <w:spacing w:after="30" w:line="240" w:lineRule="auto"/>
        <w:ind w:left="331" w:hanging="187"/>
      </w:pPr>
      <w:r>
        <w:rPr>
          <w:rFonts w:ascii="Liberation Serif" w:hAnsi="Liberation Serif"/>
          <w:sz w:val="18"/>
        </w:rPr>
        <w:t>Coordinator evaluation.</w:t>
      </w:r>
    </w:p>
    <w:p>
      <w:pPr>
        <w:pStyle w:val="ListBullet"/>
        <w:spacing w:after="30" w:line="240" w:lineRule="auto"/>
        <w:ind w:left="331" w:hanging="187"/>
      </w:pPr>
      <w:r>
        <w:rPr>
          <w:rFonts w:ascii="Liberation Serif" w:hAnsi="Liberation Serif"/>
          <w:sz w:val="18"/>
        </w:rPr>
        <w:t>Final presentation or exit interview.</w:t>
      </w:r>
    </w:p>
    <w:p>
      <w:pPr>
        <w:pStyle w:val="ListBullet"/>
        <w:spacing w:after="30" w:line="240" w:lineRule="auto"/>
        <w:ind w:left="331" w:hanging="187"/>
      </w:pPr>
      <w:r>
        <w:rPr>
          <w:rFonts w:ascii="Liberation Serif" w:hAnsi="Liberation Serif"/>
          <w:sz w:val="18"/>
        </w:rPr>
        <w:t>Acceptable safety, integrity, and professional conduct with no unresolved serious program violation.</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Dual-Threshold Completion</w:t>
            </w:r>
          </w:p>
          <w:p>
            <w:pPr>
              <w:pStyle w:val="SmallText"/>
              <w:keepLines/>
              <w:widowControl/>
            </w:pPr>
            <w:r>
              <w:rPr>
                <w:rFonts w:ascii="Liberation Serif" w:hAnsi="Liberation Serif"/>
                <w:sz w:val="18"/>
              </w:rPr>
              <w:t>Hours and evidence are both required. A strong portfolio cannot replace missing workplace hours, and 300 hours cannot replace the completed portfolio and required evaluation evidence.</w:t>
            </w:r>
          </w:p>
        </w:tc>
      </w:tr>
    </w:tbl>
    <w:p>
      <w:pPr>
        <w:spacing w:after="0"/>
      </w:pPr>
    </w:p>
    <w:p>
      <w:pPr>
        <w:pStyle w:val="Heading2"/>
      </w:pPr>
      <w:r>
        <w:t>Chapter 16: Senior Portfolio Common Core</w:t>
      </w:r>
    </w:p>
    <w:p>
      <w:pPr/>
      <w:r>
        <w:rPr>
          <w:i w:val="0"/>
        </w:rPr>
        <w:t>Every student completes the same common assignment sequence. Placement-specific evidence is added through the approved training plan so the portfolio remains consistent without forcing unlike workplaces into one technical model.</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503"/>
            <w:shd w:fill="1F4E79"/>
            <w:vAlign w:val="center"/>
            <w:tcMar>
              <w:top w:w="65" w:type="dxa"/>
              <w:start w:w="80" w:type="dxa"/>
              <w:bottom w:w="65" w:type="dxa"/>
              <w:end w:w="80" w:type="dxa"/>
            </w:tcMar>
          </w:tcPr>
          <w:p>
            <w:pPr>
              <w:pStyle w:val="TableHeader"/>
              <w:keepLines/>
              <w:widowControl/>
            </w:pPr>
            <w:r>
              <w:rPr>
                <w:rFonts w:ascii="Liberation Serif" w:hAnsi="Liberation Serif"/>
              </w:rPr>
              <w:t>#</w:t>
            </w:r>
          </w:p>
        </w:tc>
        <w:tc>
          <w:tcPr>
            <w:tcW w:type="dxa" w:w="3888"/>
            <w:shd w:fill="1F4E79"/>
            <w:vAlign w:val="center"/>
            <w:tcMar>
              <w:top w:w="65" w:type="dxa"/>
              <w:start w:w="80" w:type="dxa"/>
              <w:bottom w:w="65" w:type="dxa"/>
              <w:end w:w="80" w:type="dxa"/>
            </w:tcMar>
          </w:tcPr>
          <w:p>
            <w:pPr>
              <w:pStyle w:val="TableHeader"/>
              <w:keepLines/>
              <w:widowControl/>
            </w:pPr>
            <w:r>
              <w:rPr>
                <w:rFonts w:ascii="Liberation Serif" w:hAnsi="Liberation Serif"/>
              </w:rPr>
              <w:t>Common assignment</w:t>
            </w:r>
          </w:p>
        </w:tc>
        <w:tc>
          <w:tcPr>
            <w:tcW w:type="dxa" w:w="5400"/>
            <w:shd w:fill="1F4E79"/>
            <w:vAlign w:val="center"/>
            <w:tcMar>
              <w:top w:w="65" w:type="dxa"/>
              <w:start w:w="80" w:type="dxa"/>
              <w:bottom w:w="65" w:type="dxa"/>
              <w:end w:w="80" w:type="dxa"/>
            </w:tcMar>
          </w:tcPr>
          <w:p>
            <w:pPr>
              <w:pStyle w:val="TableHeader"/>
              <w:keepLines/>
              <w:widowControl/>
            </w:pPr>
            <w:r>
              <w:rPr>
                <w:rFonts w:ascii="Liberation Serif" w:hAnsi="Liberation Serif"/>
              </w:rPr>
              <w:t>Assessment purpose</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Placement and workplace orientation</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Documents the setting, expectations, schedule, communication, and approved responsibilities.</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2</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Workplace safety and professional-expectations analysis</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Connects site-specific rules to pathway safety and professional standards.</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3</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Organizational chart and workplace roles</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Explains reporting relationships, departments, and how work is coordinated.</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4</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Personal duties and training-plan goals</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Defines assigned work, intended learning, and evidence of progress.</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5</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Communication and teamwork reflection</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Analyzes interaction with supervisors, coworkers, customers, and others.</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6</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Customer, guest, client, or stakeholder service analysis</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Examines how the organization identifies and meets the needs of those it serves.</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7</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Workplace problem-solving case</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Documents a real challenge, options considered, action taken, and result.</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8</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Quality-control or performance-standard analysis</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Identifies how quality is defined, checked, corrected, and maintained.</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9</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Supervisor or mentor interview</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Connects workplace expectations, career knowledge, and professional advice.</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10</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Midyear self-evaluation and goal revision</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Uses evidence to assess progress and revise priorities.</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11</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Evidence of increasing responsibility</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Shows how duties, independence, judgment, or contribution developed.</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12</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Updated resume and professional portfolio</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Converts learning into employment and postsecondary materials.</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13</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Final career-fit reflection</w:t>
            </w:r>
          </w:p>
        </w:tc>
        <w:tc>
          <w:tcPr>
            <w:tcW w:type="dxa" w:w="540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Evaluates the field, role, work environment, strengths, needs, and next step.</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5"/>
              </w:rPr>
              <w:t>14</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5"/>
              </w:rPr>
              <w:t>Final presentation or exit interview</w:t>
            </w:r>
          </w:p>
        </w:tc>
        <w:tc>
          <w:tcPr>
            <w:tcW w:type="dxa" w:w="5400"/>
            <w:vAlign w:val="top"/>
            <w:tcMar>
              <w:top w:w="65" w:type="dxa"/>
              <w:start w:w="80" w:type="dxa"/>
              <w:bottom w:w="65" w:type="dxa"/>
              <w:end w:w="80" w:type="dxa"/>
            </w:tcMar>
          </w:tcPr>
          <w:p>
            <w:pPr>
              <w:pStyle w:val="TableText"/>
              <w:keepLines w:val="0"/>
              <w:widowControl/>
            </w:pPr>
            <w:r>
              <w:rPr>
                <w:rFonts w:ascii="Liberation Serif" w:hAnsi="Liberation Serif"/>
                <w:sz w:val="15"/>
              </w:rPr>
              <w:t>Synthesizes hours, evidence, feedback, growth, and transition planning.</w:t>
            </w:r>
          </w:p>
        </w:tc>
      </w:tr>
    </w:tbl>
    <w:p>
      <w:pPr>
        <w:spacing w:after="0"/>
      </w:pPr>
    </w:p>
    <w:p>
      <w:pPr>
        <w:pStyle w:val="ListBullet"/>
        <w:spacing w:after="30" w:line="240" w:lineRule="auto"/>
        <w:ind w:left="331" w:hanging="187"/>
      </w:pPr>
      <w:r>
        <w:rPr>
          <w:rFonts w:ascii="Liberation Serif" w:hAnsi="Liberation Serif"/>
          <w:sz w:val="18"/>
        </w:rPr>
        <w:t>Assignments are spaced across the course so evidence develops from the experience rather than being reconstructed at the end.</w:t>
      </w:r>
    </w:p>
    <w:p>
      <w:pPr>
        <w:pStyle w:val="ListBullet"/>
        <w:spacing w:after="30" w:line="240" w:lineRule="auto"/>
        <w:ind w:left="331" w:hanging="187"/>
      </w:pPr>
      <w:r>
        <w:rPr>
          <w:rFonts w:ascii="Liberation Serif" w:hAnsi="Liberation Serif"/>
          <w:sz w:val="18"/>
        </w:rPr>
        <w:t>Students add placement-specific artifacts, products, projects, photographs when permitted, supervisor feedback, or other approved evidence.</w:t>
      </w:r>
    </w:p>
    <w:p>
      <w:pPr>
        <w:pStyle w:val="ListBullet"/>
        <w:spacing w:after="30" w:line="240" w:lineRule="auto"/>
        <w:ind w:left="331" w:hanging="187"/>
      </w:pPr>
      <w:r>
        <w:rPr>
          <w:rFonts w:ascii="Liberation Serif" w:hAnsi="Liberation Serif"/>
          <w:sz w:val="18"/>
        </w:rPr>
        <w:t>Portfolio quality is judged by relevance, authenticity, accuracy, analysis, professional presentation, and connection to pathway competencies.</w:t>
      </w:r>
    </w:p>
    <w:p>
      <w:pPr>
        <w:pStyle w:val="ListBullet"/>
        <w:spacing w:after="30" w:line="240" w:lineRule="auto"/>
        <w:ind w:left="331" w:hanging="187"/>
      </w:pPr>
      <w:r>
        <w:rPr>
          <w:rFonts w:ascii="Liberation Serif" w:hAnsi="Liberation Serif"/>
          <w:sz w:val="18"/>
        </w:rPr>
        <w:t>Length alone does not improve a score. Repetitive logs and paperwork created only to prove contact are not required evidence.</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Every Day Is a School Day</w:t>
            </w:r>
          </w:p>
          <w:p>
            <w:pPr>
              <w:pStyle w:val="SmallText"/>
              <w:keepLines/>
              <w:widowControl/>
            </w:pPr>
            <w:r>
              <w:rPr>
                <w:rFonts w:ascii="Liberation Serif" w:hAnsi="Liberation Serif"/>
                <w:sz w:val="18"/>
              </w:rPr>
              <w:t>The portfolio captures learning from ordinary shifts, changing responsibilities, feedback, mistakes, problem solving, and professional interaction - not only from special projects.</w:t>
            </w:r>
          </w:p>
        </w:tc>
      </w:tr>
    </w:tbl>
    <w:p>
      <w:pPr>
        <w:spacing w:after="0"/>
      </w:pPr>
    </w:p>
    <w:p>
      <w:r>
        <w:br w:type="page"/>
      </w:r>
    </w:p>
    <w:p>
      <w:pPr>
        <w:pStyle w:val="PartLabel"/>
      </w:pPr>
      <w:r>
        <w:t>PART IV</w:t>
      </w:r>
    </w:p>
    <w:p>
      <w:pPr>
        <w:pStyle w:val="PartTitle"/>
      </w:pPr>
      <w:r>
        <w:t>Assessment Practice and Student Support</w:t>
      </w:r>
    </w:p>
    <w:p>
      <w:pPr>
        <w:pStyle w:val="PartIntro"/>
      </w:pPr>
      <w:r>
        <w:t>Use the right method, make expectations visible, provide useful feedback, preserve fairness, and protect critical standards.</w:t>
      </w:r>
    </w:p>
    <w:p>
      <w:pPr>
        <w:pStyle w:val="Heading2"/>
      </w:pPr>
      <w:r>
        <w:t>Chapter 17: Assessment Methods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592"/>
            <w:shd w:fill="1F4E79"/>
            <w:vAlign w:val="center"/>
            <w:tcMar>
              <w:top w:w="65" w:type="dxa"/>
              <w:start w:w="80" w:type="dxa"/>
              <w:bottom w:w="65" w:type="dxa"/>
              <w:end w:w="80" w:type="dxa"/>
            </w:tcMar>
          </w:tcPr>
          <w:p>
            <w:pPr>
              <w:pStyle w:val="TableHeader"/>
              <w:keepLines/>
              <w:widowControl/>
            </w:pPr>
            <w:r>
              <w:rPr>
                <w:rFonts w:ascii="Liberation Serif" w:hAnsi="Liberation Serif"/>
              </w:rPr>
              <w:t>Method</w:t>
            </w:r>
          </w:p>
        </w:tc>
        <w:tc>
          <w:tcPr>
            <w:tcW w:type="dxa" w:w="3960"/>
            <w:shd w:fill="1F4E79"/>
            <w:vAlign w:val="center"/>
            <w:tcMar>
              <w:top w:w="65" w:type="dxa"/>
              <w:start w:w="80" w:type="dxa"/>
              <w:bottom w:w="65" w:type="dxa"/>
              <w:end w:w="80" w:type="dxa"/>
            </w:tcMar>
          </w:tcPr>
          <w:p>
            <w:pPr>
              <w:pStyle w:val="TableHeader"/>
              <w:keepLines/>
              <w:widowControl/>
            </w:pPr>
            <w:r>
              <w:rPr>
                <w:rFonts w:ascii="Liberation Serif" w:hAnsi="Liberation Serif"/>
              </w:rPr>
              <w:t>Best use</w:t>
            </w:r>
          </w:p>
        </w:tc>
        <w:tc>
          <w:tcPr>
            <w:tcW w:type="dxa" w:w="3240"/>
            <w:shd w:fill="1F4E79"/>
            <w:vAlign w:val="center"/>
            <w:tcMar>
              <w:top w:w="65" w:type="dxa"/>
              <w:start w:w="80" w:type="dxa"/>
              <w:bottom w:w="65" w:type="dxa"/>
              <w:end w:w="80" w:type="dxa"/>
            </w:tcMar>
          </w:tcPr>
          <w:p>
            <w:pPr>
              <w:pStyle w:val="TableHeader"/>
              <w:keepLines/>
              <w:widowControl/>
            </w:pPr>
            <w:r>
              <w:rPr>
                <w:rFonts w:ascii="Liberation Serif" w:hAnsi="Liberation Serif"/>
              </w:rPr>
              <w:t>Limitation to control</w:t>
            </w:r>
          </w:p>
        </w:tc>
      </w:tr>
      <w:tr>
        <w:trPr>
          <w:cantSplit/>
          <w:cantSplit/>
        </w:trPr>
        <w:tc>
          <w:tcPr>
            <w:tcW w:type="dxa" w:w="259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Knowledge checks and written assessments</w:t>
            </w:r>
          </w:p>
        </w:tc>
        <w:tc>
          <w:tcPr>
            <w:tcW w:type="dxa" w:w="396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Food safety, terminology, calculations, planning, rules, concepts, and scenario reasoning.</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Cannot independently prove safe technical performance or professional conduct.</w:t>
            </w:r>
          </w:p>
        </w:tc>
      </w:tr>
      <w:tr>
        <w:trPr>
          <w:cantSplit/>
          <w:cantSplit/>
        </w:trPr>
        <w:tc>
          <w:tcPr>
            <w:tcW w:type="dxa" w:w="2592"/>
            <w:vAlign w:val="top"/>
            <w:tcMar>
              <w:top w:w="65" w:type="dxa"/>
              <w:start w:w="80" w:type="dxa"/>
              <w:bottom w:w="65" w:type="dxa"/>
              <w:end w:w="80" w:type="dxa"/>
            </w:tcMar>
          </w:tcPr>
          <w:p>
            <w:pPr>
              <w:pStyle w:val="TableText"/>
              <w:keepLines w:val="0"/>
              <w:widowControl/>
            </w:pPr>
            <w:r>
              <w:rPr>
                <w:rFonts w:ascii="Liberation Serif" w:hAnsi="Liberation Serif"/>
                <w:sz w:val="15"/>
              </w:rPr>
              <w:t>Performance tasks and practicals</w:t>
            </w:r>
          </w:p>
        </w:tc>
        <w:tc>
          <w:tcPr>
            <w:tcW w:type="dxa" w:w="3960"/>
            <w:vAlign w:val="top"/>
            <w:tcMar>
              <w:top w:w="65" w:type="dxa"/>
              <w:start w:w="80" w:type="dxa"/>
              <w:bottom w:w="65" w:type="dxa"/>
              <w:end w:w="80" w:type="dxa"/>
            </w:tcMar>
          </w:tcPr>
          <w:p>
            <w:pPr>
              <w:pStyle w:val="TableText"/>
              <w:keepLines w:val="0"/>
              <w:widowControl/>
            </w:pPr>
            <w:r>
              <w:rPr>
                <w:rFonts w:ascii="Liberation Serif" w:hAnsi="Liberation Serif"/>
                <w:sz w:val="15"/>
              </w:rPr>
              <w:t>Technical execution, process, equipment use, product, station work, and complex application.</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Must define observable criteria and allow the evaluator to see critical performance.</w:t>
            </w:r>
          </w:p>
        </w:tc>
      </w:tr>
      <w:tr>
        <w:trPr>
          <w:cantSplit/>
          <w:cantSplit/>
        </w:trPr>
        <w:tc>
          <w:tcPr>
            <w:tcW w:type="dxa" w:w="259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Repeated observation</w:t>
            </w:r>
          </w:p>
        </w:tc>
        <w:tc>
          <w:tcPr>
            <w:tcW w:type="dxa" w:w="396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Professional habits, teamwork, communication, organization, response to feedback, and consistency.</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One isolated observation should not define a longitudinal judgment unless immediate safety requires action.</w:t>
            </w:r>
          </w:p>
        </w:tc>
      </w:tr>
      <w:tr>
        <w:trPr>
          <w:cantSplit/>
          <w:cantSplit/>
        </w:trPr>
        <w:tc>
          <w:tcPr>
            <w:tcW w:type="dxa" w:w="2592"/>
            <w:vAlign w:val="top"/>
            <w:tcMar>
              <w:top w:w="65" w:type="dxa"/>
              <w:start w:w="80" w:type="dxa"/>
              <w:bottom w:w="65" w:type="dxa"/>
              <w:end w:w="80" w:type="dxa"/>
            </w:tcMar>
          </w:tcPr>
          <w:p>
            <w:pPr>
              <w:pStyle w:val="TableText"/>
              <w:keepLines w:val="0"/>
              <w:widowControl/>
            </w:pPr>
            <w:r>
              <w:rPr>
                <w:rFonts w:ascii="Liberation Serif" w:hAnsi="Liberation Serif"/>
                <w:sz w:val="15"/>
              </w:rPr>
              <w:t>Authentic client or workplace evidence</w:t>
            </w:r>
          </w:p>
        </w:tc>
        <w:tc>
          <w:tcPr>
            <w:tcW w:type="dxa" w:w="3960"/>
            <w:vAlign w:val="top"/>
            <w:tcMar>
              <w:top w:w="65" w:type="dxa"/>
              <w:start w:w="80" w:type="dxa"/>
              <w:bottom w:w="65" w:type="dxa"/>
              <w:end w:w="80" w:type="dxa"/>
            </w:tcMar>
          </w:tcPr>
          <w:p>
            <w:pPr>
              <w:pStyle w:val="TableText"/>
              <w:keepLines w:val="0"/>
              <w:widowControl/>
            </w:pPr>
            <w:r>
              <w:rPr>
                <w:rFonts w:ascii="Liberation Serif" w:hAnsi="Liberation Serif"/>
                <w:sz w:val="15"/>
              </w:rPr>
              <w:t>Transfer, judgment, service, quality, leadership, and performance under real consequences.</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Success of the event or business does not automatically prove individual learning.</w:t>
            </w:r>
          </w:p>
        </w:tc>
      </w:tr>
      <w:tr>
        <w:trPr>
          <w:cantSplit/>
          <w:cantSplit/>
        </w:trPr>
        <w:tc>
          <w:tcPr>
            <w:tcW w:type="dxa" w:w="259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Portfolio and reflection</w:t>
            </w:r>
          </w:p>
        </w:tc>
        <w:tc>
          <w:tcPr>
            <w:tcW w:type="dxa" w:w="396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Growth over time, evidence selection, analysis, professional identity, and transition.</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Length, decoration, or disclosure does not substitute for relevant evidence and analysis.</w:t>
            </w:r>
          </w:p>
        </w:tc>
      </w:tr>
      <w:tr>
        <w:trPr>
          <w:cantSplit/>
          <w:cantSplit/>
        </w:trPr>
        <w:tc>
          <w:tcPr>
            <w:tcW w:type="dxa" w:w="2592"/>
            <w:vAlign w:val="top"/>
            <w:tcMar>
              <w:top w:w="65" w:type="dxa"/>
              <w:start w:w="80" w:type="dxa"/>
              <w:bottom w:w="65" w:type="dxa"/>
              <w:end w:w="80" w:type="dxa"/>
            </w:tcMar>
          </w:tcPr>
          <w:p>
            <w:pPr>
              <w:pStyle w:val="TableText"/>
              <w:keepLines w:val="0"/>
              <w:widowControl/>
            </w:pPr>
            <w:r>
              <w:rPr>
                <w:rFonts w:ascii="Liberation Serif" w:hAnsi="Liberation Serif"/>
                <w:sz w:val="15"/>
              </w:rPr>
              <w:t>YouScience Culinary III technical assessment</w:t>
            </w:r>
          </w:p>
        </w:tc>
        <w:tc>
          <w:tcPr>
            <w:tcW w:type="dxa" w:w="3960"/>
            <w:vAlign w:val="top"/>
            <w:tcMar>
              <w:top w:w="65" w:type="dxa"/>
              <w:start w:w="80" w:type="dxa"/>
              <w:bottom w:w="65" w:type="dxa"/>
              <w:end w:w="80" w:type="dxa"/>
            </w:tcMar>
          </w:tcPr>
          <w:p>
            <w:pPr>
              <w:pStyle w:val="TableText"/>
              <w:keepLines w:val="0"/>
              <w:widowControl/>
            </w:pPr>
            <w:r>
              <w:rPr>
                <w:rFonts w:ascii="Liberation Serif" w:hAnsi="Liberation Serif"/>
                <w:sz w:val="15"/>
              </w:rPr>
              <w:t>Common pathway-level evidence across defined weighted knowledge and performance standards.</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A total score does not independently establish safe daily performance, leadership, or Gateway completion.</w:t>
            </w:r>
          </w:p>
        </w:tc>
      </w:tr>
      <w:tr>
        <w:trPr>
          <w:cantSplit/>
          <w:cantSplit/>
        </w:trPr>
        <w:tc>
          <w:tcPr>
            <w:tcW w:type="dxa" w:w="2592"/>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ServSafe Management and other credentials</w:t>
            </w:r>
          </w:p>
        </w:tc>
        <w:tc>
          <w:tcPr>
            <w:tcW w:type="dxa" w:w="396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Industry-recognized evidence tied to defined knowledge or skill standards.</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 credential supports but does not automatically determine a Gateway.</w:t>
            </w:r>
          </w:p>
        </w:tc>
      </w:tr>
      <w:tr>
        <w:trPr>
          <w:cantSplit/>
          <w:cantSplit/>
        </w:trPr>
        <w:tc>
          <w:tcPr>
            <w:tcW w:type="dxa" w:w="2592"/>
            <w:vAlign w:val="top"/>
            <w:tcMar>
              <w:top w:w="65" w:type="dxa"/>
              <w:start w:w="80" w:type="dxa"/>
              <w:bottom w:w="65" w:type="dxa"/>
              <w:end w:w="80" w:type="dxa"/>
            </w:tcMar>
          </w:tcPr>
          <w:p>
            <w:pPr>
              <w:pStyle w:val="TableText"/>
              <w:keepLines w:val="0"/>
              <w:widowControl/>
            </w:pPr>
            <w:r>
              <w:rPr>
                <w:rFonts w:ascii="Liberation Serif" w:hAnsi="Liberation Serif"/>
                <w:sz w:val="15"/>
              </w:rPr>
              <w:t>Employability Profile</w:t>
            </w:r>
          </w:p>
        </w:tc>
        <w:tc>
          <w:tcPr>
            <w:tcW w:type="dxa" w:w="3960"/>
            <w:vAlign w:val="top"/>
            <w:tcMar>
              <w:top w:w="65" w:type="dxa"/>
              <w:start w:w="80" w:type="dxa"/>
              <w:bottom w:w="65" w:type="dxa"/>
              <w:end w:w="80" w:type="dxa"/>
            </w:tcMar>
          </w:tcPr>
          <w:p>
            <w:pPr>
              <w:pStyle w:val="TableText"/>
              <w:keepLines w:val="0"/>
              <w:widowControl/>
            </w:pPr>
            <w:r>
              <w:rPr>
                <w:rFonts w:ascii="Liberation Serif" w:hAnsi="Liberation Serif"/>
                <w:sz w:val="15"/>
              </w:rPr>
              <w:t>Longitudinal technical and work-related performance across courses, authentic events, and WBL.</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Ratings require observable evidence and should not become personality judgments.</w:t>
            </w:r>
          </w:p>
        </w:tc>
      </w:tr>
    </w:tbl>
    <w:p>
      <w:pPr>
        <w:spacing w:after="0"/>
      </w:pPr>
    </w:p>
    <w:p>
      <w:pPr>
        <w:pStyle w:val="Heading2"/>
      </w:pPr>
      <w:r>
        <w:t>Chapter 18: Feedback, Reflection, and Self-Evaluation</w:t>
      </w:r>
    </w:p>
    <w:p>
      <w:pPr>
        <w:pStyle w:val="ListBullet"/>
        <w:spacing w:after="30" w:line="240" w:lineRule="auto"/>
        <w:ind w:left="331" w:hanging="187"/>
      </w:pPr>
      <w:r>
        <w:rPr>
          <w:rFonts w:ascii="Liberation Serif" w:hAnsi="Liberation Serif"/>
          <w:sz w:val="18"/>
        </w:rPr>
        <w:t>Make feedback specific enough to change the next performance.</w:t>
      </w:r>
    </w:p>
    <w:p>
      <w:pPr>
        <w:pStyle w:val="ListBullet"/>
        <w:spacing w:after="30" w:line="240" w:lineRule="auto"/>
        <w:ind w:left="331" w:hanging="187"/>
      </w:pPr>
      <w:r>
        <w:rPr>
          <w:rFonts w:ascii="Liberation Serif" w:hAnsi="Liberation Serif"/>
          <w:sz w:val="18"/>
        </w:rPr>
        <w:t>Discuss concerns while improvement is still possible, not only at the end.</w:t>
      </w:r>
    </w:p>
    <w:p>
      <w:pPr>
        <w:pStyle w:val="ListBullet"/>
        <w:spacing w:after="30" w:line="240" w:lineRule="auto"/>
        <w:ind w:left="331" w:hanging="187"/>
      </w:pPr>
      <w:r>
        <w:rPr>
          <w:rFonts w:ascii="Liberation Serif" w:hAnsi="Liberation Serif"/>
          <w:sz w:val="18"/>
        </w:rPr>
        <w:t>State what met the standard, what did not, and what evidence will demonstrate improvement.</w:t>
      </w:r>
    </w:p>
    <w:p>
      <w:pPr>
        <w:pStyle w:val="ListBullet"/>
        <w:spacing w:after="30" w:line="240" w:lineRule="auto"/>
        <w:ind w:left="331" w:hanging="187"/>
      </w:pPr>
      <w:r>
        <w:rPr>
          <w:rFonts w:ascii="Liberation Serif" w:hAnsi="Liberation Serif"/>
          <w:sz w:val="18"/>
        </w:rPr>
        <w:t>Use reflection to analyze evidence, decisions, feedback, growth, and next action - not to reward length or personal disclosure.</w:t>
      </w:r>
    </w:p>
    <w:p>
      <w:pPr>
        <w:pStyle w:val="ListBullet"/>
        <w:spacing w:after="30" w:line="240" w:lineRule="auto"/>
        <w:ind w:left="331" w:hanging="187"/>
      </w:pPr>
      <w:r>
        <w:rPr>
          <w:rFonts w:ascii="Liberation Serif" w:hAnsi="Liberation Serif"/>
          <w:sz w:val="18"/>
        </w:rPr>
        <w:t>Treat student satisfaction as one perspective, not as proof of mastery or program quality.</w:t>
      </w:r>
    </w:p>
    <w:p>
      <w:pPr>
        <w:pStyle w:val="ListBullet"/>
        <w:spacing w:after="30" w:line="240" w:lineRule="auto"/>
        <w:ind w:left="331" w:hanging="187"/>
      </w:pPr>
      <w:r>
        <w:rPr>
          <w:rFonts w:ascii="Liberation Serif" w:hAnsi="Liberation Serif"/>
          <w:sz w:val="18"/>
        </w:rPr>
        <w:t>Use self-evaluation as evidence of professional awareness; do not weight it above teacher, coordinator, technical-assessment, or workplace evidence.</w:t>
      </w:r>
    </w:p>
    <w:p>
      <w:pPr>
        <w:pStyle w:val="ListBullet"/>
        <w:spacing w:after="30" w:line="240" w:lineRule="auto"/>
        <w:ind w:left="331" w:hanging="187"/>
      </w:pPr>
      <w:r>
        <w:rPr>
          <w:rFonts w:ascii="Liberation Serif" w:hAnsi="Liberation Serif"/>
          <w:sz w:val="18"/>
        </w:rPr>
        <w:t>When external-assessment results differ from classroom evidence, investigate alignment, instruction, assessment conditions, item or task interpretation, accommodations, and evidence quality before drawing conclusions.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4896"/>
            <w:shd w:fill="1C7C83"/>
            <w:vAlign w:val="center"/>
            <w:tcMar>
              <w:top w:w="65" w:type="dxa"/>
              <w:start w:w="80" w:type="dxa"/>
              <w:bottom w:w="65" w:type="dxa"/>
              <w:end w:w="80" w:type="dxa"/>
            </w:tcMar>
          </w:tcPr>
          <w:p>
            <w:pPr>
              <w:pStyle w:val="TableHeader"/>
              <w:keepLines/>
              <w:widowControl/>
            </w:pPr>
            <w:r>
              <w:rPr>
                <w:rFonts w:ascii="Liberation Serif" w:hAnsi="Liberation Serif"/>
              </w:rPr>
              <w:t>Provide Clear Direction</w:t>
            </w:r>
          </w:p>
        </w:tc>
        <w:tc>
          <w:tcPr>
            <w:tcW w:type="dxa" w:w="4896"/>
            <w:shd w:fill="1C7C83"/>
            <w:vAlign w:val="center"/>
            <w:tcMar>
              <w:top w:w="65" w:type="dxa"/>
              <w:start w:w="80" w:type="dxa"/>
              <w:bottom w:w="65" w:type="dxa"/>
              <w:end w:w="80" w:type="dxa"/>
            </w:tcMar>
          </w:tcPr>
          <w:p>
            <w:pPr>
              <w:pStyle w:val="TableHeader"/>
              <w:keepLines/>
              <w:widowControl/>
            </w:pPr>
            <w:r>
              <w:rPr>
                <w:rFonts w:ascii="Liberation Serif" w:hAnsi="Liberation Serif"/>
              </w:rPr>
              <w:t>Inspect What You Expect</w:t>
            </w:r>
          </w:p>
        </w:tc>
      </w:tr>
      <w:tr>
        <w:trPr>
          <w:cantSplit/>
          <w:cantSplit/>
        </w:trPr>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Feedback names the standard, current evidence, and next action.</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7"/>
              </w:rPr>
              <w:t>Follow-up determines whether feedback, remediation, or credential preparation changed performance.</w:t>
            </w:r>
          </w:p>
        </w:tc>
      </w:tr>
    </w:tbl>
    <w:p>
      <w:pPr>
        <w:spacing w:after="0"/>
      </w:pPr>
    </w:p>
    <w:p>
      <w:pPr>
        <w:pStyle w:val="Heading2"/>
      </w:pPr>
      <w:r>
        <w:t>Chapter 19: Fairness, Accommodations, and Safety-Critical Standards</w:t>
      </w:r>
    </w:p>
    <w:p>
      <w:pPr/>
      <w:r>
        <w:rPr>
          <w:i w:val="0"/>
        </w:rPr>
        <w:t>Fair assessment removes irrelevant barriers while preserving the competency being measured. Approved accommodations, assistive technology, alternative access to directions, additional practice, structured feedback, adapted scheduling, or environmental support may be appropriate when they do not change the essential safety, technical, professional, credential, or workplace standard.</w:t>
      </w:r>
    </w:p>
    <w:p>
      <w:pPr>
        <w:pStyle w:val="ListBullet"/>
        <w:spacing w:after="30" w:line="240" w:lineRule="auto"/>
        <w:ind w:left="331" w:hanging="187"/>
      </w:pPr>
      <w:r>
        <w:rPr>
          <w:rFonts w:ascii="Liberation Serif" w:hAnsi="Liberation Serif"/>
          <w:sz w:val="18"/>
        </w:rPr>
        <w:t>Identify what the assessment is intended to measure before selecting support.</w:t>
      </w:r>
    </w:p>
    <w:p>
      <w:pPr>
        <w:pStyle w:val="ListBullet"/>
        <w:spacing w:after="30" w:line="240" w:lineRule="auto"/>
        <w:ind w:left="331" w:hanging="187"/>
      </w:pPr>
      <w:r>
        <w:rPr>
          <w:rFonts w:ascii="Liberation Serif" w:hAnsi="Liberation Serif"/>
          <w:sz w:val="18"/>
        </w:rPr>
        <w:t>Use approved student-support plans and consult authorized staff.</w:t>
      </w:r>
    </w:p>
    <w:p>
      <w:pPr>
        <w:pStyle w:val="ListBullet"/>
        <w:spacing w:after="30" w:line="240" w:lineRule="auto"/>
        <w:ind w:left="331" w:hanging="187"/>
      </w:pPr>
      <w:r>
        <w:rPr>
          <w:rFonts w:ascii="Liberation Serif" w:hAnsi="Liberation Serif"/>
          <w:sz w:val="18"/>
        </w:rPr>
        <w:t>Change access, instruction, practice, representation, scheduling, or environment when appropriate; do not lower an essential safety standard.</w:t>
      </w:r>
    </w:p>
    <w:p>
      <w:pPr>
        <w:pStyle w:val="ListBullet"/>
        <w:spacing w:after="30" w:line="240" w:lineRule="auto"/>
        <w:ind w:left="331" w:hanging="187"/>
      </w:pPr>
      <w:r>
        <w:rPr>
          <w:rFonts w:ascii="Liberation Serif" w:hAnsi="Liberation Serif"/>
          <w:sz w:val="18"/>
        </w:rPr>
        <w:t>Apply the current approved accommodation process for YouScience, ServSafe, and other external assessments.</w:t>
      </w:r>
    </w:p>
    <w:p>
      <w:pPr>
        <w:pStyle w:val="ListBullet"/>
        <w:spacing w:after="30" w:line="240" w:lineRule="auto"/>
        <w:ind w:left="331" w:hanging="187"/>
      </w:pPr>
      <w:r>
        <w:rPr>
          <w:rFonts w:ascii="Liberation Serif" w:hAnsi="Liberation Serif"/>
          <w:sz w:val="18"/>
        </w:rPr>
        <w:t>Document support that materially affects interpretation of evidence.</w:t>
      </w:r>
    </w:p>
    <w:p>
      <w:pPr>
        <w:pStyle w:val="ListBullet"/>
        <w:spacing w:after="30" w:line="240" w:lineRule="auto"/>
        <w:ind w:left="331" w:hanging="187"/>
      </w:pPr>
      <w:r>
        <w:rPr>
          <w:rFonts w:ascii="Liberation Serif" w:hAnsi="Liberation Serif"/>
          <w:sz w:val="18"/>
        </w:rPr>
        <w:t>Provide meaningful alternatives when an external setting cannot reasonably meet a student need while preserving pathway learning and competency expectations.</w:t>
      </w:r>
    </w:p>
    <w:p>
      <w:pPr>
        <w:pStyle w:val="ListBullet"/>
        <w:spacing w:after="30" w:line="240" w:lineRule="auto"/>
        <w:ind w:left="331" w:hanging="187"/>
      </w:pPr>
      <w:r>
        <w:rPr>
          <w:rFonts w:ascii="Liberation Serif" w:hAnsi="Liberation Serif"/>
          <w:sz w:val="18"/>
        </w:rPr>
        <w:t>Assess observable work-related behavior rather than personality, popularity, cultural style, disability-related characteristics, or adult preference unrelated to the standard.</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Safety Decision Rule</w:t>
            </w:r>
          </w:p>
          <w:p>
            <w:pPr>
              <w:pStyle w:val="SmallText"/>
              <w:keepLines/>
              <w:widowControl/>
            </w:pPr>
            <w:r>
              <w:rPr>
                <w:rFonts w:ascii="Liberation Serif" w:hAnsi="Liberation Serif"/>
                <w:sz w:val="18"/>
              </w:rPr>
              <w:t>A student does not complete a Gateway that requires safety competency until safe performance has been demonstrated. Strength in technique, product quality, attendance, effort, paperwork, or an external test result does not compensate for an unmet critical safety requirement.</w:t>
            </w:r>
          </w:p>
        </w:tc>
      </w:tr>
    </w:tbl>
    <w:p>
      <w:pPr>
        <w:spacing w:after="0"/>
      </w:pPr>
    </w:p>
    <w:p>
      <w:pPr>
        <w:pStyle w:val="Heading2"/>
      </w:pPr>
      <w:r>
        <w:t>Chapter 20: Records and Data Stewardship</w:t>
      </w:r>
    </w:p>
    <w:p>
      <w:pPr/>
      <w:r>
        <w:rPr>
          <w:i w:val="0"/>
        </w:rPr>
        <w:t>Evidence is stored once, protected appropriately, and reused only for purposes it can support. The pathway maintains a clear record hierarchy rather than copying the same information into multiple forms.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1800"/>
            <w:shd w:fill="1F4E79"/>
            <w:vAlign w:val="center"/>
            <w:tcMar>
              <w:top w:w="65" w:type="dxa"/>
              <w:start w:w="80" w:type="dxa"/>
              <w:bottom w:w="65" w:type="dxa"/>
              <w:end w:w="80" w:type="dxa"/>
            </w:tcMar>
          </w:tcPr>
          <w:p>
            <w:pPr>
              <w:pStyle w:val="TableHeader"/>
              <w:keepLines/>
              <w:widowControl/>
            </w:pPr>
            <w:r>
              <w:rPr>
                <w:rFonts w:ascii="Liberation Serif" w:hAnsi="Liberation Serif"/>
              </w:rPr>
              <w:t>Subject</w:t>
            </w:r>
          </w:p>
        </w:tc>
        <w:tc>
          <w:tcPr>
            <w:tcW w:type="dxa" w:w="3168"/>
            <w:shd w:fill="1F4E79"/>
            <w:vAlign w:val="center"/>
            <w:tcMar>
              <w:top w:w="65" w:type="dxa"/>
              <w:start w:w="80" w:type="dxa"/>
              <w:bottom w:w="65" w:type="dxa"/>
              <w:end w:w="80" w:type="dxa"/>
            </w:tcMar>
          </w:tcPr>
          <w:p>
            <w:pPr>
              <w:pStyle w:val="TableHeader"/>
              <w:keepLines/>
              <w:widowControl/>
            </w:pPr>
            <w:r>
              <w:rPr>
                <w:rFonts w:ascii="Liberation Serif" w:hAnsi="Liberation Serif"/>
              </w:rPr>
              <w:t>Authoritative record</w:t>
            </w:r>
          </w:p>
        </w:tc>
        <w:tc>
          <w:tcPr>
            <w:tcW w:type="dxa" w:w="4824"/>
            <w:shd w:fill="1F4E79"/>
            <w:vAlign w:val="center"/>
            <w:tcMar>
              <w:top w:w="65" w:type="dxa"/>
              <w:start w:w="80" w:type="dxa"/>
              <w:bottom w:w="65" w:type="dxa"/>
              <w:end w:w="80" w:type="dxa"/>
            </w:tcMar>
          </w:tcPr>
          <w:p>
            <w:pPr>
              <w:pStyle w:val="TableHeader"/>
              <w:keepLines/>
              <w:widowControl/>
            </w:pPr>
            <w:r>
              <w:rPr>
                <w:rFonts w:ascii="Liberation Serif" w:hAnsi="Liberation Serif"/>
              </w:rPr>
              <w:t>Minimum content</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Course achievement</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Approved district gradebook</w:t>
            </w:r>
          </w:p>
        </w:tc>
        <w:tc>
          <w:tcPr>
            <w:tcW w:type="dxa" w:w="482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Course standards, evidence, feedback, and reporting result.</w:t>
            </w:r>
          </w:p>
        </w:tc>
      </w:tr>
      <w:tr>
        <w:trPr>
          <w:cantSplit/>
          <w:cantSplit/>
        </w:trPr>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4"/>
              </w:rPr>
              <w:t>Professional growth</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4"/>
              </w:rPr>
              <w:t>Culinary Employability Profile</w:t>
            </w:r>
          </w:p>
        </w:tc>
        <w:tc>
          <w:tcPr>
            <w:tcW w:type="dxa" w:w="4824"/>
            <w:vAlign w:val="top"/>
            <w:tcMar>
              <w:top w:w="65" w:type="dxa"/>
              <w:start w:w="80" w:type="dxa"/>
              <w:bottom w:w="65" w:type="dxa"/>
              <w:end w:w="80" w:type="dxa"/>
            </w:tcMar>
          </w:tcPr>
          <w:p>
            <w:pPr>
              <w:pStyle w:val="TableText"/>
              <w:keepLines w:val="0"/>
              <w:widowControl/>
            </w:pPr>
            <w:r>
              <w:rPr>
                <w:rFonts w:ascii="Liberation Serif" w:hAnsi="Liberation Serif"/>
                <w:sz w:val="14"/>
              </w:rPr>
              <w:t>Repeated technical and work-related observations; WBL hours; credentials, technical assessment, endorsement, and recognition fields as approved.</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Gateway progression</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Culinary Passport</w:t>
            </w:r>
          </w:p>
        </w:tc>
        <w:tc>
          <w:tcPr>
            <w:tcW w:type="dxa" w:w="482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Gateway, completion level, date, verifier, evidence locator, and next step.</w:t>
            </w:r>
          </w:p>
        </w:tc>
      </w:tr>
      <w:tr>
        <w:trPr>
          <w:cantSplit/>
          <w:cantSplit/>
        </w:trPr>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4"/>
              </w:rPr>
              <w:t>Technical assessment</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4"/>
              </w:rPr>
              <w:t>Approved assessment record</w:t>
            </w:r>
          </w:p>
        </w:tc>
        <w:tc>
          <w:tcPr>
            <w:tcW w:type="dxa" w:w="4824"/>
            <w:vAlign w:val="top"/>
            <w:tcMar>
              <w:top w:w="65" w:type="dxa"/>
              <w:start w:w="80" w:type="dxa"/>
              <w:bottom w:w="65" w:type="dxa"/>
              <w:end w:w="80" w:type="dxa"/>
            </w:tcMar>
          </w:tcPr>
          <w:p>
            <w:pPr>
              <w:pStyle w:val="TableText"/>
              <w:keepLines w:val="0"/>
              <w:widowControl/>
            </w:pPr>
            <w:r>
              <w:rPr>
                <w:rFonts w:ascii="Liberation Serif" w:hAnsi="Liberation Serif"/>
                <w:sz w:val="14"/>
              </w:rPr>
              <w:t>Provider, edition, components, administration date, accommodations when required for interpretation, official result, and follow-up.</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Credentials</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Approved credential record / Employability Profile</w:t>
            </w:r>
          </w:p>
        </w:tc>
        <w:tc>
          <w:tcPr>
            <w:tcW w:type="dxa" w:w="482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Credential title, issuer, date, status, and renewal information when applicable.</w:t>
            </w:r>
          </w:p>
        </w:tc>
      </w:tr>
      <w:tr>
        <w:trPr>
          <w:cantSplit/>
          <w:cantSplit/>
        </w:trPr>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4"/>
              </w:rPr>
              <w:t>Pathway recognition</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4"/>
              </w:rPr>
              <w:t>Authorized district student record</w:t>
            </w:r>
          </w:p>
        </w:tc>
        <w:tc>
          <w:tcPr>
            <w:tcW w:type="dxa" w:w="4824"/>
            <w:vAlign w:val="top"/>
            <w:tcMar>
              <w:top w:w="65" w:type="dxa"/>
              <w:start w:w="80" w:type="dxa"/>
              <w:bottom w:w="65" w:type="dxa"/>
              <w:end w:w="80" w:type="dxa"/>
            </w:tcMar>
          </w:tcPr>
          <w:p>
            <w:pPr>
              <w:pStyle w:val="TableText"/>
              <w:keepLines w:val="0"/>
              <w:widowControl/>
            </w:pPr>
            <w:r>
              <w:rPr>
                <w:rFonts w:ascii="Liberation Serif" w:hAnsi="Liberation Serif"/>
                <w:sz w:val="14"/>
              </w:rPr>
              <w:t>Current approved technical-endorsement or 4+1 requirements and completion status.</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External WBL student record</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Approved WBL course file</w:t>
            </w:r>
          </w:p>
        </w:tc>
        <w:tc>
          <w:tcPr>
            <w:tcW w:type="dxa" w:w="482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Training plan, hours, check-ins, visits, employer and coordinator evaluations, portfolio, presentation, and final result.</w:t>
            </w:r>
          </w:p>
        </w:tc>
      </w:tr>
      <w:tr>
        <w:trPr>
          <w:cantSplit/>
          <w:cantSplit/>
        </w:trPr>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4"/>
              </w:rPr>
              <w:t>Training station</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4"/>
              </w:rPr>
              <w:t>Approved site file</w:t>
            </w:r>
          </w:p>
        </w:tc>
        <w:tc>
          <w:tcPr>
            <w:tcW w:type="dxa" w:w="4824"/>
            <w:vAlign w:val="top"/>
            <w:tcMar>
              <w:top w:w="65" w:type="dxa"/>
              <w:start w:w="80" w:type="dxa"/>
              <w:bottom w:w="65" w:type="dxa"/>
              <w:end w:w="80" w:type="dxa"/>
            </w:tcMar>
          </w:tcPr>
          <w:p>
            <w:pPr>
              <w:pStyle w:val="TableText"/>
              <w:keepLines w:val="0"/>
              <w:widowControl/>
            </w:pPr>
            <w:r>
              <w:rPr>
                <w:rFonts w:ascii="Liberation Serif" w:hAnsi="Liberation Serif"/>
                <w:sz w:val="14"/>
              </w:rPr>
              <w:t>Site review, duties, training plan, mentor, supervision, concerns, closeout, and renewal decision.</w:t>
            </w:r>
          </w:p>
        </w:tc>
      </w:tr>
      <w:tr>
        <w:trPr>
          <w:cantSplit/>
          <w:cantSplit/>
        </w:trPr>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Pathway improvement</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Annual review and action record</w:t>
            </w:r>
          </w:p>
        </w:tc>
        <w:tc>
          <w:tcPr>
            <w:tcW w:type="dxa" w:w="482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Aggregated findings, evidence limits, decision, action owner, date, resources, and verification result.</w:t>
            </w:r>
          </w:p>
        </w:tc>
      </w:tr>
    </w:tbl>
    <w:p>
      <w:pPr>
        <w:spacing w:after="0"/>
      </w:pPr>
    </w:p>
    <w:p>
      <w:pPr>
        <w:pStyle w:val="ListBullet"/>
        <w:spacing w:after="30" w:line="240" w:lineRule="auto"/>
        <w:ind w:left="331" w:hanging="187"/>
      </w:pPr>
      <w:r>
        <w:rPr>
          <w:rFonts w:ascii="Liberation Serif" w:hAnsi="Liberation Serif"/>
          <w:sz w:val="18"/>
        </w:rPr>
        <w:t>Collect the minimum information needed for instruction, evaluation, compliance, support, credentialing, or improvement.</w:t>
      </w:r>
    </w:p>
    <w:p>
      <w:pPr>
        <w:pStyle w:val="ListBullet"/>
        <w:spacing w:after="30" w:line="240" w:lineRule="auto"/>
        <w:ind w:left="331" w:hanging="187"/>
      </w:pPr>
      <w:r>
        <w:rPr>
          <w:rFonts w:ascii="Liberation Serif" w:hAnsi="Liberation Serif"/>
          <w:sz w:val="18"/>
        </w:rPr>
        <w:t>Use aggregated or de-identified information for program review whenever individual identification is not required.</w:t>
      </w:r>
    </w:p>
    <w:p>
      <w:pPr>
        <w:pStyle w:val="ListBullet"/>
        <w:spacing w:after="30" w:line="240" w:lineRule="auto"/>
        <w:ind w:left="331" w:hanging="187"/>
      </w:pPr>
      <w:r>
        <w:rPr>
          <w:rFonts w:ascii="Liberation Serif" w:hAnsi="Liberation Serif"/>
          <w:sz w:val="18"/>
        </w:rPr>
        <w:t>Protect confidential student, assessment, credential, and partner information from advisory or public materials unless disclosure is authorized and necessary.</w:t>
      </w:r>
    </w:p>
    <w:p>
      <w:pPr>
        <w:pStyle w:val="ListBullet"/>
        <w:spacing w:after="30" w:line="240" w:lineRule="auto"/>
        <w:ind w:left="331" w:hanging="187"/>
      </w:pPr>
      <w:r>
        <w:rPr>
          <w:rFonts w:ascii="Liberation Serif" w:hAnsi="Liberation Serif"/>
          <w:sz w:val="18"/>
        </w:rPr>
        <w:t>Maintain version control so outdated criteria, standards, provider editions, and forms do not continue after revision.</w:t>
      </w:r>
    </w:p>
    <w:p>
      <w:pPr>
        <w:pStyle w:val="ListBullet"/>
        <w:spacing w:after="30" w:line="240" w:lineRule="auto"/>
        <w:ind w:left="331" w:hanging="187"/>
      </w:pPr>
      <w:r>
        <w:rPr>
          <w:rFonts w:ascii="Liberation Serif" w:hAnsi="Liberation Serif"/>
          <w:sz w:val="18"/>
        </w:rPr>
        <w:t>Use current district platforms, retention schedules, access rules, and approved workflows. Book Three identifies the operating location and deadline for each record.</w:t>
      </w:r>
    </w:p>
    <w:p>
      <w:r>
        <w:br w:type="page"/>
      </w:r>
    </w:p>
    <w:p>
      <w:pPr>
        <w:pStyle w:val="PartLabel"/>
      </w:pPr>
      <w:r>
        <w:t>PART V</w:t>
      </w:r>
    </w:p>
    <w:p>
      <w:pPr>
        <w:pStyle w:val="PartTitle"/>
      </w:pPr>
      <w:r>
        <w:t>Training-Station Evaluation</w:t>
      </w:r>
    </w:p>
    <w:p>
      <w:pPr>
        <w:pStyle w:val="PartIntro"/>
      </w:pPr>
      <w:r>
        <w:t>Judge the workplace as an instructional laboratory and keep its quality decision separate from the performance of the student assigned there.</w:t>
      </w:r>
    </w:p>
    <w:p>
      <w:pPr>
        <w:pStyle w:val="Heading2"/>
      </w:pPr>
      <w:r>
        <w:t>Chapter 21: Training-Station Quality Standard</w:t>
      </w:r>
    </w:p>
    <w:p>
      <w:pPr/>
      <w:r>
        <w:rPr>
          <w:i w:val="0"/>
        </w:rPr>
        <w:t>A business relationship is not automatically an approved training station. The workplace must support safe, lawful, supervised, respectful, feedback-rich, educationally meaningful learning. Approval is limited to the defined duties, schedule, student population, mentor, and purpose reviewed by the district.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1655"/>
            <w:shd w:fill="1F4E79"/>
            <w:vAlign w:val="center"/>
            <w:tcMar>
              <w:top w:w="65" w:type="dxa"/>
              <w:start w:w="80" w:type="dxa"/>
              <w:bottom w:w="65" w:type="dxa"/>
              <w:end w:w="80" w:type="dxa"/>
            </w:tcMar>
          </w:tcPr>
          <w:p>
            <w:pPr>
              <w:pStyle w:val="TableHeader"/>
              <w:keepLines/>
              <w:widowControl/>
            </w:pPr>
            <w:r>
              <w:rPr>
                <w:rFonts w:ascii="Liberation Serif" w:hAnsi="Liberation Serif"/>
              </w:rPr>
              <w:t>Quality domain</w:t>
            </w:r>
          </w:p>
        </w:tc>
        <w:tc>
          <w:tcPr>
            <w:tcW w:type="dxa" w:w="4896"/>
            <w:shd w:fill="1F4E79"/>
            <w:vAlign w:val="center"/>
            <w:tcMar>
              <w:top w:w="65" w:type="dxa"/>
              <w:start w:w="80" w:type="dxa"/>
              <w:bottom w:w="65" w:type="dxa"/>
              <w:end w:w="80" w:type="dxa"/>
            </w:tcMar>
          </w:tcPr>
          <w:p>
            <w:pPr>
              <w:pStyle w:val="TableHeader"/>
              <w:keepLines/>
              <w:widowControl/>
            </w:pPr>
            <w:r>
              <w:rPr>
                <w:rFonts w:ascii="Liberation Serif" w:hAnsi="Liberation Serif"/>
              </w:rPr>
              <w:t>Minimum expectation</w:t>
            </w:r>
          </w:p>
        </w:tc>
        <w:tc>
          <w:tcPr>
            <w:tcW w:type="dxa" w:w="3240"/>
            <w:shd w:fill="1F4E79"/>
            <w:vAlign w:val="center"/>
            <w:tcMar>
              <w:top w:w="65" w:type="dxa"/>
              <w:start w:w="80" w:type="dxa"/>
              <w:bottom w:w="65" w:type="dxa"/>
              <w:end w:w="80" w:type="dxa"/>
            </w:tcMar>
          </w:tcPr>
          <w:p>
            <w:pPr>
              <w:pStyle w:val="TableHeader"/>
              <w:keepLines/>
              <w:widowControl/>
            </w:pPr>
            <w:r>
              <w:rPr>
                <w:rFonts w:ascii="Liberation Serif" w:hAnsi="Liberation Serif"/>
              </w:rPr>
              <w:t>Evidence</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Safety and legality</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Duties, equipment, schedule, hazards, supervision, emergency procedures, food-safety conditions, and minor-worker requirements meet current rules.</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Site review, approved duties, observation, incident and communication records.</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5"/>
              </w:rPr>
              <w:t>Educational purpose</w:t>
            </w:r>
          </w:p>
        </w:tc>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5"/>
              </w:rPr>
              <w:t>The station provides meaningful learning connected to the training plan, student goals, pathway competencies, and appropriate professional growth.</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Training plan, task variety, student growth, mentor and teacher input.</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Supervision</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 capable mentor is available, prepared, communicative, and supported by backup coverage.</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Mentor identification, orientation, check-ins, student voice, coordinator observation.</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5"/>
              </w:rPr>
              <w:t>Respect and support</w:t>
            </w:r>
          </w:p>
        </w:tc>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5"/>
              </w:rPr>
              <w:t>Students are treated with dignity and can access required support, communication, accommodations, and concern reporting.</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Student voice, workplace climate, support plan, concern response.</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Feedback and reliability</w:t>
            </w:r>
          </w:p>
        </w:tc>
        <w:tc>
          <w:tcPr>
            <w:tcW w:type="dxa" w:w="489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The mentor provides useful feedback and the site follows agreed schedules, duties, records, and communication.</w:t>
            </w:r>
          </w:p>
        </w:tc>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Midpoint and final feedback, attendance and duty patterns, follow-through.</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5"/>
              </w:rPr>
              <w:t>Renewability</w:t>
            </w:r>
          </w:p>
        </w:tc>
        <w:tc>
          <w:tcPr>
            <w:tcW w:type="dxa" w:w="4896"/>
            <w:vAlign w:val="top"/>
            <w:tcMar>
              <w:top w:w="65" w:type="dxa"/>
              <w:start w:w="80" w:type="dxa"/>
              <w:bottom w:w="65" w:type="dxa"/>
              <w:end w:w="80" w:type="dxa"/>
            </w:tcMar>
          </w:tcPr>
          <w:p>
            <w:pPr>
              <w:pStyle w:val="TableText"/>
              <w:keepLines w:val="0"/>
              <w:widowControl/>
            </w:pPr>
            <w:r>
              <w:rPr>
                <w:rFonts w:ascii="Liberation Serif" w:hAnsi="Liberation Serif"/>
                <w:sz w:val="15"/>
              </w:rPr>
              <w:t>The relationship provides educational value without exceeding mentor, coordinator, or district capacity.</w:t>
            </w:r>
          </w:p>
        </w:tc>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Closeout, partner feedback, student learning, capacity, and annual review.</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Learning Before Labor</w:t>
            </w:r>
          </w:p>
          <w:p>
            <w:pPr>
              <w:pStyle w:val="SmallText"/>
              <w:keepLines/>
              <w:widowControl/>
            </w:pPr>
            <w:r>
              <w:rPr>
                <w:rFonts w:ascii="Liberation Serif" w:hAnsi="Liberation Serif"/>
                <w:sz w:val="18"/>
              </w:rPr>
              <w:t>Employer need does not override educational purpose, safe duties, appropriate supervision, student readiness, or district capacity.</w:t>
            </w:r>
          </w:p>
        </w:tc>
      </w:tr>
    </w:tbl>
    <w:p>
      <w:pPr>
        <w:spacing w:after="0"/>
      </w:pPr>
    </w:p>
    <w:p>
      <w:pPr>
        <w:pStyle w:val="Heading2"/>
      </w:pPr>
      <w:r>
        <w:t>Chapter 22: Evaluation Cycle and Site Decisions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41"/>
        <w:gridCol w:w="2541"/>
        <w:gridCol w:w="2541"/>
        <w:gridCol w:w="2541"/>
      </w:tblGrid>
      <w:tr>
        <w:trPr>
          <w:tblHeader w:val="true"/>
          <w:cantSplit/>
          <w:cantSplit/>
        </w:trPr>
        <w:tc>
          <w:tcPr>
            <w:tcW w:type="dxa" w:w="1152"/>
            <w:shd w:fill="1F4E79"/>
            <w:vAlign w:val="center"/>
            <w:tcMar>
              <w:top w:w="65" w:type="dxa"/>
              <w:start w:w="80" w:type="dxa"/>
              <w:bottom w:w="65" w:type="dxa"/>
              <w:end w:w="80" w:type="dxa"/>
            </w:tcMar>
          </w:tcPr>
          <w:p>
            <w:pPr>
              <w:pStyle w:val="TableHeader"/>
              <w:keepLines/>
              <w:widowControl/>
            </w:pPr>
            <w:r>
              <w:rPr>
                <w:rFonts w:ascii="Liberation Serif" w:hAnsi="Liberation Serif"/>
              </w:rPr>
              <w:t>Point</w:t>
            </w:r>
          </w:p>
        </w:tc>
        <w:tc>
          <w:tcPr>
            <w:tcW w:type="dxa" w:w="2736"/>
            <w:shd w:fill="1F4E79"/>
            <w:vAlign w:val="center"/>
            <w:tcMar>
              <w:top w:w="65" w:type="dxa"/>
              <w:start w:w="80" w:type="dxa"/>
              <w:bottom w:w="65" w:type="dxa"/>
              <w:end w:w="80" w:type="dxa"/>
            </w:tcMar>
          </w:tcPr>
          <w:p>
            <w:pPr>
              <w:pStyle w:val="TableHeader"/>
              <w:keepLines/>
              <w:widowControl/>
            </w:pPr>
            <w:r>
              <w:rPr>
                <w:rFonts w:ascii="Liberation Serif" w:hAnsi="Liberation Serif"/>
              </w:rPr>
              <w:t>Student question</w:t>
            </w:r>
          </w:p>
        </w:tc>
        <w:tc>
          <w:tcPr>
            <w:tcW w:type="dxa" w:w="3816"/>
            <w:shd w:fill="1F4E79"/>
            <w:vAlign w:val="center"/>
            <w:tcMar>
              <w:top w:w="65" w:type="dxa"/>
              <w:start w:w="80" w:type="dxa"/>
              <w:bottom w:w="65" w:type="dxa"/>
              <w:end w:w="80" w:type="dxa"/>
            </w:tcMar>
          </w:tcPr>
          <w:p>
            <w:pPr>
              <w:pStyle w:val="TableHeader"/>
              <w:keepLines/>
              <w:widowControl/>
            </w:pPr>
            <w:r>
              <w:rPr>
                <w:rFonts w:ascii="Liberation Serif" w:hAnsi="Liberation Serif"/>
              </w:rPr>
              <w:t>Training-station question</w:t>
            </w:r>
          </w:p>
        </w:tc>
        <w:tc>
          <w:tcPr>
            <w:tcW w:type="dxa" w:w="2088"/>
            <w:shd w:fill="1F4E79"/>
            <w:vAlign w:val="center"/>
            <w:tcMar>
              <w:top w:w="65" w:type="dxa"/>
              <w:start w:w="80" w:type="dxa"/>
              <w:bottom w:w="65" w:type="dxa"/>
              <w:end w:w="80" w:type="dxa"/>
            </w:tcMar>
          </w:tcPr>
          <w:p>
            <w:pPr>
              <w:pStyle w:val="TableHeader"/>
              <w:keepLines/>
              <w:widowControl/>
            </w:pPr>
            <w:r>
              <w:rPr>
                <w:rFonts w:ascii="Liberation Serif" w:hAnsi="Liberation Serif"/>
              </w:rPr>
              <w:t>Possible decision</w:t>
            </w:r>
          </w:p>
        </w:tc>
      </w:tr>
      <w:tr>
        <w:trPr>
          <w:cantSplit/>
          <w:cantSplit/>
        </w:trPr>
        <w:tc>
          <w:tcPr>
            <w:tcW w:type="dxa" w:w="1152"/>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Preapproval</w:t>
            </w:r>
          </w:p>
        </w:tc>
        <w:tc>
          <w:tcPr>
            <w:tcW w:type="dxa" w:w="273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Is the student prepared for the proposed duties and level of responsibility?</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Are the duties, mentor, safety, schedule, support, and educational plan appropriate?</w:t>
            </w:r>
          </w:p>
        </w:tc>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Approve, condition, hold, or decline.</w:t>
            </w:r>
          </w:p>
        </w:tc>
      </w:tr>
      <w:tr>
        <w:trPr>
          <w:cantSplit/>
          <w:cantSplit/>
        </w:trPr>
        <w:tc>
          <w:tcPr>
            <w:tcW w:type="dxa" w:w="1152"/>
            <w:vAlign w:val="top"/>
            <w:tcMar>
              <w:top w:w="65" w:type="dxa"/>
              <w:start w:w="80" w:type="dxa"/>
              <w:bottom w:w="65" w:type="dxa"/>
              <w:end w:w="80" w:type="dxa"/>
            </w:tcMar>
          </w:tcPr>
          <w:p>
            <w:pPr>
              <w:pStyle w:val="TableText"/>
              <w:keepLines w:val="0"/>
              <w:widowControl/>
            </w:pPr>
            <w:r>
              <w:rPr>
                <w:rFonts w:ascii="Liberation Serif" w:hAnsi="Liberation Serif"/>
                <w:sz w:val="14"/>
              </w:rPr>
              <w:t>Launch</w:t>
            </w:r>
          </w:p>
        </w:tc>
        <w:tc>
          <w:tcPr>
            <w:tcW w:type="dxa" w:w="2736"/>
            <w:vAlign w:val="top"/>
            <w:tcMar>
              <w:top w:w="65" w:type="dxa"/>
              <w:start w:w="80" w:type="dxa"/>
              <w:bottom w:w="65" w:type="dxa"/>
              <w:end w:w="80" w:type="dxa"/>
            </w:tcMar>
          </w:tcPr>
          <w:p>
            <w:pPr>
              <w:pStyle w:val="TableText"/>
              <w:keepLines w:val="0"/>
              <w:widowControl/>
            </w:pPr>
            <w:r>
              <w:rPr>
                <w:rFonts w:ascii="Liberation Serif" w:hAnsi="Liberation Serif"/>
                <w:sz w:val="14"/>
              </w:rPr>
              <w:t>Does the student understand expectations and begin safely and professionally?</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Do actual conditions match the approved plan?</w:t>
            </w:r>
          </w:p>
        </w:tc>
        <w:tc>
          <w:tcPr>
            <w:tcW w:type="dxa" w:w="2088"/>
            <w:vAlign w:val="top"/>
            <w:tcMar>
              <w:top w:w="65" w:type="dxa"/>
              <w:start w:w="80" w:type="dxa"/>
              <w:bottom w:w="65" w:type="dxa"/>
              <w:end w:w="80" w:type="dxa"/>
            </w:tcMar>
          </w:tcPr>
          <w:p>
            <w:pPr>
              <w:pStyle w:val="TableText"/>
              <w:keepLines w:val="0"/>
              <w:widowControl/>
            </w:pPr>
            <w:r>
              <w:rPr>
                <w:rFonts w:ascii="Liberation Serif" w:hAnsi="Liberation Serif"/>
                <w:sz w:val="14"/>
              </w:rPr>
              <w:t>Continue, correct, limit, or pause.</w:t>
            </w:r>
          </w:p>
        </w:tc>
      </w:tr>
      <w:tr>
        <w:trPr>
          <w:cantSplit/>
          <w:cantSplit/>
        </w:trPr>
        <w:tc>
          <w:tcPr>
            <w:tcW w:type="dxa" w:w="1152"/>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Ongoing / midpoint</w:t>
            </w:r>
          </w:p>
        </w:tc>
        <w:tc>
          <w:tcPr>
            <w:tcW w:type="dxa" w:w="273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Is the student learning, receiving feedback, and progressing toward approved goals?</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Are supervision, task variety, safety, communication, and support reliable?</w:t>
            </w:r>
          </w:p>
        </w:tc>
        <w:tc>
          <w:tcPr>
            <w:tcW w:type="dxa" w:w="208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Continue, modify, add support, reassign duties, suspend, or investigate.</w:t>
            </w:r>
          </w:p>
        </w:tc>
      </w:tr>
      <w:tr>
        <w:trPr>
          <w:cantSplit/>
          <w:cantSplit/>
        </w:trPr>
        <w:tc>
          <w:tcPr>
            <w:tcW w:type="dxa" w:w="1152"/>
            <w:vAlign w:val="top"/>
            <w:tcMar>
              <w:top w:w="65" w:type="dxa"/>
              <w:start w:w="80" w:type="dxa"/>
              <w:bottom w:w="65" w:type="dxa"/>
              <w:end w:w="80" w:type="dxa"/>
            </w:tcMar>
          </w:tcPr>
          <w:p>
            <w:pPr>
              <w:pStyle w:val="TableText"/>
              <w:keepLines w:val="0"/>
              <w:widowControl/>
            </w:pPr>
            <w:r>
              <w:rPr>
                <w:rFonts w:ascii="Liberation Serif" w:hAnsi="Liberation Serif"/>
                <w:sz w:val="14"/>
              </w:rPr>
              <w:t>Closeout / renewal</w:t>
            </w:r>
          </w:p>
        </w:tc>
        <w:tc>
          <w:tcPr>
            <w:tcW w:type="dxa" w:w="2736"/>
            <w:vAlign w:val="top"/>
            <w:tcMar>
              <w:top w:w="65" w:type="dxa"/>
              <w:start w:w="80" w:type="dxa"/>
              <w:bottom w:w="65" w:type="dxa"/>
              <w:end w:w="80" w:type="dxa"/>
            </w:tcMar>
          </w:tcPr>
          <w:p>
            <w:pPr>
              <w:pStyle w:val="TableText"/>
              <w:keepLines w:val="0"/>
              <w:widowControl/>
            </w:pPr>
            <w:r>
              <w:rPr>
                <w:rFonts w:ascii="Liberation Serif" w:hAnsi="Liberation Serif"/>
                <w:sz w:val="14"/>
              </w:rPr>
              <w:t>What did the student demonstrate, and what transition follows?</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4"/>
              </w:rPr>
              <w:t>Should the station be renewed, conditioned, expanded, paused, or discontinued?</w:t>
            </w:r>
          </w:p>
        </w:tc>
        <w:tc>
          <w:tcPr>
            <w:tcW w:type="dxa" w:w="2088"/>
            <w:vAlign w:val="top"/>
            <w:tcMar>
              <w:top w:w="65" w:type="dxa"/>
              <w:start w:w="80" w:type="dxa"/>
              <w:bottom w:w="65" w:type="dxa"/>
              <w:end w:w="80" w:type="dxa"/>
            </w:tcMar>
          </w:tcPr>
          <w:p>
            <w:pPr>
              <w:pStyle w:val="TableText"/>
              <w:keepLines w:val="0"/>
              <w:widowControl/>
            </w:pPr>
            <w:r>
              <w:rPr>
                <w:rFonts w:ascii="Liberation Serif" w:hAnsi="Liberation Serif"/>
                <w:sz w:val="14"/>
              </w:rPr>
              <w:t>Renew, modify, monitor, pause, or stop.</w:t>
            </w:r>
          </w:p>
        </w:tc>
      </w:tr>
    </w:tbl>
    <w:p>
      <w:pPr>
        <w:spacing w:after="0"/>
      </w:pPr>
    </w:p>
    <w:p>
      <w:pPr/>
      <w:r>
        <w:rPr>
          <w:i w:val="0"/>
        </w:rPr>
        <w:t>Urgent safety, harassment, discrimination, prohibited-duty, supervision, or legal concerns trigger immediate protective action through current district procedures. Evaluation and documentation follow after people are protected.</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Proportionate Response</w:t>
            </w:r>
          </w:p>
          <w:p>
            <w:pPr>
              <w:pStyle w:val="SmallText"/>
              <w:keepLines/>
              <w:widowControl/>
            </w:pPr>
            <w:r>
              <w:rPr>
                <w:rFonts w:ascii="Liberation Serif" w:hAnsi="Liberation Serif"/>
                <w:sz w:val="18"/>
              </w:rPr>
              <w:t>The least restrictive safe response is preferred, but gratitude for a partner never delays correction, suspension, reassignment, or discontinuation when the learning environment is not worthy of the student.</w:t>
            </w:r>
          </w:p>
        </w:tc>
      </w:tr>
    </w:tbl>
    <w:p>
      <w:pPr>
        <w:spacing w:after="0"/>
      </w:pPr>
    </w:p>
    <w:p>
      <w:r>
        <w:br w:type="page"/>
      </w:r>
    </w:p>
    <w:p>
      <w:pPr>
        <w:pStyle w:val="PartLabel"/>
      </w:pPr>
      <w:r>
        <w:t>PART VI</w:t>
      </w:r>
    </w:p>
    <w:p>
      <w:pPr>
        <w:pStyle w:val="PartTitle"/>
      </w:pPr>
      <w:r>
        <w:t>Program Evaluation and Continuous Improvement</w:t>
      </w:r>
    </w:p>
    <w:p>
      <w:pPr>
        <w:pStyle w:val="PartIntro"/>
      </w:pPr>
      <w:r>
        <w:t>Review student learning, standards coverage, credentials, sites, access, capacity, and district alignment through one annual evidence cycle.</w:t>
      </w:r>
    </w:p>
    <w:p>
      <w:pPr>
        <w:pStyle w:val="Heading2"/>
      </w:pPr>
      <w:r>
        <w:t>Chapter 23: Annual Program Evaluation Framework</w:t>
      </w:r>
    </w:p>
    <w:p>
      <w:pPr/>
      <w:r>
        <w:rPr>
          <w:i w:val="0"/>
        </w:rPr>
        <w:t>Program evaluation asks whether the pathway is producing intended learning and whether the conditions required for that learning remain strong. Student achievement, training-station quality, and program capacity are interpreted together but not collapsed into one score.</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503"/>
            <w:shd w:fill="1F4E79"/>
            <w:vAlign w:val="center"/>
            <w:tcMar>
              <w:top w:w="65" w:type="dxa"/>
              <w:start w:w="80" w:type="dxa"/>
              <w:bottom w:w="65" w:type="dxa"/>
              <w:end w:w="80" w:type="dxa"/>
            </w:tcMar>
          </w:tcPr>
          <w:p>
            <w:pPr>
              <w:pStyle w:val="TableHeader"/>
              <w:keepLines/>
              <w:widowControl/>
            </w:pPr>
            <w:r>
              <w:rPr>
                <w:rFonts w:ascii="Liberation Serif" w:hAnsi="Liberation Serif"/>
              </w:rPr>
              <w:t>#</w:t>
            </w:r>
          </w:p>
        </w:tc>
        <w:tc>
          <w:tcPr>
            <w:tcW w:type="dxa" w:w="2880"/>
            <w:shd w:fill="1F4E79"/>
            <w:vAlign w:val="center"/>
            <w:tcMar>
              <w:top w:w="65" w:type="dxa"/>
              <w:start w:w="80" w:type="dxa"/>
              <w:bottom w:w="65" w:type="dxa"/>
              <w:end w:w="80" w:type="dxa"/>
            </w:tcMar>
          </w:tcPr>
          <w:p>
            <w:pPr>
              <w:pStyle w:val="TableHeader"/>
              <w:keepLines/>
              <w:widowControl/>
            </w:pPr>
            <w:r>
              <w:rPr>
                <w:rFonts w:ascii="Liberation Serif" w:hAnsi="Liberation Serif"/>
              </w:rPr>
              <w:t>Evaluation area</w:t>
            </w:r>
          </w:p>
        </w:tc>
        <w:tc>
          <w:tcPr>
            <w:tcW w:type="dxa" w:w="6408"/>
            <w:shd w:fill="1F4E79"/>
            <w:vAlign w:val="center"/>
            <w:tcMar>
              <w:top w:w="65" w:type="dxa"/>
              <w:start w:w="80" w:type="dxa"/>
              <w:bottom w:w="65" w:type="dxa"/>
              <w:end w:w="80" w:type="dxa"/>
            </w:tcMar>
          </w:tcPr>
          <w:p>
            <w:pPr>
              <w:pStyle w:val="TableHeader"/>
              <w:keepLines/>
              <w:widowControl/>
            </w:pPr>
            <w:r>
              <w:rPr>
                <w:rFonts w:ascii="Liberation Serif" w:hAnsi="Liberation Serif"/>
              </w:rPr>
              <w:t>Primary annual question</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1</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Curriculum and standards alignment</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Are course outcomes, Skills Map ownership, YouScience domains, ProStart topics, CDOS expectations, and assessment evidence current and coherent?</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2</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Gateway 1 safety clearance</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Are students receiving clear instruction, adequate practice, fair reassessment, and verified safe participation?</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3</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Gateway 2 kitchen-work readiness</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Are students developing dependable station systems, technical routines, communication, and professional habits?</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4</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Gateway 3 foundational competence</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Do course and technical-assessment readiness patterns show sufficient foundation for Advanced Culinary?</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5</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Gateway 4 client-centered performance</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Does The Cottage provide individual evidence of planning, production, service, quality, and reflection?</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6</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Gateway 5 leadership and career readiness</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Are leadership, management, employment preparation, technical-assessment, and transition expectations coherent and attainable?</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7</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Technical assessment</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What do participation, component, result, retest, and accommodation patterns show about knowledge, performance, and curriculum alignment?</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8</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Credentials and pathway recognition</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Who receives access to ServSafe and other credentials, who earns them, what support is needed, and are CTE endorsement or 4+1 requirements being met accurately?</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9</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Employability and professional growth</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Do Employability Profile patterns show growth in CDOS-aligned behavior across courses and settings?</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10</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Training-station quality</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Are external sites safe, lawful, supervised, respectful, educationally meaningful, reliable, and renewable?</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11</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Access and participation</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Who receives instruction, authentic roles, leadership, credentials, technical assessment, Travel Rights, placements, and transition support?</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12</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Completion, Gateway 6, and transition</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Are students completing the pathway and moving into appropriate employment, postsecondary learning, or informed next steps?</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13</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Staffing and coordinator capacity</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Can the district support instruction, credential administration, supervision, travel, visits, communication, records, and student needs at the current scale?</w:t>
            </w:r>
          </w:p>
        </w:tc>
      </w:tr>
      <w:tr>
        <w:trPr>
          <w:cantSplit/>
          <w:cantSplit/>
        </w:trPr>
        <w:tc>
          <w:tcPr>
            <w:tcW w:type="dxa" w:w="503"/>
            <w:vAlign w:val="top"/>
            <w:tcMar>
              <w:top w:w="65" w:type="dxa"/>
              <w:start w:w="80" w:type="dxa"/>
              <w:bottom w:w="65" w:type="dxa"/>
              <w:end w:w="80" w:type="dxa"/>
            </w:tcMar>
          </w:tcPr>
          <w:p>
            <w:pPr>
              <w:pStyle w:val="TableText"/>
              <w:keepLines w:val="0"/>
              <w:widowControl/>
            </w:pPr>
            <w:r>
              <w:rPr>
                <w:rFonts w:ascii="Liberation Serif" w:hAnsi="Liberation Serif"/>
                <w:sz w:val="14"/>
              </w:rPr>
              <w:t>14</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4"/>
              </w:rPr>
              <w:t>Partnerships, advisory input, and district integration</w:t>
            </w:r>
          </w:p>
        </w:tc>
        <w:tc>
          <w:tcPr>
            <w:tcW w:type="dxa" w:w="6408"/>
            <w:vAlign w:val="top"/>
            <w:tcMar>
              <w:top w:w="65" w:type="dxa"/>
              <w:start w:w="80" w:type="dxa"/>
              <w:bottom w:w="65" w:type="dxa"/>
              <w:end w:w="80" w:type="dxa"/>
            </w:tcMar>
          </w:tcPr>
          <w:p>
            <w:pPr>
              <w:pStyle w:val="TableText"/>
              <w:keepLines w:val="0"/>
              <w:widowControl/>
            </w:pPr>
            <w:r>
              <w:rPr>
                <w:rFonts w:ascii="Liberation Serif" w:hAnsi="Liberation Serif"/>
                <w:sz w:val="14"/>
              </w:rPr>
              <w:t>Does the pathway benefit from current industry voice and coordinated district support?</w:t>
            </w:r>
          </w:p>
        </w:tc>
      </w:tr>
      <w:tr>
        <w:trPr>
          <w:cantSplit/>
          <w:cantSplit/>
        </w:trPr>
        <w:tc>
          <w:tcPr>
            <w:tcW w:type="dxa" w:w="503"/>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15</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Compliance, resources, sustainability, and improvement</w:t>
            </w:r>
          </w:p>
        </w:tc>
        <w:tc>
          <w:tcPr>
            <w:tcW w:type="dxa" w:w="640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Are legal, fiscal, equipment, policy, records, risk, and action-follow-through conditions adequate?</w:t>
            </w:r>
          </w:p>
        </w:tc>
      </w:tr>
    </w:tbl>
    <w:p>
      <w:pPr>
        <w:spacing w:after="0"/>
      </w:pPr>
    </w:p>
    <w:p>
      <w:pPr>
        <w:pStyle w:val="Heading2"/>
      </w:pPr>
      <w:r>
        <w:t>Chapter 24: Annual Evidence and Review Cycle</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1224"/>
            <w:shd w:fill="1F4E79"/>
            <w:vAlign w:val="center"/>
            <w:tcMar>
              <w:top w:w="65" w:type="dxa"/>
              <w:start w:w="80" w:type="dxa"/>
              <w:bottom w:w="65" w:type="dxa"/>
              <w:end w:w="80" w:type="dxa"/>
            </w:tcMar>
          </w:tcPr>
          <w:p>
            <w:pPr>
              <w:pStyle w:val="TableHeader"/>
              <w:keepLines/>
              <w:widowControl/>
            </w:pPr>
            <w:r>
              <w:rPr>
                <w:rFonts w:ascii="Liberation Serif" w:hAnsi="Liberation Serif"/>
              </w:rPr>
              <w:t>Stage</w:t>
            </w:r>
          </w:p>
        </w:tc>
        <w:tc>
          <w:tcPr>
            <w:tcW w:type="dxa" w:w="3888"/>
            <w:shd w:fill="1F4E79"/>
            <w:vAlign w:val="center"/>
            <w:tcMar>
              <w:top w:w="65" w:type="dxa"/>
              <w:start w:w="80" w:type="dxa"/>
              <w:bottom w:w="65" w:type="dxa"/>
              <w:end w:w="80" w:type="dxa"/>
            </w:tcMar>
          </w:tcPr>
          <w:p>
            <w:pPr>
              <w:pStyle w:val="TableHeader"/>
              <w:keepLines/>
              <w:widowControl/>
            </w:pPr>
            <w:r>
              <w:rPr>
                <w:rFonts w:ascii="Liberation Serif" w:hAnsi="Liberation Serif"/>
              </w:rPr>
              <w:t>Required action</w:t>
            </w:r>
          </w:p>
        </w:tc>
        <w:tc>
          <w:tcPr>
            <w:tcW w:type="dxa" w:w="4680"/>
            <w:shd w:fill="1F4E79"/>
            <w:vAlign w:val="center"/>
            <w:tcMar>
              <w:top w:w="65" w:type="dxa"/>
              <w:start w:w="80" w:type="dxa"/>
              <w:bottom w:w="65" w:type="dxa"/>
              <w:end w:w="80" w:type="dxa"/>
            </w:tcMar>
          </w:tcPr>
          <w:p>
            <w:pPr>
              <w:pStyle w:val="TableHeader"/>
              <w:keepLines/>
              <w:widowControl/>
            </w:pPr>
            <w:r>
              <w:rPr>
                <w:rFonts w:ascii="Liberation Serif" w:hAnsi="Liberation Serif"/>
              </w:rPr>
              <w:t>Required evidence</w:t>
            </w:r>
          </w:p>
        </w:tc>
      </w:tr>
      <w:tr>
        <w:trPr>
          <w:cantSplit/>
          <w:cantSplit/>
        </w:trPr>
        <w:tc>
          <w:tcPr>
            <w:tcW w:type="dxa" w:w="122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1. Define</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Select the annual questions and identify the decision each question may support.</w:t>
            </w:r>
          </w:p>
        </w:tc>
        <w:tc>
          <w:tcPr>
            <w:tcW w:type="dxa" w:w="46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Review plan, definitions, current standards and provider editions, data owners, and limits.</w:t>
            </w:r>
          </w:p>
        </w:tc>
      </w:tr>
      <w:tr>
        <w:trPr>
          <w:cantSplit/>
          <w:cantSplit/>
        </w:trPr>
        <w:tc>
          <w:tcPr>
            <w:tcW w:type="dxa" w:w="1224"/>
            <w:vAlign w:val="top"/>
            <w:tcMar>
              <w:top w:w="65" w:type="dxa"/>
              <w:start w:w="80" w:type="dxa"/>
              <w:bottom w:w="65" w:type="dxa"/>
              <w:end w:w="80" w:type="dxa"/>
            </w:tcMar>
          </w:tcPr>
          <w:p>
            <w:pPr>
              <w:pStyle w:val="TableText"/>
              <w:keepLines w:val="0"/>
              <w:widowControl/>
            </w:pPr>
            <w:r>
              <w:rPr>
                <w:rFonts w:ascii="Liberation Serif" w:hAnsi="Liberation Serif"/>
                <w:sz w:val="16"/>
              </w:rPr>
              <w:t>2. Collect</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6"/>
              </w:rPr>
              <w:t>Use existing authoritative records whenever possible.</w:t>
            </w:r>
          </w:p>
        </w:tc>
        <w:tc>
          <w:tcPr>
            <w:tcW w:type="dxa" w:w="4680"/>
            <w:vAlign w:val="top"/>
            <w:tcMar>
              <w:top w:w="65" w:type="dxa"/>
              <w:start w:w="80" w:type="dxa"/>
              <w:bottom w:w="65" w:type="dxa"/>
              <w:end w:w="80" w:type="dxa"/>
            </w:tcMar>
          </w:tcPr>
          <w:p>
            <w:pPr>
              <w:pStyle w:val="TableText"/>
              <w:keepLines w:val="0"/>
              <w:widowControl/>
            </w:pPr>
            <w:r>
              <w:rPr>
                <w:rFonts w:ascii="Liberation Serif" w:hAnsi="Liberation Serif"/>
                <w:sz w:val="16"/>
              </w:rPr>
              <w:t>Aggregated course, Gateway, standards-coverage, technical-assessment, credential, site, access, transition, staffing, and feedback evidence.</w:t>
            </w:r>
          </w:p>
        </w:tc>
      </w:tr>
      <w:tr>
        <w:trPr>
          <w:cantSplit/>
          <w:cantSplit/>
        </w:trPr>
        <w:tc>
          <w:tcPr>
            <w:tcW w:type="dxa" w:w="122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3. Interpret</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Identify patterns, contradictions, missing evidence, subgroup differences, and limits.</w:t>
            </w:r>
          </w:p>
        </w:tc>
        <w:tc>
          <w:tcPr>
            <w:tcW w:type="dxa" w:w="46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Summary that distinguishes findings from assumptions and separates internal performance from external assessment results.</w:t>
            </w:r>
          </w:p>
        </w:tc>
      </w:tr>
      <w:tr>
        <w:trPr>
          <w:cantSplit/>
          <w:cantSplit/>
        </w:trPr>
        <w:tc>
          <w:tcPr>
            <w:tcW w:type="dxa" w:w="1224"/>
            <w:vAlign w:val="top"/>
            <w:tcMar>
              <w:top w:w="65" w:type="dxa"/>
              <w:start w:w="80" w:type="dxa"/>
              <w:bottom w:w="65" w:type="dxa"/>
              <w:end w:w="80" w:type="dxa"/>
            </w:tcMar>
          </w:tcPr>
          <w:p>
            <w:pPr>
              <w:pStyle w:val="TableText"/>
              <w:keepLines w:val="0"/>
              <w:widowControl/>
            </w:pPr>
            <w:r>
              <w:rPr>
                <w:rFonts w:ascii="Liberation Serif" w:hAnsi="Liberation Serif"/>
                <w:sz w:val="16"/>
              </w:rPr>
              <w:t>4. Decide</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6"/>
              </w:rPr>
              <w:t>Preserve, improve, expand, monitor, pause, or stop.</w:t>
            </w:r>
          </w:p>
        </w:tc>
        <w:tc>
          <w:tcPr>
            <w:tcW w:type="dxa" w:w="4680"/>
            <w:vAlign w:val="top"/>
            <w:tcMar>
              <w:top w:w="65" w:type="dxa"/>
              <w:start w:w="80" w:type="dxa"/>
              <w:bottom w:w="65" w:type="dxa"/>
              <w:end w:w="80" w:type="dxa"/>
            </w:tcMar>
          </w:tcPr>
          <w:p>
            <w:pPr>
              <w:pStyle w:val="TableText"/>
              <w:keepLines w:val="0"/>
              <w:widowControl/>
            </w:pPr>
            <w:r>
              <w:rPr>
                <w:rFonts w:ascii="Liberation Serif" w:hAnsi="Liberation Serif"/>
                <w:sz w:val="16"/>
              </w:rPr>
              <w:t>Decision tied to evidence, equity, safety, and capacity.</w:t>
            </w:r>
          </w:p>
        </w:tc>
      </w:tr>
      <w:tr>
        <w:trPr>
          <w:cantSplit/>
          <w:cantSplit/>
        </w:trPr>
        <w:tc>
          <w:tcPr>
            <w:tcW w:type="dxa" w:w="122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5. Act</w:t>
            </w:r>
          </w:p>
        </w:tc>
        <w:tc>
          <w:tcPr>
            <w:tcW w:type="dxa" w:w="388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Assign a limited number of realistic actions.</w:t>
            </w:r>
          </w:p>
        </w:tc>
        <w:tc>
          <w:tcPr>
            <w:tcW w:type="dxa" w:w="468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Owner, due date, resources, communication, and evidence of implementation.</w:t>
            </w:r>
          </w:p>
        </w:tc>
      </w:tr>
      <w:tr>
        <w:trPr>
          <w:cantSplit/>
          <w:cantSplit/>
        </w:trPr>
        <w:tc>
          <w:tcPr>
            <w:tcW w:type="dxa" w:w="1224"/>
            <w:vAlign w:val="top"/>
            <w:tcMar>
              <w:top w:w="65" w:type="dxa"/>
              <w:start w:w="80" w:type="dxa"/>
              <w:bottom w:w="65" w:type="dxa"/>
              <w:end w:w="80" w:type="dxa"/>
            </w:tcMar>
          </w:tcPr>
          <w:p>
            <w:pPr>
              <w:pStyle w:val="TableText"/>
              <w:keepLines w:val="0"/>
              <w:widowControl/>
            </w:pPr>
            <w:r>
              <w:rPr>
                <w:rFonts w:ascii="Liberation Serif" w:hAnsi="Liberation Serif"/>
                <w:sz w:val="16"/>
              </w:rPr>
              <w:t>6. Verify</w:t>
            </w:r>
          </w:p>
        </w:tc>
        <w:tc>
          <w:tcPr>
            <w:tcW w:type="dxa" w:w="3888"/>
            <w:vAlign w:val="top"/>
            <w:tcMar>
              <w:top w:w="65" w:type="dxa"/>
              <w:start w:w="80" w:type="dxa"/>
              <w:bottom w:w="65" w:type="dxa"/>
              <w:end w:w="80" w:type="dxa"/>
            </w:tcMar>
          </w:tcPr>
          <w:p>
            <w:pPr>
              <w:pStyle w:val="TableText"/>
              <w:keepLines w:val="0"/>
              <w:widowControl/>
            </w:pPr>
            <w:r>
              <w:rPr>
                <w:rFonts w:ascii="Liberation Serif" w:hAnsi="Liberation Serif"/>
                <w:sz w:val="16"/>
              </w:rPr>
              <w:t>Review later evidence to determine whether the action helped.</w:t>
            </w:r>
          </w:p>
        </w:tc>
        <w:tc>
          <w:tcPr>
            <w:tcW w:type="dxa" w:w="4680"/>
            <w:vAlign w:val="top"/>
            <w:tcMar>
              <w:top w:w="65" w:type="dxa"/>
              <w:start w:w="80" w:type="dxa"/>
              <w:bottom w:w="65" w:type="dxa"/>
              <w:end w:w="80" w:type="dxa"/>
            </w:tcMar>
          </w:tcPr>
          <w:p>
            <w:pPr>
              <w:pStyle w:val="TableText"/>
              <w:keepLines w:val="0"/>
              <w:widowControl/>
            </w:pPr>
            <w:r>
              <w:rPr>
                <w:rFonts w:ascii="Liberation Serif" w:hAnsi="Liberation Serif"/>
                <w:sz w:val="16"/>
              </w:rPr>
              <w:t>Verification result and next decision.</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Inspect What You Expect</w:t>
            </w:r>
          </w:p>
          <w:p>
            <w:pPr>
              <w:pStyle w:val="SmallText"/>
              <w:keepLines/>
              <w:widowControl/>
            </w:pPr>
            <w:r>
              <w:rPr>
                <w:rFonts w:ascii="Liberation Serif" w:hAnsi="Liberation Serif"/>
                <w:sz w:val="18"/>
              </w:rPr>
              <w:t>A finding is not an improvement. Responsibility must be assigned, action must occur, and later evidence must show whether the action helped.</w:t>
            </w:r>
          </w:p>
        </w:tc>
      </w:tr>
    </w:tbl>
    <w:p>
      <w:pPr>
        <w:spacing w:after="0"/>
      </w:pPr>
    </w:p>
    <w:p>
      <w:pPr>
        <w:pStyle w:val="Heading3"/>
      </w:pPr>
      <w:r>
        <w:t>Required Standards and Credential Evidence</w:t>
      </w:r>
    </w:p>
    <w:p>
      <w:pPr>
        <w:pStyle w:val="ListBullet"/>
        <w:spacing w:after="30" w:line="240" w:lineRule="auto"/>
        <w:ind w:left="331" w:hanging="187"/>
      </w:pPr>
      <w:r>
        <w:rPr>
          <w:rFonts w:ascii="Liberation Serif" w:hAnsi="Liberation Serif"/>
          <w:sz w:val="18"/>
        </w:rPr>
        <w:t>Standards coverage by course, unit, and evidence source across YouScience Culinary III, ProStart Levels 1 and 2, CDOS, and approved local outcomes.</w:t>
      </w:r>
    </w:p>
    <w:p>
      <w:pPr>
        <w:pStyle w:val="ListBullet"/>
        <w:spacing w:after="30" w:line="240" w:lineRule="auto"/>
        <w:ind w:left="331" w:hanging="187"/>
      </w:pPr>
      <w:r>
        <w:rPr>
          <w:rFonts w:ascii="Liberation Serif" w:hAnsi="Liberation Serif"/>
          <w:sz w:val="18"/>
        </w:rPr>
        <w:t>Technical-assessment participation, component completion, official results, retests, approved accommodations, and curriculum patterns.</w:t>
      </w:r>
    </w:p>
    <w:p>
      <w:pPr>
        <w:pStyle w:val="ListBullet"/>
        <w:spacing w:after="30" w:line="240" w:lineRule="auto"/>
        <w:ind w:left="331" w:hanging="187"/>
      </w:pPr>
      <w:r>
        <w:rPr>
          <w:rFonts w:ascii="Liberation Serif" w:hAnsi="Liberation Serif"/>
          <w:sz w:val="18"/>
        </w:rPr>
        <w:t>ServSafe Management and other credential participation, results, retests, access, and support patterns.</w:t>
      </w:r>
    </w:p>
    <w:p>
      <w:pPr>
        <w:pStyle w:val="ListBullet"/>
        <w:spacing w:after="30" w:line="240" w:lineRule="auto"/>
        <w:ind w:left="331" w:hanging="187"/>
      </w:pPr>
      <w:r>
        <w:rPr>
          <w:rFonts w:ascii="Liberation Serif" w:hAnsi="Liberation Serif"/>
          <w:sz w:val="18"/>
        </w:rPr>
        <w:t>Comparison of internal classroom and authentic-performance evidence with external technical-assessment and credential results.</w:t>
      </w:r>
    </w:p>
    <w:p>
      <w:pPr>
        <w:pStyle w:val="ListBullet"/>
        <w:spacing w:after="30" w:line="240" w:lineRule="auto"/>
        <w:ind w:left="331" w:hanging="187"/>
      </w:pPr>
      <w:r>
        <w:rPr>
          <w:rFonts w:ascii="Liberation Serif" w:hAnsi="Liberation Serif"/>
          <w:sz w:val="18"/>
        </w:rPr>
        <w:t>Access to credentials, leadership, Travel Rights, placements, and pathway recognition across student groups, with privacy protections.</w:t>
      </w:r>
    </w:p>
    <w:p>
      <w:pPr>
        <w:pStyle w:val="ListBullet"/>
        <w:spacing w:after="30" w:line="240" w:lineRule="auto"/>
        <w:ind w:left="331" w:hanging="187"/>
      </w:pPr>
      <w:r>
        <w:rPr>
          <w:rFonts w:ascii="Liberation Serif" w:hAnsi="Liberation Serif"/>
          <w:sz w:val="18"/>
        </w:rPr>
        <w:t>Curriculum, instruction, assessment, scheduling, or resource gaps identified through the evidence.</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Interpretation Rule</w:t>
            </w:r>
          </w:p>
          <w:p>
            <w:pPr>
              <w:pStyle w:val="SmallText"/>
              <w:keepLines/>
              <w:widowControl/>
            </w:pPr>
            <w:r>
              <w:rPr>
                <w:rFonts w:ascii="Liberation Serif" w:hAnsi="Liberation Serif"/>
                <w:sz w:val="18"/>
              </w:rPr>
              <w:t>Pass rates inform improvement; they do not become the sole measure of pathway quality. The annual review also considers safety, authentic performance, access, student growth, training-station quality, capacity, transition, and sustainability.</w:t>
            </w:r>
          </w:p>
        </w:tc>
      </w:tr>
    </w:tbl>
    <w:p>
      <w:pPr>
        <w:spacing w:after="0"/>
      </w:pPr>
    </w:p>
    <w:p>
      <w:pPr>
        <w:pStyle w:val="Heading2"/>
      </w:pPr>
      <w:r>
        <w:t>Chapter 25: Program Decisions, Capacity, and Access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1584"/>
            <w:shd w:fill="1F4E79"/>
            <w:vAlign w:val="center"/>
            <w:tcMar>
              <w:top w:w="65" w:type="dxa"/>
              <w:start w:w="80" w:type="dxa"/>
              <w:bottom w:w="65" w:type="dxa"/>
              <w:end w:w="80" w:type="dxa"/>
            </w:tcMar>
          </w:tcPr>
          <w:p>
            <w:pPr>
              <w:pStyle w:val="TableHeader"/>
              <w:keepLines/>
              <w:widowControl/>
            </w:pPr>
            <w:r>
              <w:rPr>
                <w:rFonts w:ascii="Liberation Serif" w:hAnsi="Liberation Serif"/>
              </w:rPr>
              <w:t>Decision</w:t>
            </w:r>
          </w:p>
        </w:tc>
        <w:tc>
          <w:tcPr>
            <w:tcW w:type="dxa" w:w="8208"/>
            <w:shd w:fill="1F4E79"/>
            <w:vAlign w:val="center"/>
            <w:tcMar>
              <w:top w:w="65" w:type="dxa"/>
              <w:start w:w="80" w:type="dxa"/>
              <w:bottom w:w="65" w:type="dxa"/>
              <w:end w:w="80" w:type="dxa"/>
            </w:tcMar>
          </w:tcPr>
          <w:p>
            <w:pPr>
              <w:pStyle w:val="TableHeader"/>
              <w:keepLines/>
              <w:widowControl/>
            </w:pPr>
            <w:r>
              <w:rPr>
                <w:rFonts w:ascii="Liberation Serif" w:hAnsi="Liberation Serif"/>
              </w:rPr>
              <w:t>Evidence standard</w:t>
            </w:r>
          </w:p>
        </w:tc>
      </w:tr>
      <w:tr>
        <w:trPr>
          <w:cantSplit/>
          <w:cantSplit/>
        </w:trPr>
        <w:tc>
          <w:tcPr>
            <w:tcW w:type="dxa" w:w="158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Continue</w:t>
            </w:r>
          </w:p>
        </w:tc>
        <w:tc>
          <w:tcPr>
            <w:tcW w:type="dxa" w:w="820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The practice is safe, useful, sustainable, and supported by credible evidence.</w:t>
            </w:r>
          </w:p>
        </w:tc>
      </w:tr>
      <w:tr>
        <w:trPr>
          <w:cantSplit/>
          <w:cantSplit/>
        </w:trPr>
        <w:tc>
          <w:tcPr>
            <w:tcW w:type="dxa" w:w="1584"/>
            <w:vAlign w:val="top"/>
            <w:tcMar>
              <w:top w:w="65" w:type="dxa"/>
              <w:start w:w="80" w:type="dxa"/>
              <w:bottom w:w="65" w:type="dxa"/>
              <w:end w:w="80" w:type="dxa"/>
            </w:tcMar>
          </w:tcPr>
          <w:p>
            <w:pPr>
              <w:pStyle w:val="TableText"/>
              <w:keepLines w:val="0"/>
              <w:widowControl/>
            </w:pPr>
            <w:r>
              <w:rPr>
                <w:rFonts w:ascii="Liberation Serif" w:hAnsi="Liberation Serif"/>
                <w:sz w:val="16"/>
              </w:rPr>
              <w:t>Monitor</w:t>
            </w:r>
          </w:p>
        </w:tc>
        <w:tc>
          <w:tcPr>
            <w:tcW w:type="dxa" w:w="8208"/>
            <w:vAlign w:val="top"/>
            <w:tcMar>
              <w:top w:w="65" w:type="dxa"/>
              <w:start w:w="80" w:type="dxa"/>
              <w:bottom w:w="65" w:type="dxa"/>
              <w:end w:w="80" w:type="dxa"/>
            </w:tcMar>
          </w:tcPr>
          <w:p>
            <w:pPr>
              <w:pStyle w:val="TableText"/>
              <w:keepLines w:val="0"/>
              <w:widowControl/>
            </w:pPr>
            <w:r>
              <w:rPr>
                <w:rFonts w:ascii="Liberation Serif" w:hAnsi="Liberation Serif"/>
                <w:sz w:val="16"/>
              </w:rPr>
              <w:t>Evidence is incomplete or mixed, risk is controlled, and a clearer question or additional cycle is needed.</w:t>
            </w:r>
          </w:p>
        </w:tc>
      </w:tr>
      <w:tr>
        <w:trPr>
          <w:cantSplit/>
          <w:cantSplit/>
        </w:trPr>
        <w:tc>
          <w:tcPr>
            <w:tcW w:type="dxa" w:w="158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Improve</w:t>
            </w:r>
          </w:p>
        </w:tc>
        <w:tc>
          <w:tcPr>
            <w:tcW w:type="dxa" w:w="820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 correctable weakness is identified with an action, owner, date, resources, and verification measure.</w:t>
            </w:r>
          </w:p>
        </w:tc>
      </w:tr>
      <w:tr>
        <w:trPr>
          <w:cantSplit/>
          <w:cantSplit/>
        </w:trPr>
        <w:tc>
          <w:tcPr>
            <w:tcW w:type="dxa" w:w="1584"/>
            <w:vAlign w:val="top"/>
            <w:tcMar>
              <w:top w:w="65" w:type="dxa"/>
              <w:start w:w="80" w:type="dxa"/>
              <w:bottom w:w="65" w:type="dxa"/>
              <w:end w:w="80" w:type="dxa"/>
            </w:tcMar>
          </w:tcPr>
          <w:p>
            <w:pPr>
              <w:pStyle w:val="TableText"/>
              <w:keepLines w:val="0"/>
              <w:widowControl/>
            </w:pPr>
            <w:r>
              <w:rPr>
                <w:rFonts w:ascii="Liberation Serif" w:hAnsi="Liberation Serif"/>
                <w:sz w:val="16"/>
              </w:rPr>
              <w:t>Expand</w:t>
            </w:r>
          </w:p>
        </w:tc>
        <w:tc>
          <w:tcPr>
            <w:tcW w:type="dxa" w:w="8208"/>
            <w:vAlign w:val="top"/>
            <w:tcMar>
              <w:top w:w="65" w:type="dxa"/>
              <w:start w:w="80" w:type="dxa"/>
              <w:bottom w:w="65" w:type="dxa"/>
              <w:end w:w="80" w:type="dxa"/>
            </w:tcMar>
          </w:tcPr>
          <w:p>
            <w:pPr>
              <w:pStyle w:val="TableText"/>
              <w:keepLines w:val="0"/>
              <w:widowControl/>
            </w:pPr>
            <w:r>
              <w:rPr>
                <w:rFonts w:ascii="Liberation Serif" w:hAnsi="Liberation Serif"/>
                <w:sz w:val="16"/>
              </w:rPr>
              <w:t>Quality is stable, unmet need is meaningful, capacity can grow, and expansion will not weaken safety, access, credential administration, or supervision.</w:t>
            </w:r>
          </w:p>
        </w:tc>
      </w:tr>
      <w:tr>
        <w:trPr>
          <w:cantSplit/>
          <w:cantSplit/>
        </w:trPr>
        <w:tc>
          <w:tcPr>
            <w:tcW w:type="dxa" w:w="158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Pause</w:t>
            </w:r>
          </w:p>
        </w:tc>
        <w:tc>
          <w:tcPr>
            <w:tcW w:type="dxa" w:w="820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Capacity, legal, safety, partner, transportation, support, assessment-administration, or quality conditions prevent responsible continuation now.</w:t>
            </w:r>
          </w:p>
        </w:tc>
      </w:tr>
      <w:tr>
        <w:trPr>
          <w:cantSplit/>
          <w:cantSplit/>
        </w:trPr>
        <w:tc>
          <w:tcPr>
            <w:tcW w:type="dxa" w:w="1584"/>
            <w:vAlign w:val="top"/>
            <w:tcMar>
              <w:top w:w="65" w:type="dxa"/>
              <w:start w:w="80" w:type="dxa"/>
              <w:bottom w:w="65" w:type="dxa"/>
              <w:end w:w="80" w:type="dxa"/>
            </w:tcMar>
          </w:tcPr>
          <w:p>
            <w:pPr>
              <w:pStyle w:val="TableText"/>
              <w:keepLines w:val="0"/>
              <w:widowControl/>
            </w:pPr>
            <w:r>
              <w:rPr>
                <w:rFonts w:ascii="Liberation Serif" w:hAnsi="Liberation Serif"/>
                <w:sz w:val="16"/>
              </w:rPr>
              <w:t>Stop</w:t>
            </w:r>
          </w:p>
        </w:tc>
        <w:tc>
          <w:tcPr>
            <w:tcW w:type="dxa" w:w="8208"/>
            <w:vAlign w:val="top"/>
            <w:tcMar>
              <w:top w:w="65" w:type="dxa"/>
              <w:start w:w="80" w:type="dxa"/>
              <w:bottom w:w="65" w:type="dxa"/>
              <w:end w:w="80" w:type="dxa"/>
            </w:tcMar>
          </w:tcPr>
          <w:p>
            <w:pPr>
              <w:pStyle w:val="TableText"/>
              <w:keepLines w:val="0"/>
              <w:widowControl/>
            </w:pPr>
            <w:r>
              <w:rPr>
                <w:rFonts w:ascii="Liberation Serif" w:hAnsi="Liberation Serif"/>
                <w:sz w:val="16"/>
              </w:rPr>
              <w:t>The practice is unsafe, unlawful, persistently low quality, inequitable without reasonable correction, or not educationally worthwhile.</w:t>
            </w:r>
          </w:p>
        </w:tc>
      </w:tr>
    </w:tbl>
    <w:p>
      <w:pPr>
        <w:spacing w:after="0"/>
      </w:pPr>
    </w:p>
    <w:p>
      <w:pPr/>
      <w:r>
        <w:rPr>
          <w:i w:val="0"/>
        </w:rPr>
        <w:t>Capacity is a quality condition. External Work-Based Learning and credential or assessment commitments cannot expand beyond the district’s ability to provide qualified instruction, administration, site review, supervision, visits, communication, transportation, student support, records, and response to concerns.</w:t>
      </w:r>
    </w:p>
    <w:p>
      <w:pPr/>
      <w:r>
        <w:rPr>
          <w:i w:val="0"/>
        </w:rPr>
        <w:t>Access evaluation asks who receives instruction, Gateway support, The Cottage roles, leadership opportunities, credentials, technical-assessment preparation and administration, External WBL readiness, approved training stations, and transition support. Persistent differences require inquiry into awareness, scheduling, transportation, disability-related support, language access, family responsibilities, costs, course sequence, site availability, selection practices, and program design.</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Quality Before Quantity</w:t>
            </w:r>
          </w:p>
          <w:p>
            <w:pPr>
              <w:pStyle w:val="SmallText"/>
              <w:keepLines/>
              <w:widowControl/>
            </w:pPr>
            <w:r>
              <w:rPr>
                <w:rFonts w:ascii="Liberation Serif" w:hAnsi="Liberation Serif"/>
                <w:sz w:val="18"/>
              </w:rPr>
              <w:t>When capacity is insufficient, the responsible decision is to limit or pause growth rather than reduce quality, supervision, access, assessment integrity, or safety.</w:t>
            </w:r>
          </w:p>
        </w:tc>
      </w:tr>
    </w:tbl>
    <w:p>
      <w:pPr>
        <w:spacing w:after="0"/>
      </w:pPr>
    </w:p>
    <w:p>
      <w:r>
        <w:br w:type="page"/>
      </w:r>
    </w:p>
    <w:p>
      <w:pPr>
        <w:pStyle w:val="PartLabel"/>
      </w:pPr>
      <w:r>
        <w:t>PART VII</w:t>
      </w:r>
    </w:p>
    <w:p>
      <w:pPr>
        <w:pStyle w:val="PartTitle"/>
      </w:pPr>
      <w:r>
        <w:t>Governance and Document Ownership</w:t>
      </w:r>
    </w:p>
    <w:p>
      <w:pPr>
        <w:pStyle w:val="PartIntro"/>
      </w:pPr>
      <w:r>
        <w:t>Keep assessment decisions within authorized roles and distinguish complete educational design from district implementation approval.</w:t>
      </w:r>
    </w:p>
    <w:p>
      <w:pPr>
        <w:pStyle w:val="Heading2"/>
      </w:pPr>
      <w:r>
        <w:t>Chapter 26: Governance and Final Authority</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520"/>
            <w:shd w:fill="1F4E79"/>
            <w:vAlign w:val="center"/>
            <w:tcMar>
              <w:top w:w="65" w:type="dxa"/>
              <w:start w:w="80" w:type="dxa"/>
              <w:bottom w:w="65" w:type="dxa"/>
              <w:end w:w="80" w:type="dxa"/>
            </w:tcMar>
          </w:tcPr>
          <w:p>
            <w:pPr>
              <w:pStyle w:val="TableHeader"/>
              <w:keepLines/>
              <w:widowControl/>
            </w:pPr>
            <w:r>
              <w:rPr>
                <w:rFonts w:ascii="Liberation Serif" w:hAnsi="Liberation Serif"/>
              </w:rPr>
              <w:t>Responsibility</w:t>
            </w:r>
          </w:p>
        </w:tc>
        <w:tc>
          <w:tcPr>
            <w:tcW w:type="dxa" w:w="3528"/>
            <w:shd w:fill="1F4E79"/>
            <w:vAlign w:val="center"/>
            <w:tcMar>
              <w:top w:w="65" w:type="dxa"/>
              <w:start w:w="80" w:type="dxa"/>
              <w:bottom w:w="65" w:type="dxa"/>
              <w:end w:w="80" w:type="dxa"/>
            </w:tcMar>
          </w:tcPr>
          <w:p>
            <w:pPr>
              <w:pStyle w:val="TableHeader"/>
              <w:keepLines/>
              <w:widowControl/>
            </w:pPr>
            <w:r>
              <w:rPr>
                <w:rFonts w:ascii="Liberation Serif" w:hAnsi="Liberation Serif"/>
              </w:rPr>
              <w:t>Primary authority</w:t>
            </w:r>
          </w:p>
        </w:tc>
        <w:tc>
          <w:tcPr>
            <w:tcW w:type="dxa" w:w="3744"/>
            <w:shd w:fill="1F4E79"/>
            <w:vAlign w:val="center"/>
            <w:tcMar>
              <w:top w:w="65" w:type="dxa"/>
              <w:start w:w="80" w:type="dxa"/>
              <w:bottom w:w="65" w:type="dxa"/>
              <w:end w:w="80" w:type="dxa"/>
            </w:tcMar>
          </w:tcPr>
          <w:p>
            <w:pPr>
              <w:pStyle w:val="TableHeader"/>
              <w:keepLines/>
              <w:widowControl/>
            </w:pPr>
            <w:r>
              <w:rPr>
                <w:rFonts w:ascii="Liberation Serif" w:hAnsi="Liberation Serif"/>
              </w:rPr>
              <w:t>Book Two standard</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Program policy and authorization</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District leadership and Board action when required.</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Book Two supplies evidence and evaluation findings; it does not create policy.</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4"/>
              </w:rPr>
              <w:t>Course curriculum, instruction, and course grading</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Culinary teachers and authorized curriculum leadership.</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4"/>
              </w:rPr>
              <w:t>Use the reporting categories, Skills Map, external alignments, and evidence rules through approved course plans.</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Gateways 1-5</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Authorized culinary educators using approved evidence and Passport records.</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Record completion level, verifier, date, evidence locator, and next step.</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4"/>
              </w:rPr>
              <w:t>Technical assessment and credentials</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Authorized district staff under current provider, assessment, and program requirements.</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4"/>
              </w:rPr>
              <w:t>Maintain secure administration, accommodations, result records, remediation, and accurate reporting.</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CTE endorsement / 4+1 recognition</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Authorized district and state process.</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Use current approved requirements; do not infer eligibility from Gateway status alone.</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4"/>
              </w:rPr>
              <w:t>External WBL supervision and final evaluation</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Credentialed WBL Coordinator within district authority.</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4"/>
              </w:rPr>
              <w:t>Employer and teacher evidence informs the decision; the coordinator determines the final result and Gateway 6.</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Training-station approval and renewal</w:t>
            </w:r>
          </w:p>
        </w:tc>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Authorized district personnel and WBL coordination with required review.</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4"/>
              </w:rPr>
              <w:t>Use the quality standard and proportionate decision rules in this manual.</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4"/>
              </w:rPr>
              <w:t>Annual program review</w:t>
            </w:r>
          </w:p>
        </w:tc>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4"/>
              </w:rPr>
              <w:t>Pathway and district leadership with teacher, coordinator, student, partner, and advisory input as appropriate.</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4"/>
              </w:rPr>
              <w:t>Use aggregated evidence, assign limited priorities, and verify improvement.</w:t>
            </w:r>
          </w:p>
        </w:tc>
      </w:tr>
    </w:tbl>
    <w:p>
      <w:pPr>
        <w:spacing w:after="0"/>
      </w:pPr>
    </w:p>
    <w:p>
      <w:pPr>
        <w:pStyle w:val="Heading2"/>
      </w:pPr>
      <w:r>
        <w:t>Chapter 27: Document Ownership and Implementation Boundary</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6048"/>
            <w:shd w:fill="1F4E79"/>
            <w:vAlign w:val="center"/>
            <w:tcMar>
              <w:top w:w="65" w:type="dxa"/>
              <w:start w:w="80" w:type="dxa"/>
              <w:bottom w:w="65" w:type="dxa"/>
              <w:end w:w="80" w:type="dxa"/>
            </w:tcMar>
          </w:tcPr>
          <w:p>
            <w:pPr>
              <w:pStyle w:val="TableHeader"/>
              <w:keepLines/>
              <w:widowControl/>
            </w:pPr>
            <w:r>
              <w:rPr>
                <w:rFonts w:ascii="Liberation Serif" w:hAnsi="Liberation Serif"/>
              </w:rPr>
              <w:t>Question</w:t>
            </w:r>
          </w:p>
        </w:tc>
        <w:tc>
          <w:tcPr>
            <w:tcW w:type="dxa" w:w="3744"/>
            <w:shd w:fill="1F4E79"/>
            <w:vAlign w:val="center"/>
            <w:tcMar>
              <w:top w:w="65" w:type="dxa"/>
              <w:start w:w="80" w:type="dxa"/>
              <w:bottom w:w="65" w:type="dxa"/>
              <w:end w:w="80" w:type="dxa"/>
            </w:tcMar>
          </w:tcPr>
          <w:p>
            <w:pPr>
              <w:pStyle w:val="TableHeader"/>
              <w:keepLines/>
              <w:widowControl/>
            </w:pPr>
            <w:r>
              <w:rPr>
                <w:rFonts w:ascii="Liberation Serif" w:hAnsi="Liberation Serif"/>
              </w:rPr>
              <w:t>Primary source</w:t>
            </w:r>
          </w:p>
        </w:tc>
      </w:tr>
      <w:tr>
        <w:trPr>
          <w:cantSplit/>
          <w:cantSplit/>
        </w:trPr>
        <w:tc>
          <w:tcPr>
            <w:tcW w:type="dxa" w:w="604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What is the pathway, how do students progress, and which architecture controls?</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Book One: Program Blueprint</w:t>
            </w:r>
          </w:p>
        </w:tc>
      </w:tr>
      <w:tr>
        <w:trPr>
          <w:cantSplit/>
          <w:cantSplit/>
        </w:trPr>
        <w:tc>
          <w:tcPr>
            <w:tcW w:type="dxa" w:w="6048"/>
            <w:vAlign w:val="top"/>
            <w:tcMar>
              <w:top w:w="65" w:type="dxa"/>
              <w:start w:w="80" w:type="dxa"/>
              <w:bottom w:w="65" w:type="dxa"/>
              <w:end w:w="80" w:type="dxa"/>
            </w:tcMar>
          </w:tcPr>
          <w:p>
            <w:pPr>
              <w:pStyle w:val="TableText"/>
              <w:keepLines w:val="0"/>
              <w:widowControl/>
            </w:pPr>
            <w:r>
              <w:rPr>
                <w:rFonts w:ascii="Liberation Serif" w:hAnsi="Liberation Serif"/>
                <w:sz w:val="16"/>
              </w:rPr>
              <w:t>What evidence is used, how is competency judged, and how are students, sites, standards, credentials, and the pathway evaluated?</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6"/>
              </w:rPr>
              <w:t>Book Two: Assessment, Evaluation &amp; Continuous Improvement</w:t>
            </w:r>
          </w:p>
        </w:tc>
      </w:tr>
      <w:tr>
        <w:trPr>
          <w:cantSplit/>
          <w:cantSplit/>
        </w:trPr>
        <w:tc>
          <w:tcPr>
            <w:tcW w:type="dxa" w:w="604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Who completes the next step, when, using which approved procedure or record?</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Book Three: Operations Manual</w:t>
            </w:r>
          </w:p>
        </w:tc>
      </w:tr>
      <w:tr>
        <w:trPr>
          <w:cantSplit/>
          <w:cantSplit/>
        </w:trPr>
        <w:tc>
          <w:tcPr>
            <w:tcW w:type="dxa" w:w="6048"/>
            <w:vAlign w:val="top"/>
            <w:tcMar>
              <w:top w:w="65" w:type="dxa"/>
              <w:start w:w="80" w:type="dxa"/>
              <w:bottom w:w="65" w:type="dxa"/>
              <w:end w:w="80" w:type="dxa"/>
            </w:tcMar>
          </w:tcPr>
          <w:p>
            <w:pPr>
              <w:pStyle w:val="TableText"/>
              <w:keepLines w:val="0"/>
              <w:widowControl/>
            </w:pPr>
            <w:r>
              <w:rPr>
                <w:rFonts w:ascii="Liberation Serif" w:hAnsi="Liberation Serif"/>
                <w:sz w:val="16"/>
              </w:rPr>
              <w:t>What must the Board and district authorize, staff, fund, phase, communicate, or review?</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6"/>
              </w:rPr>
              <w:t>Book Four: Board Proposal &amp; Implementation Plan</w:t>
            </w:r>
          </w:p>
        </w:tc>
      </w:tr>
      <w:tr>
        <w:trPr>
          <w:cantSplit/>
          <w:cantSplit/>
        </w:trPr>
        <w:tc>
          <w:tcPr>
            <w:tcW w:type="dxa" w:w="604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Which terms, Gateways, course roles, and philosophies are authoritative?</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Culinary Pathway Canon, Version 3.0</w:t>
            </w:r>
          </w:p>
        </w:tc>
      </w:tr>
      <w:tr>
        <w:trPr>
          <w:cantSplit/>
          <w:cantSplit/>
        </w:trPr>
        <w:tc>
          <w:tcPr>
            <w:tcW w:type="dxa" w:w="6048"/>
            <w:vAlign w:val="top"/>
            <w:tcMar>
              <w:top w:w="65" w:type="dxa"/>
              <w:start w:w="80" w:type="dxa"/>
              <w:bottom w:w="65" w:type="dxa"/>
              <w:end w:w="80" w:type="dxa"/>
            </w:tcMar>
          </w:tcPr>
          <w:p>
            <w:pPr>
              <w:pStyle w:val="TableText"/>
              <w:keepLines w:val="0"/>
              <w:widowControl/>
            </w:pPr>
            <w:r>
              <w:rPr>
                <w:rFonts w:ascii="Liberation Serif" w:hAnsi="Liberation Serif"/>
                <w:sz w:val="16"/>
              </w:rPr>
              <w:t>Which cultural commitments guide judgment and behavior?</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6"/>
              </w:rPr>
              <w:t>Culinary Pathway Operating Principles, Version 1.0</w:t>
            </w:r>
          </w:p>
        </w:tc>
      </w:tr>
      <w:tr>
        <w:trPr>
          <w:cantSplit/>
          <w:cantSplit/>
        </w:trPr>
        <w:tc>
          <w:tcPr>
            <w:tcW w:type="dxa" w:w="604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Which curriculum and assessment sources provide the standards spine?</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Approved course documents, Culinary Pathway Skills Map, YouScience Culinary III, ProStart Levels 1 and 2, CDOS, ServSafe Management, and current authorized technical-assessment requirements.</w:t>
            </w:r>
          </w:p>
        </w:tc>
      </w:tr>
    </w:tbl>
    <w:p>
      <w:pPr>
        <w:spacing w:after="0"/>
      </w:pPr>
    </w:p>
    <w:p>
      <w:pPr/>
      <w:r>
        <w:rPr>
          <w:i w:val="0"/>
        </w:rPr>
        <w:t>The educational assessment system is complete in this edition: Gateway meanings and evidence, Passport fields, completion levels, reassessment, reverification points, course reporting categories, Kitchen Management assessment, technical-assessment and credentialing relationships, External Work-Based Learning assessment, portfolio requirements, training-station evaluation, record hierarchy, and annual program review are established.</w:t>
      </w:r>
    </w:p>
    <w:p>
      <w:pPr/>
      <w:r>
        <w:rPr>
          <w:i w:val="0"/>
        </w:rPr>
        <w:t>Local implementation still requires authorized decisions about curriculum approval, gradebook configuration, technical-assessment administration, provider editions, credential funding, accommodation procedures, storage platforms, data access, retention, course codes, state reporting, and formal pathway-recognition procedures.</w:t>
      </w:r>
    </w:p>
    <w:p>
      <w:pPr>
        <w:pStyle w:val="Heading1"/>
      </w:pPr>
      <w:r>
        <w:t>Conclusion</w:t>
      </w:r>
    </w:p>
    <w:p>
      <w:pPr/>
      <w:r>
        <w:rPr>
          <w:i w:val="0"/>
        </w:rPr>
        <w:t>The Culinary Pathway does not need more disconnected assessments. It needs a clear answer to four questions: What has the student demonstrated? What responsibility is appropriate next? Is the learning environment worthy of the student? Is the pathway improving?</w:t>
      </w:r>
    </w:p>
    <w:p>
      <w:pPr/>
      <w:r>
        <w:rPr>
          <w:i w:val="0"/>
        </w:rPr>
        <w:t>The Culinary Passport records verified competency. The six Gateways make progression visible. YouScience Culinary III, ProStart Levels 1 and 2, CDOS, ServSafe Management, and the Employability Profile provide a defensible standards spine. Completion levels protect rigor and growth. Reassessment and reverification keep mastery current. The Cottage provides client-centered evidence. Kitchen Management develops leadership. External Work-Based Learning completes the continuum through sustained workplace performance, portfolio evidence, employer and coordinator evaluation, reflection, and final presentation. Program evaluation protects quality, access, capacity, credential opportunity, and responsible growth.</w:t>
      </w: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Closing Standard</w:t>
            </w:r>
          </w:p>
          <w:p>
            <w:pPr>
              <w:pStyle w:val="SmallText"/>
              <w:keepLines/>
              <w:widowControl/>
            </w:pPr>
            <w:r>
              <w:rPr>
                <w:rFonts w:ascii="Liberation Serif" w:hAnsi="Liberation Serif"/>
                <w:sz w:val="18"/>
              </w:rPr>
              <w:t>Make the standard clear. Gather the right evidence. Act on what the evidence shows. Assessment verifies learning. Evidence supports decisions. Improvement must be demonstrated.</w:t>
            </w:r>
          </w:p>
        </w:tc>
      </w:tr>
    </w:tbl>
    <w:p>
      <w:pPr>
        <w:spacing w:after="0"/>
      </w:pPr>
    </w:p>
    <w:p>
      <w:r>
        <w:br w:type="page"/>
      </w:r>
    </w:p>
    <w:p>
      <w:pPr>
        <w:pStyle w:val="PartTitle"/>
      </w:pPr>
      <w:r>
        <w:t>APPENDICES</w:t>
      </w:r>
    </w:p>
    <w:p>
      <w:pPr>
        <w:pStyle w:val="PartIntro"/>
      </w:pPr>
      <w:r>
        <w:t>Quick-reference tools for applying Book Two without reproducing the operating forms maintained in Book Three.</w:t>
      </w:r>
    </w:p>
    <w:p>
      <w:pPr>
        <w:pStyle w:val="Heading2"/>
      </w:pPr>
      <w:r>
        <w:t>Appendix A: Culinary Passport Record Specification</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2520"/>
            <w:shd w:fill="1F4E79"/>
            <w:vAlign w:val="center"/>
            <w:tcMar>
              <w:top w:w="65" w:type="dxa"/>
              <w:start w:w="80" w:type="dxa"/>
              <w:bottom w:w="65" w:type="dxa"/>
              <w:end w:w="80" w:type="dxa"/>
            </w:tcMar>
          </w:tcPr>
          <w:p>
            <w:pPr>
              <w:pStyle w:val="TableHeader"/>
              <w:keepLines/>
              <w:widowControl/>
            </w:pPr>
            <w:r>
              <w:rPr>
                <w:rFonts w:ascii="Liberation Serif" w:hAnsi="Liberation Serif"/>
              </w:rPr>
              <w:t>Field</w:t>
            </w:r>
          </w:p>
        </w:tc>
        <w:tc>
          <w:tcPr>
            <w:tcW w:type="dxa" w:w="7272"/>
            <w:shd w:fill="1F4E79"/>
            <w:vAlign w:val="center"/>
            <w:tcMar>
              <w:top w:w="65" w:type="dxa"/>
              <w:start w:w="80" w:type="dxa"/>
              <w:bottom w:w="65" w:type="dxa"/>
              <w:end w:w="80" w:type="dxa"/>
            </w:tcMar>
          </w:tcPr>
          <w:p>
            <w:pPr>
              <w:pStyle w:val="TableHeader"/>
              <w:keepLines/>
              <w:widowControl/>
            </w:pPr>
            <w:r>
              <w:rPr>
                <w:rFonts w:ascii="Liberation Serif" w:hAnsi="Liberation Serif"/>
              </w:rPr>
              <w:t>Required entry</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Student identity</w:t>
            </w:r>
          </w:p>
        </w:tc>
        <w:tc>
          <w:tcPr>
            <w:tcW w:type="dxa" w:w="727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Name, district identifier, expected graduation year.</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6"/>
              </w:rPr>
              <w:t>Gateway</w:t>
            </w:r>
          </w:p>
        </w:tc>
        <w:tc>
          <w:tcPr>
            <w:tcW w:type="dxa" w:w="7272"/>
            <w:vAlign w:val="top"/>
            <w:tcMar>
              <w:top w:w="65" w:type="dxa"/>
              <w:start w:w="80" w:type="dxa"/>
              <w:bottom w:w="65" w:type="dxa"/>
              <w:end w:w="80" w:type="dxa"/>
            </w:tcMar>
          </w:tcPr>
          <w:p>
            <w:pPr>
              <w:pStyle w:val="TableText"/>
              <w:keepLines w:val="0"/>
              <w:widowControl/>
            </w:pPr>
            <w:r>
              <w:rPr>
                <w:rFonts w:ascii="Liberation Serif" w:hAnsi="Liberation Serif"/>
                <w:sz w:val="16"/>
              </w:rPr>
              <w:t>Number and official title.</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Competency criteria</w:t>
            </w:r>
          </w:p>
        </w:tc>
        <w:tc>
          <w:tcPr>
            <w:tcW w:type="dxa" w:w="727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The standards used for the decision.</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6"/>
              </w:rPr>
              <w:t>Completion level</w:t>
            </w:r>
          </w:p>
        </w:tc>
        <w:tc>
          <w:tcPr>
            <w:tcW w:type="dxa" w:w="7272"/>
            <w:vAlign w:val="top"/>
            <w:tcMar>
              <w:top w:w="65" w:type="dxa"/>
              <w:start w:w="80" w:type="dxa"/>
              <w:bottom w:w="65" w:type="dxa"/>
              <w:end w:w="80" w:type="dxa"/>
            </w:tcMar>
          </w:tcPr>
          <w:p>
            <w:pPr>
              <w:pStyle w:val="TableText"/>
              <w:keepLines w:val="0"/>
              <w:widowControl/>
            </w:pPr>
            <w:r>
              <w:rPr>
                <w:rFonts w:ascii="Liberation Serif" w:hAnsi="Liberation Serif"/>
                <w:sz w:val="16"/>
              </w:rPr>
              <w:t>Completion with Distinction, Completion, or Not Yet Completed.</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Decision information</w:t>
            </w:r>
          </w:p>
        </w:tc>
        <w:tc>
          <w:tcPr>
            <w:tcW w:type="dxa" w:w="727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Date, verifier name, and verifier role.</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6"/>
              </w:rPr>
              <w:t>Evidence locator</w:t>
            </w:r>
          </w:p>
        </w:tc>
        <w:tc>
          <w:tcPr>
            <w:tcW w:type="dxa" w:w="7272"/>
            <w:vAlign w:val="top"/>
            <w:tcMar>
              <w:top w:w="65" w:type="dxa"/>
              <w:start w:w="80" w:type="dxa"/>
              <w:bottom w:w="65" w:type="dxa"/>
              <w:end w:w="80" w:type="dxa"/>
            </w:tcMar>
          </w:tcPr>
          <w:p>
            <w:pPr>
              <w:pStyle w:val="TableText"/>
              <w:keepLines w:val="0"/>
              <w:widowControl/>
            </w:pPr>
            <w:r>
              <w:rPr>
                <w:rFonts w:ascii="Liberation Serif" w:hAnsi="Liberation Serif"/>
                <w:sz w:val="16"/>
              </w:rPr>
              <w:t>Approved reference to gradebook evidence, Employability Profile, credential, technical-assessment record, artifact, evaluation, portfolio section, or other authoritative record.</w:t>
            </w:r>
          </w:p>
        </w:tc>
      </w:tr>
      <w:tr>
        <w:trPr>
          <w:cantSplit/>
          <w:cantSplit/>
        </w:trPr>
        <w:tc>
          <w:tcPr>
            <w:tcW w:type="dxa" w:w="2520"/>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Feedback / next step</w:t>
            </w:r>
          </w:p>
        </w:tc>
        <w:tc>
          <w:tcPr>
            <w:tcW w:type="dxa" w:w="7272"/>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Required when Not Yet Completed; recommended whenever a new responsibility follows.</w:t>
            </w:r>
          </w:p>
        </w:tc>
      </w:tr>
      <w:tr>
        <w:trPr>
          <w:cantSplit/>
          <w:cantSplit/>
        </w:trPr>
        <w:tc>
          <w:tcPr>
            <w:tcW w:type="dxa" w:w="2520"/>
            <w:vAlign w:val="top"/>
            <w:tcMar>
              <w:top w:w="65" w:type="dxa"/>
              <w:start w:w="80" w:type="dxa"/>
              <w:bottom w:w="65" w:type="dxa"/>
              <w:end w:w="80" w:type="dxa"/>
            </w:tcMar>
          </w:tcPr>
          <w:p>
            <w:pPr>
              <w:pStyle w:val="TableText"/>
              <w:keepLines w:val="0"/>
              <w:widowControl/>
            </w:pPr>
            <w:r>
              <w:rPr>
                <w:rFonts w:ascii="Liberation Serif" w:hAnsi="Liberation Serif"/>
                <w:sz w:val="16"/>
              </w:rPr>
              <w:t>Reassessment / reverification</w:t>
            </w:r>
          </w:p>
        </w:tc>
        <w:tc>
          <w:tcPr>
            <w:tcW w:type="dxa" w:w="7272"/>
            <w:vAlign w:val="top"/>
            <w:tcMar>
              <w:top w:w="65" w:type="dxa"/>
              <w:start w:w="80" w:type="dxa"/>
              <w:bottom w:w="65" w:type="dxa"/>
              <w:end w:w="80" w:type="dxa"/>
            </w:tcMar>
          </w:tcPr>
          <w:p>
            <w:pPr>
              <w:pStyle w:val="TableText"/>
              <w:keepLines w:val="0"/>
              <w:widowControl/>
            </w:pPr>
            <w:r>
              <w:rPr>
                <w:rFonts w:ascii="Liberation Serif" w:hAnsi="Liberation Serif"/>
                <w:sz w:val="16"/>
              </w:rPr>
              <w:t>Reason, date, evidence, current result, and next action.</w:t>
            </w:r>
          </w:p>
        </w:tc>
      </w:tr>
    </w:tbl>
    <w:p>
      <w:pPr>
        <w:spacing w:after="0"/>
      </w:pPr>
    </w:p>
    <w:p>
      <w:pPr>
        <w:sectPr>
          <w:headerReference w:type="default" r:id="rId9"/>
          <w:footerReference w:type="default" r:id="rId10"/>
          <w:pgSz w:w="12240" w:h="15840"/>
          <w:pgMar w:top="893" w:right="1037" w:bottom="893" w:left="1037" w:header="403" w:footer="403" w:gutter="0"/>
          <w:cols w:space="720"/>
          <w:docGrid w:linePitch="360"/>
        </w:sectPr>
      </w:pPr>
    </w:p>
    <w:p>
      <w:pPr>
        <w:pStyle w:val="Heading2"/>
      </w:pPr>
      <w:r>
        <w:t>Appendix B: Gateway Evidence and Standards Matrix</w:t>
      </w:r>
    </w:p>
    <w:p>
      <w:pPr>
        <w:pStyle w:val="SmallText"/>
        <w:ind w:left="173"/>
      </w:pPr>
      <w:r>
        <w:rPr>
          <w:i/>
          <w:color w:val="666666"/>
        </w:rPr>
        <w:t>This matrix restores the standards and credential checkpoints beneath the six established Gateways. It does not create new Gateways.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362"/>
        <w:gridCol w:w="2362"/>
        <w:gridCol w:w="2362"/>
        <w:gridCol w:w="2362"/>
        <w:gridCol w:w="2362"/>
        <w:gridCol w:w="2362"/>
      </w:tblGrid>
      <w:tr>
        <w:trPr>
          <w:tblHeader w:val="true"/>
          <w:cantSplit/>
          <w:cantSplit/>
        </w:trPr>
        <w:tc>
          <w:tcPr>
            <w:tcW w:type="dxa" w:w="648"/>
            <w:shd w:fill="1F4E79"/>
            <w:vAlign w:val="center"/>
            <w:tcMar>
              <w:top w:w="65" w:type="dxa"/>
              <w:start w:w="80" w:type="dxa"/>
              <w:bottom w:w="65" w:type="dxa"/>
              <w:end w:w="80" w:type="dxa"/>
            </w:tcMar>
          </w:tcPr>
          <w:p>
            <w:pPr>
              <w:pStyle w:val="TableHeader"/>
              <w:keepLines/>
              <w:widowControl/>
            </w:pPr>
            <w:r>
              <w:rPr>
                <w:rFonts w:ascii="Liberation Serif" w:hAnsi="Liberation Serif"/>
              </w:rPr>
              <w:t>Gateway</w:t>
            </w:r>
          </w:p>
        </w:tc>
        <w:tc>
          <w:tcPr>
            <w:tcW w:type="dxa" w:w="1800"/>
            <w:shd w:fill="1F4E79"/>
            <w:vAlign w:val="center"/>
            <w:tcMar>
              <w:top w:w="65" w:type="dxa"/>
              <w:start w:w="80" w:type="dxa"/>
              <w:bottom w:w="65" w:type="dxa"/>
              <w:end w:w="80" w:type="dxa"/>
            </w:tcMar>
          </w:tcPr>
          <w:p>
            <w:pPr>
              <w:pStyle w:val="TableHeader"/>
              <w:keepLines/>
              <w:widowControl/>
            </w:pPr>
            <w:r>
              <w:rPr>
                <w:rFonts w:ascii="Liberation Serif" w:hAnsi="Liberation Serif"/>
              </w:rPr>
              <w:t>Course / setting</w:t>
            </w:r>
          </w:p>
        </w:tc>
        <w:tc>
          <w:tcPr>
            <w:tcW w:type="dxa" w:w="2880"/>
            <w:shd w:fill="1F4E79"/>
            <w:vAlign w:val="center"/>
            <w:tcMar>
              <w:top w:w="65" w:type="dxa"/>
              <w:start w:w="80" w:type="dxa"/>
              <w:bottom w:w="65" w:type="dxa"/>
              <w:end w:w="80" w:type="dxa"/>
            </w:tcMar>
          </w:tcPr>
          <w:p>
            <w:pPr>
              <w:pStyle w:val="TableHeader"/>
              <w:keepLines/>
              <w:widowControl/>
            </w:pPr>
            <w:r>
              <w:rPr>
                <w:rFonts w:ascii="Liberation Serif" w:hAnsi="Liberation Serif"/>
              </w:rPr>
              <w:t>Competency focus</w:t>
            </w:r>
          </w:p>
        </w:tc>
        <w:tc>
          <w:tcPr>
            <w:tcW w:type="dxa" w:w="3816"/>
            <w:shd w:fill="1F4E79"/>
            <w:vAlign w:val="center"/>
            <w:tcMar>
              <w:top w:w="65" w:type="dxa"/>
              <w:start w:w="80" w:type="dxa"/>
              <w:bottom w:w="65" w:type="dxa"/>
              <w:end w:w="80" w:type="dxa"/>
            </w:tcMar>
          </w:tcPr>
          <w:p>
            <w:pPr>
              <w:pStyle w:val="TableHeader"/>
              <w:keepLines/>
              <w:widowControl/>
            </w:pPr>
            <w:r>
              <w:rPr>
                <w:rFonts w:ascii="Liberation Serif" w:hAnsi="Liberation Serif"/>
              </w:rPr>
              <w:t>Standards / curriculum anchors</w:t>
            </w:r>
          </w:p>
        </w:tc>
        <w:tc>
          <w:tcPr>
            <w:tcW w:type="dxa" w:w="3168"/>
            <w:shd w:fill="1F4E79"/>
            <w:vAlign w:val="center"/>
            <w:tcMar>
              <w:top w:w="65" w:type="dxa"/>
              <w:start w:w="80" w:type="dxa"/>
              <w:bottom w:w="65" w:type="dxa"/>
              <w:end w:w="80" w:type="dxa"/>
            </w:tcMar>
          </w:tcPr>
          <w:p>
            <w:pPr>
              <w:pStyle w:val="TableHeader"/>
              <w:keepLines/>
              <w:widowControl/>
            </w:pPr>
            <w:r>
              <w:rPr>
                <w:rFonts w:ascii="Liberation Serif" w:hAnsi="Liberation Serif"/>
              </w:rPr>
              <w:t>Typical evidence</w:t>
            </w:r>
          </w:p>
        </w:tc>
        <w:tc>
          <w:tcPr>
            <w:tcW w:type="dxa" w:w="3024"/>
            <w:shd w:fill="1F4E79"/>
            <w:vAlign w:val="center"/>
            <w:tcMar>
              <w:top w:w="65" w:type="dxa"/>
              <w:start w:w="80" w:type="dxa"/>
              <w:bottom w:w="65" w:type="dxa"/>
              <w:end w:w="80" w:type="dxa"/>
            </w:tcMar>
          </w:tcPr>
          <w:p>
            <w:pPr>
              <w:pStyle w:val="TableHeader"/>
              <w:keepLines/>
              <w:widowControl/>
            </w:pPr>
            <w:r>
              <w:rPr>
                <w:rFonts w:ascii="Liberation Serif" w:hAnsi="Liberation Serif"/>
              </w:rPr>
              <w:t>Credential / technical-assessment checkpoint</w:t>
            </w:r>
          </w:p>
        </w:tc>
      </w:tr>
      <w:tr>
        <w:trPr>
          <w:cantSplit/>
          <w:cantSplit/>
        </w:trPr>
        <w:tc>
          <w:tcPr>
            <w:tcW w:type="dxa" w:w="64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1</w:t>
            </w:r>
          </w:p>
        </w:tc>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Culinary 1</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Safety, sanitation, food safety, hygiene, emergency procedures, basic equipment safety, professional expectations.</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YouScience: Service Equipment; Sanitation &amp; Food Safety. ProStart: Keeping Food Safe; Workplace Safety; Kitchen Essentials. CDOS: Safety, Appearance, Ethical/Legal, Foundation.</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Knowledge checks, safety demonstration, direct observation, approved safety criteria.</w:t>
            </w:r>
          </w:p>
        </w:tc>
        <w:tc>
          <w:tcPr>
            <w:tcW w:type="dxa" w:w="302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ServSafe-aligned knowledge may support instruction; final credential is not required unless current approved course design says otherwise.</w:t>
            </w:r>
          </w:p>
        </w:tc>
      </w:tr>
      <w:tr>
        <w:trPr>
          <w:cantSplit/>
          <w:cantSplit/>
        </w:trPr>
        <w:tc>
          <w:tcPr>
            <w:tcW w:type="dxa" w:w="648"/>
            <w:vAlign w:val="top"/>
            <w:tcMar>
              <w:top w:w="65" w:type="dxa"/>
              <w:start w:w="80" w:type="dxa"/>
              <w:bottom w:w="65" w:type="dxa"/>
              <w:end w:w="80" w:type="dxa"/>
            </w:tcMar>
          </w:tcPr>
          <w:p>
            <w:pPr>
              <w:pStyle w:val="TableText"/>
              <w:keepLines w:val="0"/>
              <w:widowControl/>
            </w:pPr>
            <w:r>
              <w:rPr>
                <w:rFonts w:ascii="Liberation Serif" w:hAnsi="Liberation Serif"/>
                <w:sz w:val="13"/>
              </w:rPr>
              <w:t>2</w:t>
            </w:r>
          </w:p>
        </w:tc>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3"/>
              </w:rPr>
              <w:t>Culinary 1-2</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Mise en place, station organization, recipe use, measuring, scaling, knife skills, time, communication, systems, cleanup.</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3"/>
              </w:rPr>
              <w:t>YouScience: Service Equipment; Math Concepts. ProStart: Kitchen Essentials 1-2; Communication. CDOS: Attendance, Punctuality, Quality, Resource Management, Communication, Interpersonal Dynamics.</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3"/>
              </w:rPr>
              <w:t>Repeated labs, station checks, practical tasks, Employability Profile evidence.</w:t>
            </w:r>
          </w:p>
        </w:tc>
        <w:tc>
          <w:tcPr>
            <w:tcW w:type="dxa" w:w="3024"/>
            <w:vAlign w:val="top"/>
            <w:tcMar>
              <w:top w:w="65" w:type="dxa"/>
              <w:start w:w="80" w:type="dxa"/>
              <w:bottom w:w="65" w:type="dxa"/>
              <w:end w:w="80" w:type="dxa"/>
            </w:tcMar>
          </w:tcPr>
          <w:p>
            <w:pPr>
              <w:pStyle w:val="TableText"/>
              <w:keepLines w:val="0"/>
              <w:widowControl/>
            </w:pPr>
            <w:r>
              <w:rPr>
                <w:rFonts w:ascii="Liberation Serif" w:hAnsi="Liberation Serif"/>
                <w:sz w:val="13"/>
              </w:rPr>
              <w:t>Technical-assessment performance evidence begins accumulating; no terminal result yet.</w:t>
            </w:r>
          </w:p>
        </w:tc>
      </w:tr>
      <w:tr>
        <w:trPr>
          <w:cantSplit/>
          <w:cantSplit/>
        </w:trPr>
        <w:tc>
          <w:tcPr>
            <w:tcW w:type="dxa" w:w="64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3</w:t>
            </w:r>
          </w:p>
        </w:tc>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Culinary 1-2</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Foundational techniques, ingredient knowledge, product quality, consistent instructional performance.</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YouScience: foundational food and production domains. ProStart Level 1 and selected Level 2. Approved Culinary 1-2 outcomes.</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Written and practical assessments, products, projects, quarterly assessments, finals, observation, course evidence.</w:t>
            </w:r>
          </w:p>
        </w:tc>
        <w:tc>
          <w:tcPr>
            <w:tcW w:type="dxa" w:w="302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Technical-assessment readiness / curriculum coverage review at Grade 10 transition.</w:t>
            </w:r>
          </w:p>
        </w:tc>
      </w:tr>
      <w:tr>
        <w:trPr>
          <w:cantSplit/>
          <w:cantSplit/>
        </w:trPr>
        <w:tc>
          <w:tcPr>
            <w:tcW w:type="dxa" w:w="648"/>
            <w:vAlign w:val="top"/>
            <w:tcMar>
              <w:top w:w="65" w:type="dxa"/>
              <w:start w:w="80" w:type="dxa"/>
              <w:bottom w:w="65" w:type="dxa"/>
              <w:end w:w="80" w:type="dxa"/>
            </w:tcMar>
          </w:tcPr>
          <w:p>
            <w:pPr>
              <w:pStyle w:val="TableText"/>
              <w:keepLines w:val="0"/>
              <w:widowControl/>
            </w:pPr>
            <w:r>
              <w:rPr>
                <w:rFonts w:ascii="Liberation Serif" w:hAnsi="Liberation Serif"/>
                <w:sz w:val="13"/>
              </w:rPr>
              <w:t>4</w:t>
            </w:r>
          </w:p>
        </w:tc>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3"/>
              </w:rPr>
              <w:t>Advanced Culinary / The Cottage</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Client-centered production, catering, event execution, quality control, professional service.</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3"/>
              </w:rPr>
              <w:t>ProStart: serving guests, management, cost control, purchasing, marketing, nutrition, production. YouScience performance expectations. CDOS work-related skills.</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3"/>
              </w:rPr>
              <w:t>Plans, authentic production, service evidence, feedback, reflection, individual contribution.</w:t>
            </w:r>
          </w:p>
        </w:tc>
        <w:tc>
          <w:tcPr>
            <w:tcW w:type="dxa" w:w="3024"/>
            <w:vAlign w:val="top"/>
            <w:tcMar>
              <w:top w:w="65" w:type="dxa"/>
              <w:start w:w="80" w:type="dxa"/>
              <w:bottom w:w="65" w:type="dxa"/>
              <w:end w:w="80" w:type="dxa"/>
            </w:tcMar>
          </w:tcPr>
          <w:p>
            <w:pPr>
              <w:pStyle w:val="TableText"/>
              <w:keepLines w:val="0"/>
              <w:widowControl/>
            </w:pPr>
            <w:r>
              <w:rPr>
                <w:rFonts w:ascii="Liberation Serif" w:hAnsi="Liberation Serif"/>
                <w:sz w:val="13"/>
              </w:rPr>
              <w:t>ServSafe Management where administered; technical-assessment preparation and performance evidence continue.</w:t>
            </w:r>
          </w:p>
        </w:tc>
      </w:tr>
      <w:tr>
        <w:trPr>
          <w:cantSplit/>
          <w:cantSplit/>
        </w:trPr>
        <w:tc>
          <w:tcPr>
            <w:tcW w:type="dxa" w:w="64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5</w:t>
            </w:r>
          </w:p>
        </w:tc>
        <w:tc>
          <w:tcPr>
            <w:tcW w:type="dxa" w:w="180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Kitchen Management</w:t>
            </w:r>
          </w:p>
        </w:tc>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Leadership, management, supervision, employment preparation, resume, portfolio, interview, career readiness.</w:t>
            </w:r>
          </w:p>
        </w:tc>
        <w:tc>
          <w:tcPr>
            <w:tcW w:type="dxa" w:w="3816"/>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CDOS; ProStart management and Building a Successful Career; YouScience Culinary III; Employability Profile.</w:t>
            </w:r>
          </w:p>
        </w:tc>
        <w:tc>
          <w:tcPr>
            <w:tcW w:type="dxa" w:w="3168"/>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Leadership performance, planning, supervision, quality management, operational problem, career artifacts.</w:t>
            </w:r>
          </w:p>
        </w:tc>
        <w:tc>
          <w:tcPr>
            <w:tcW w:type="dxa" w:w="3024"/>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Technical-assessment components and results reviewed; credentials recorded; formal CTE endorsement / 4+1 status processed separately.</w:t>
            </w:r>
          </w:p>
        </w:tc>
      </w:tr>
      <w:tr>
        <w:trPr>
          <w:cantSplit/>
          <w:cantSplit/>
        </w:trPr>
        <w:tc>
          <w:tcPr>
            <w:tcW w:type="dxa" w:w="648"/>
            <w:vAlign w:val="top"/>
            <w:tcMar>
              <w:top w:w="65" w:type="dxa"/>
              <w:start w:w="80" w:type="dxa"/>
              <w:bottom w:w="65" w:type="dxa"/>
              <w:end w:w="80" w:type="dxa"/>
            </w:tcMar>
          </w:tcPr>
          <w:p>
            <w:pPr>
              <w:pStyle w:val="TableText"/>
              <w:keepLines w:val="0"/>
              <w:widowControl/>
            </w:pPr>
            <w:r>
              <w:rPr>
                <w:rFonts w:ascii="Liberation Serif" w:hAnsi="Liberation Serif"/>
                <w:sz w:val="13"/>
              </w:rPr>
              <w:t>6</w:t>
            </w:r>
          </w:p>
        </w:tc>
        <w:tc>
          <w:tcPr>
            <w:tcW w:type="dxa" w:w="1800"/>
            <w:vAlign w:val="top"/>
            <w:tcMar>
              <w:top w:w="65" w:type="dxa"/>
              <w:start w:w="80" w:type="dxa"/>
              <w:bottom w:w="65" w:type="dxa"/>
              <w:end w:w="80" w:type="dxa"/>
            </w:tcMar>
          </w:tcPr>
          <w:p>
            <w:pPr>
              <w:pStyle w:val="TableText"/>
              <w:keepLines w:val="0"/>
              <w:widowControl/>
            </w:pPr>
            <w:r>
              <w:rPr>
                <w:rFonts w:ascii="Liberation Serif" w:hAnsi="Liberation Serif"/>
                <w:sz w:val="13"/>
              </w:rPr>
              <w:t>External WBL, 1.0 credit</w:t>
            </w:r>
          </w:p>
        </w:tc>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Authentic workplace transfer and Canon completion requirements.</w:t>
            </w:r>
          </w:p>
        </w:tc>
        <w:tc>
          <w:tcPr>
            <w:tcW w:type="dxa" w:w="3816"/>
            <w:vAlign w:val="top"/>
            <w:tcMar>
              <w:top w:w="65" w:type="dxa"/>
              <w:start w:w="80" w:type="dxa"/>
              <w:bottom w:w="65" w:type="dxa"/>
              <w:end w:w="80" w:type="dxa"/>
            </w:tcMar>
          </w:tcPr>
          <w:p>
            <w:pPr>
              <w:pStyle w:val="TableText"/>
              <w:keepLines w:val="0"/>
              <w:widowControl/>
            </w:pPr>
            <w:r>
              <w:rPr>
                <w:rFonts w:ascii="Liberation Serif" w:hAnsi="Liberation Serif"/>
                <w:sz w:val="13"/>
              </w:rPr>
              <w:t>CDOS workplace application; Employability Profile; individual training plan and approved workplace goals.</w:t>
            </w:r>
          </w:p>
        </w:tc>
        <w:tc>
          <w:tcPr>
            <w:tcW w:type="dxa" w:w="3168"/>
            <w:vAlign w:val="top"/>
            <w:tcMar>
              <w:top w:w="65" w:type="dxa"/>
              <w:start w:w="80" w:type="dxa"/>
              <w:bottom w:w="65" w:type="dxa"/>
              <w:end w:w="80" w:type="dxa"/>
            </w:tcMar>
          </w:tcPr>
          <w:p>
            <w:pPr>
              <w:pStyle w:val="TableText"/>
              <w:keepLines w:val="0"/>
              <w:widowControl/>
            </w:pPr>
            <w:r>
              <w:rPr>
                <w:rFonts w:ascii="Liberation Serif" w:hAnsi="Liberation Serif"/>
                <w:sz w:val="13"/>
              </w:rPr>
              <w:t>300 hours, portfolio, employer evaluation, coordinator evaluation, final presentation, reflection.</w:t>
            </w:r>
          </w:p>
        </w:tc>
        <w:tc>
          <w:tcPr>
            <w:tcW w:type="dxa" w:w="3024"/>
            <w:vAlign w:val="top"/>
            <w:tcMar>
              <w:top w:w="65" w:type="dxa"/>
              <w:start w:w="80" w:type="dxa"/>
              <w:bottom w:w="65" w:type="dxa"/>
              <w:end w:w="80" w:type="dxa"/>
            </w:tcMar>
          </w:tcPr>
          <w:p>
            <w:pPr>
              <w:pStyle w:val="TableText"/>
              <w:keepLines w:val="0"/>
              <w:widowControl/>
            </w:pPr>
            <w:r>
              <w:rPr>
                <w:rFonts w:ascii="Liberation Serif" w:hAnsi="Liberation Serif"/>
                <w:sz w:val="13"/>
              </w:rPr>
              <w:t>Prior credentials and technical assessment remain part of the record; Gateway 6 verifies professional transfer rather than retesting them.</w:t>
            </w:r>
          </w:p>
        </w:tc>
      </w:tr>
    </w:tbl>
    <w:p>
      <w:pPr>
        <w:spacing w:after="0"/>
      </w:pPr>
    </w:p>
    <w:p>
      <w:pPr>
        <w:sectPr>
          <w:headerReference w:type="default" r:id="rId11"/>
          <w:footerReference w:type="default" r:id="rId12"/>
          <w:pgSz w:w="15840" w:h="12240" w:orient="landscape"/>
          <w:pgMar w:top="864" w:right="835" w:bottom="835" w:left="835" w:header="403" w:footer="403" w:gutter="0"/>
          <w:cols w:space="720"/>
          <w:docGrid w:linePitch="360"/>
        </w:sectPr>
      </w:pPr>
    </w:p>
    <w:p>
      <w:pPr>
        <w:pStyle w:val="Heading2"/>
      </w:pPr>
      <w:r>
        <w:t>Appendix C: YouScience Culinary III Technical-Assessment Blueprint</w:t>
      </w:r>
    </w:p>
    <w:p>
      <w:pPr>
        <w:pStyle w:val="SmallText"/>
        <w:ind w:left="173"/>
      </w:pPr>
      <w:r>
        <w:rPr>
          <w:i/>
          <w:color w:val="666666"/>
        </w:rPr>
        <w:t>Weights and performance expectations are drawn from the current Culinary Pathway Skills Map. The approved assessment edition and provider requirements control administration.</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3240"/>
            <w:shd w:fill="1F4E79"/>
            <w:vAlign w:val="center"/>
            <w:tcMar>
              <w:top w:w="65" w:type="dxa"/>
              <w:start w:w="80" w:type="dxa"/>
              <w:bottom w:w="65" w:type="dxa"/>
              <w:end w:w="80" w:type="dxa"/>
            </w:tcMar>
          </w:tcPr>
          <w:p>
            <w:pPr>
              <w:pStyle w:val="TableHeader"/>
              <w:keepLines/>
              <w:widowControl/>
            </w:pPr>
            <w:r>
              <w:rPr>
                <w:rFonts w:ascii="Liberation Serif" w:hAnsi="Liberation Serif"/>
              </w:rPr>
              <w:t>Knowledge standard</w:t>
            </w:r>
          </w:p>
        </w:tc>
        <w:tc>
          <w:tcPr>
            <w:tcW w:type="dxa" w:w="936"/>
            <w:shd w:fill="1F4E79"/>
            <w:vAlign w:val="center"/>
            <w:tcMar>
              <w:top w:w="65" w:type="dxa"/>
              <w:start w:w="80" w:type="dxa"/>
              <w:bottom w:w="65" w:type="dxa"/>
              <w:end w:w="80" w:type="dxa"/>
            </w:tcMar>
          </w:tcPr>
          <w:p>
            <w:pPr>
              <w:pStyle w:val="TableHeader"/>
              <w:keepLines/>
              <w:widowControl/>
            </w:pPr>
            <w:r>
              <w:rPr>
                <w:rFonts w:ascii="Liberation Serif" w:hAnsi="Liberation Serif"/>
              </w:rPr>
              <w:t>Weight</w:t>
            </w:r>
          </w:p>
        </w:tc>
        <w:tc>
          <w:tcPr>
            <w:tcW w:type="dxa" w:w="5616"/>
            <w:shd w:fill="1F4E79"/>
            <w:vAlign w:val="center"/>
            <w:tcMar>
              <w:top w:w="65" w:type="dxa"/>
              <w:start w:w="80" w:type="dxa"/>
              <w:bottom w:w="65" w:type="dxa"/>
              <w:end w:w="80" w:type="dxa"/>
            </w:tcMar>
          </w:tcPr>
          <w:p>
            <w:pPr>
              <w:pStyle w:val="TableHeader"/>
              <w:keepLines/>
              <w:widowControl/>
            </w:pPr>
            <w:r>
              <w:rPr>
                <w:rFonts w:ascii="Liberation Serif" w:hAnsi="Liberation Serif"/>
              </w:rPr>
              <w:t>Pathway content emphasis</w:t>
            </w:r>
          </w:p>
        </w:tc>
      </w:tr>
      <w:tr>
        <w:trPr>
          <w:cantSplit/>
          <w:cantSplit/>
        </w:trPr>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 Service Equipment</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14%</w:t>
            </w:r>
          </w:p>
        </w:tc>
        <w:tc>
          <w:tcPr>
            <w:tcW w:type="dxa" w:w="561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Knives, smallwares, equipment identification and care, knife cuts, measuring tools, mise en place.</w:t>
            </w:r>
          </w:p>
        </w:tc>
      </w:tr>
      <w:tr>
        <w:trPr>
          <w:cantSplit/>
          <w:cantSplit/>
        </w:trPr>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2. Sanitation and Food Safety</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5"/>
              </w:rPr>
              <w:t>14%</w:t>
            </w:r>
          </w:p>
        </w:tc>
        <w:tc>
          <w:tcPr>
            <w:tcW w:type="dxa" w:w="5616"/>
            <w:vAlign w:val="top"/>
            <w:tcMar>
              <w:top w:w="65" w:type="dxa"/>
              <w:start w:w="80" w:type="dxa"/>
              <w:bottom w:w="65" w:type="dxa"/>
              <w:end w:w="80" w:type="dxa"/>
            </w:tcMar>
          </w:tcPr>
          <w:p>
            <w:pPr>
              <w:pStyle w:val="TableText"/>
              <w:keepLines w:val="0"/>
              <w:widowControl/>
            </w:pPr>
            <w:r>
              <w:rPr>
                <w:rFonts w:ascii="Liberation Serif" w:hAnsi="Liberation Serif"/>
                <w:sz w:val="15"/>
              </w:rPr>
              <w:t>Safety rules, hygiene, flow of food, HACCP, FIFO, pathogens, contamination, allergens, temperature control, cleaning and sanitation.</w:t>
            </w:r>
          </w:p>
        </w:tc>
      </w:tr>
      <w:tr>
        <w:trPr>
          <w:cantSplit/>
          <w:cantSplit/>
        </w:trPr>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3. Mathematical Concepts</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9%</w:t>
            </w:r>
          </w:p>
        </w:tc>
        <w:tc>
          <w:tcPr>
            <w:tcW w:type="dxa" w:w="561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Food costs, portions, AP/EP, percent yield, menu pricing, food-cost percentage, menu-item classification.</w:t>
            </w:r>
          </w:p>
        </w:tc>
      </w:tr>
      <w:tr>
        <w:trPr>
          <w:cantSplit/>
          <w:cantSplit/>
        </w:trPr>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4. Menu Planning</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5"/>
              </w:rPr>
              <w:t>7%</w:t>
            </w:r>
          </w:p>
        </w:tc>
        <w:tc>
          <w:tcPr>
            <w:tcW w:type="dxa" w:w="5616"/>
            <w:vAlign w:val="top"/>
            <w:tcMar>
              <w:top w:w="65" w:type="dxa"/>
              <w:start w:w="80" w:type="dxa"/>
              <w:bottom w:w="65" w:type="dxa"/>
              <w:end w:w="80" w:type="dxa"/>
            </w:tcMar>
          </w:tcPr>
          <w:p>
            <w:pPr>
              <w:pStyle w:val="TableText"/>
              <w:keepLines w:val="0"/>
              <w:widowControl/>
            </w:pPr>
            <w:r>
              <w:rPr>
                <w:rFonts w:ascii="Liberation Serif" w:hAnsi="Liberation Serif"/>
                <w:sz w:val="15"/>
              </w:rPr>
              <w:t>Nutrition, dietary needs, allergens and intolerances, menu types and planning.</w:t>
            </w:r>
          </w:p>
        </w:tc>
      </w:tr>
      <w:tr>
        <w:trPr>
          <w:cantSplit/>
          <w:cantSplit/>
        </w:trPr>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5. Marketing Strategies</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5%</w:t>
            </w:r>
          </w:p>
        </w:tc>
        <w:tc>
          <w:tcPr>
            <w:tcW w:type="dxa" w:w="561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Public relations, sales promotion, advertising, direct marketing, and personal selling.</w:t>
            </w:r>
          </w:p>
        </w:tc>
      </w:tr>
      <w:tr>
        <w:trPr>
          <w:cantSplit/>
          <w:cantSplit/>
        </w:trPr>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6. Eggs, Milk and Milk Products</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5"/>
              </w:rPr>
              <w:t>11%</w:t>
            </w:r>
          </w:p>
        </w:tc>
        <w:tc>
          <w:tcPr>
            <w:tcW w:type="dxa" w:w="5616"/>
            <w:vAlign w:val="top"/>
            <w:tcMar>
              <w:top w:w="65" w:type="dxa"/>
              <w:start w:w="80" w:type="dxa"/>
              <w:bottom w:w="65" w:type="dxa"/>
              <w:end w:w="80" w:type="dxa"/>
            </w:tcMar>
          </w:tcPr>
          <w:p>
            <w:pPr>
              <w:pStyle w:val="TableText"/>
              <w:keepLines w:val="0"/>
              <w:widowControl/>
            </w:pPr>
            <w:r>
              <w:rPr>
                <w:rFonts w:ascii="Liberation Serif" w:hAnsi="Liberation Serif"/>
                <w:sz w:val="15"/>
              </w:rPr>
              <w:t>Egg functions and preparation; dairy identification, handling, and application.</w:t>
            </w:r>
          </w:p>
        </w:tc>
      </w:tr>
      <w:tr>
        <w:trPr>
          <w:cantSplit/>
          <w:cantSplit/>
        </w:trPr>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7. Produce Preparation</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9%</w:t>
            </w:r>
          </w:p>
        </w:tc>
        <w:tc>
          <w:tcPr>
            <w:tcW w:type="dxa" w:w="561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Fruits, vegetables, herbs, spices, selection, handling, preparation, and quality.</w:t>
            </w:r>
          </w:p>
        </w:tc>
      </w:tr>
      <w:tr>
        <w:trPr>
          <w:cantSplit/>
          <w:cantSplit/>
        </w:trPr>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8. Grains, Pasta, Potatoes and Legumes</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5"/>
              </w:rPr>
              <w:t>9%</w:t>
            </w:r>
          </w:p>
        </w:tc>
        <w:tc>
          <w:tcPr>
            <w:tcW w:type="dxa" w:w="5616"/>
            <w:vAlign w:val="top"/>
            <w:tcMar>
              <w:top w:w="65" w:type="dxa"/>
              <w:start w:w="80" w:type="dxa"/>
              <w:bottom w:w="65" w:type="dxa"/>
              <w:end w:w="80" w:type="dxa"/>
            </w:tcMar>
          </w:tcPr>
          <w:p>
            <w:pPr>
              <w:pStyle w:val="TableText"/>
              <w:keepLines w:val="0"/>
              <w:widowControl/>
            </w:pPr>
            <w:r>
              <w:rPr>
                <w:rFonts w:ascii="Liberation Serif" w:hAnsi="Liberation Serif"/>
                <w:sz w:val="15"/>
              </w:rPr>
              <w:t>Identification, preparation methods, production, and application.</w:t>
            </w:r>
          </w:p>
        </w:tc>
      </w:tr>
      <w:tr>
        <w:trPr>
          <w:cantSplit/>
          <w:cantSplit/>
        </w:trPr>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9. Sustainable Practices</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2%</w:t>
            </w:r>
          </w:p>
        </w:tc>
        <w:tc>
          <w:tcPr>
            <w:tcW w:type="dxa" w:w="561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Local and seasonal sourcing, resource management, waste reduction, and culinary responsibility.</w:t>
            </w:r>
          </w:p>
        </w:tc>
      </w:tr>
      <w:tr>
        <w:trPr>
          <w:cantSplit/>
          <w:cantSplit/>
        </w:trPr>
        <w:tc>
          <w:tcPr>
            <w:tcW w:type="dxa" w:w="3240"/>
            <w:vAlign w:val="top"/>
            <w:tcMar>
              <w:top w:w="65" w:type="dxa"/>
              <w:start w:w="80" w:type="dxa"/>
              <w:bottom w:w="65" w:type="dxa"/>
              <w:end w:w="80" w:type="dxa"/>
            </w:tcMar>
          </w:tcPr>
          <w:p>
            <w:pPr>
              <w:pStyle w:val="TableText"/>
              <w:keepLines w:val="0"/>
              <w:widowControl/>
            </w:pPr>
            <w:r>
              <w:rPr>
                <w:rFonts w:ascii="Liberation Serif" w:hAnsi="Liberation Serif"/>
                <w:sz w:val="15"/>
              </w:rPr>
              <w:t>10. Poultry, Meat and Seafood</w:t>
            </w:r>
          </w:p>
        </w:tc>
        <w:tc>
          <w:tcPr>
            <w:tcW w:type="dxa" w:w="936"/>
            <w:vAlign w:val="top"/>
            <w:tcMar>
              <w:top w:w="65" w:type="dxa"/>
              <w:start w:w="80" w:type="dxa"/>
              <w:bottom w:w="65" w:type="dxa"/>
              <w:end w:w="80" w:type="dxa"/>
            </w:tcMar>
          </w:tcPr>
          <w:p>
            <w:pPr>
              <w:pStyle w:val="TableText"/>
              <w:keepLines w:val="0"/>
              <w:widowControl/>
            </w:pPr>
            <w:r>
              <w:rPr>
                <w:rFonts w:ascii="Liberation Serif" w:hAnsi="Liberation Serif"/>
                <w:sz w:val="15"/>
              </w:rPr>
              <w:t>9%</w:t>
            </w:r>
          </w:p>
        </w:tc>
        <w:tc>
          <w:tcPr>
            <w:tcW w:type="dxa" w:w="5616"/>
            <w:vAlign w:val="top"/>
            <w:tcMar>
              <w:top w:w="65" w:type="dxa"/>
              <w:start w:w="80" w:type="dxa"/>
              <w:bottom w:w="65" w:type="dxa"/>
              <w:end w:w="80" w:type="dxa"/>
            </w:tcMar>
          </w:tcPr>
          <w:p>
            <w:pPr>
              <w:pStyle w:val="TableText"/>
              <w:keepLines w:val="0"/>
              <w:widowControl/>
            </w:pPr>
            <w:r>
              <w:rPr>
                <w:rFonts w:ascii="Liberation Serif" w:hAnsi="Liberation Serif"/>
                <w:sz w:val="15"/>
              </w:rPr>
              <w:t>Identification, fabrication, preparation, cooking methods, safe temperatures, and quality.</w:t>
            </w:r>
          </w:p>
        </w:tc>
      </w:tr>
      <w:tr>
        <w:trPr>
          <w:cantSplit/>
          <w:cantSplit/>
        </w:trPr>
        <w:tc>
          <w:tcPr>
            <w:tcW w:type="dxa" w:w="3240"/>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11. Bakery Food Production</w:t>
            </w:r>
          </w:p>
        </w:tc>
        <w:tc>
          <w:tcPr>
            <w:tcW w:type="dxa" w:w="93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11%</w:t>
            </w:r>
          </w:p>
        </w:tc>
        <w:tc>
          <w:tcPr>
            <w:tcW w:type="dxa" w:w="5616"/>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Baking ingredients, methods, quick breads, yeast products, pastries, cakes, and quantity production.</w:t>
            </w:r>
          </w:p>
        </w:tc>
      </w:tr>
    </w:tbl>
    <w:p>
      <w:pPr>
        <w:spacing w:after="0"/>
      </w:pPr>
    </w:p>
    <w:p>
      <w:pPr>
        <w:pStyle w:val="Heading3"/>
      </w:pPr>
      <w:r>
        <w:t>Performance Expectations</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3528"/>
            <w:shd w:fill="1F4E79"/>
            <w:vAlign w:val="center"/>
            <w:tcMar>
              <w:top w:w="65" w:type="dxa"/>
              <w:start w:w="80" w:type="dxa"/>
              <w:bottom w:w="65" w:type="dxa"/>
              <w:end w:w="80" w:type="dxa"/>
            </w:tcMar>
          </w:tcPr>
          <w:p>
            <w:pPr>
              <w:pStyle w:val="TableHeader"/>
              <w:keepLines/>
              <w:widowControl/>
            </w:pPr>
            <w:r>
              <w:rPr>
                <w:rFonts w:ascii="Liberation Serif" w:hAnsi="Liberation Serif"/>
              </w:rPr>
              <w:t>Performance standard</w:t>
            </w:r>
          </w:p>
        </w:tc>
        <w:tc>
          <w:tcPr>
            <w:tcW w:type="dxa" w:w="6263"/>
            <w:shd w:fill="1F4E79"/>
            <w:vAlign w:val="center"/>
            <w:tcMar>
              <w:top w:w="65" w:type="dxa"/>
              <w:start w:w="80" w:type="dxa"/>
              <w:bottom w:w="65" w:type="dxa"/>
              <w:end w:w="80" w:type="dxa"/>
            </w:tcMar>
          </w:tcPr>
          <w:p>
            <w:pPr>
              <w:pStyle w:val="TableHeader"/>
              <w:keepLines/>
              <w:widowControl/>
            </w:pPr>
            <w:r>
              <w:rPr>
                <w:rFonts w:ascii="Liberation Serif" w:hAnsi="Liberation Serif"/>
              </w:rPr>
              <w:t>Representative pathway evidence</w:t>
            </w:r>
          </w:p>
        </w:tc>
      </w:tr>
      <w:tr>
        <w:trPr>
          <w:cantSplit/>
          <w:cantSplit/>
        </w:trPr>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Knife Cuts Competency</w:t>
            </w:r>
          </w:p>
        </w:tc>
        <w:tc>
          <w:tcPr>
            <w:tcW w:type="dxa" w:w="626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Safe, accurate knife handling and representative cuts.</w:t>
            </w:r>
          </w:p>
        </w:tc>
      </w:tr>
      <w:tr>
        <w:trPr>
          <w:cantSplit/>
          <w:cantSplit/>
        </w:trPr>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6"/>
              </w:rPr>
              <w:t>Food Safety Certification</w:t>
            </w:r>
          </w:p>
        </w:tc>
        <w:tc>
          <w:tcPr>
            <w:tcW w:type="dxa" w:w="6263"/>
            <w:vAlign w:val="top"/>
            <w:tcMar>
              <w:top w:w="65" w:type="dxa"/>
              <w:start w:w="80" w:type="dxa"/>
              <w:bottom w:w="65" w:type="dxa"/>
              <w:end w:w="80" w:type="dxa"/>
            </w:tcMar>
          </w:tcPr>
          <w:p>
            <w:pPr>
              <w:pStyle w:val="TableText"/>
              <w:keepLines w:val="0"/>
              <w:widowControl/>
            </w:pPr>
            <w:r>
              <w:rPr>
                <w:rFonts w:ascii="Liberation Serif" w:hAnsi="Liberation Serif"/>
                <w:sz w:val="16"/>
              </w:rPr>
              <w:t>ServSafe Management or current approved equivalent, plus observed safe practice.</w:t>
            </w:r>
          </w:p>
        </w:tc>
      </w:tr>
      <w:tr>
        <w:trPr>
          <w:cantSplit/>
          <w:cantSplit/>
        </w:trPr>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Culinary Mathematics Presentation</w:t>
            </w:r>
          </w:p>
        </w:tc>
        <w:tc>
          <w:tcPr>
            <w:tcW w:type="dxa" w:w="626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Applied calculations communicated clearly in a professional context.</w:t>
            </w:r>
          </w:p>
        </w:tc>
      </w:tr>
      <w:tr>
        <w:trPr>
          <w:cantSplit/>
          <w:cantSplit/>
        </w:trPr>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6"/>
              </w:rPr>
              <w:t>Menu Creation</w:t>
            </w:r>
          </w:p>
        </w:tc>
        <w:tc>
          <w:tcPr>
            <w:tcW w:type="dxa" w:w="6263"/>
            <w:vAlign w:val="top"/>
            <w:tcMar>
              <w:top w:w="65" w:type="dxa"/>
              <w:start w:w="80" w:type="dxa"/>
              <w:bottom w:w="65" w:type="dxa"/>
              <w:end w:w="80" w:type="dxa"/>
            </w:tcMar>
          </w:tcPr>
          <w:p>
            <w:pPr>
              <w:pStyle w:val="TableText"/>
              <w:keepLines w:val="0"/>
              <w:widowControl/>
            </w:pPr>
            <w:r>
              <w:rPr>
                <w:rFonts w:ascii="Liberation Serif" w:hAnsi="Liberation Serif"/>
                <w:sz w:val="16"/>
              </w:rPr>
              <w:t>Menu developed for audience, constraints, nutrition, cost, and service purpose.</w:t>
            </w:r>
          </w:p>
        </w:tc>
      </w:tr>
      <w:tr>
        <w:trPr>
          <w:cantSplit/>
          <w:cantSplit/>
        </w:trPr>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Egg and Dairy Dish Preparation</w:t>
            </w:r>
          </w:p>
        </w:tc>
        <w:tc>
          <w:tcPr>
            <w:tcW w:type="dxa" w:w="626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Representative product demonstrating safe and correct technique.</w:t>
            </w:r>
          </w:p>
        </w:tc>
      </w:tr>
      <w:tr>
        <w:trPr>
          <w:cantSplit/>
          <w:cantSplit/>
        </w:trPr>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6"/>
              </w:rPr>
              <w:t>Produce Dish Preparation</w:t>
            </w:r>
          </w:p>
        </w:tc>
        <w:tc>
          <w:tcPr>
            <w:tcW w:type="dxa" w:w="6263"/>
            <w:vAlign w:val="top"/>
            <w:tcMar>
              <w:top w:w="65" w:type="dxa"/>
              <w:start w:w="80" w:type="dxa"/>
              <w:bottom w:w="65" w:type="dxa"/>
              <w:end w:w="80" w:type="dxa"/>
            </w:tcMar>
          </w:tcPr>
          <w:p>
            <w:pPr>
              <w:pStyle w:val="TableText"/>
              <w:keepLines w:val="0"/>
              <w:widowControl/>
            </w:pPr>
            <w:r>
              <w:rPr>
                <w:rFonts w:ascii="Liberation Serif" w:hAnsi="Liberation Serif"/>
                <w:sz w:val="16"/>
              </w:rPr>
              <w:t>Representative product demonstrating selection, preparation, technique, and quality.</w:t>
            </w:r>
          </w:p>
        </w:tc>
      </w:tr>
      <w:tr>
        <w:trPr>
          <w:cantSplit/>
          <w:cantSplit/>
        </w:trPr>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Grain / Pasta / Potato Dish Preparation</w:t>
            </w:r>
          </w:p>
        </w:tc>
        <w:tc>
          <w:tcPr>
            <w:tcW w:type="dxa" w:w="626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Representative product demonstrating correct method and quality.</w:t>
            </w:r>
          </w:p>
        </w:tc>
      </w:tr>
      <w:tr>
        <w:trPr>
          <w:cantSplit/>
          <w:cantSplit/>
        </w:trPr>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6"/>
              </w:rPr>
              <w:t>Meat / Poultry / Seafood Preparation</w:t>
            </w:r>
          </w:p>
        </w:tc>
        <w:tc>
          <w:tcPr>
            <w:tcW w:type="dxa" w:w="6263"/>
            <w:vAlign w:val="top"/>
            <w:tcMar>
              <w:top w:w="65" w:type="dxa"/>
              <w:start w:w="80" w:type="dxa"/>
              <w:bottom w:w="65" w:type="dxa"/>
              <w:end w:w="80" w:type="dxa"/>
            </w:tcMar>
          </w:tcPr>
          <w:p>
            <w:pPr>
              <w:pStyle w:val="TableText"/>
              <w:keepLines w:val="0"/>
              <w:widowControl/>
            </w:pPr>
            <w:r>
              <w:rPr>
                <w:rFonts w:ascii="Liberation Serif" w:hAnsi="Liberation Serif"/>
                <w:sz w:val="16"/>
              </w:rPr>
              <w:t>Representative safe fabrication or preparation and correct cooking.</w:t>
            </w:r>
          </w:p>
        </w:tc>
      </w:tr>
      <w:tr>
        <w:trPr>
          <w:cantSplit/>
          <w:cantSplit/>
        </w:trPr>
        <w:tc>
          <w:tcPr>
            <w:tcW w:type="dxa" w:w="3528"/>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Bakery Production for 30</w:t>
            </w:r>
          </w:p>
        </w:tc>
        <w:tc>
          <w:tcPr>
            <w:tcW w:type="dxa" w:w="6263"/>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Quantity planning and production with consistency, timing, food safety, and quality control.</w:t>
            </w:r>
          </w:p>
        </w:tc>
      </w:tr>
      <w:tr>
        <w:trPr>
          <w:cantSplit/>
          <w:cantSplit/>
        </w:trPr>
        <w:tc>
          <w:tcPr>
            <w:tcW w:type="dxa" w:w="3528"/>
            <w:vAlign w:val="top"/>
            <w:tcMar>
              <w:top w:w="65" w:type="dxa"/>
              <w:start w:w="80" w:type="dxa"/>
              <w:bottom w:w="65" w:type="dxa"/>
              <w:end w:w="80" w:type="dxa"/>
            </w:tcMar>
          </w:tcPr>
          <w:p>
            <w:pPr>
              <w:pStyle w:val="TableText"/>
              <w:keepLines w:val="0"/>
              <w:widowControl/>
            </w:pPr>
            <w:r>
              <w:rPr>
                <w:rFonts w:ascii="Liberation Serif" w:hAnsi="Liberation Serif"/>
                <w:sz w:val="16"/>
              </w:rPr>
              <w:t>Workplace Skills Demonstration</w:t>
            </w:r>
          </w:p>
        </w:tc>
        <w:tc>
          <w:tcPr>
            <w:tcW w:type="dxa" w:w="6263"/>
            <w:vAlign w:val="top"/>
            <w:tcMar>
              <w:top w:w="65" w:type="dxa"/>
              <w:start w:w="80" w:type="dxa"/>
              <w:bottom w:w="65" w:type="dxa"/>
              <w:end w:w="80" w:type="dxa"/>
            </w:tcMar>
          </w:tcPr>
          <w:p>
            <w:pPr>
              <w:pStyle w:val="TableText"/>
              <w:keepLines w:val="0"/>
              <w:widowControl/>
            </w:pPr>
            <w:r>
              <w:rPr>
                <w:rFonts w:ascii="Liberation Serif" w:hAnsi="Liberation Serif"/>
                <w:sz w:val="16"/>
              </w:rPr>
              <w:t>Hard and soft skills including communication, organization, teamwork, problem solving, and professional conduct.</w:t>
            </w:r>
          </w:p>
        </w:tc>
      </w:tr>
    </w:tbl>
    <w:p>
      <w:pPr>
        <w:spacing w:after="0"/>
      </w:pPr>
    </w:p>
    <w:tbl>
      <w:tblPr>
        <w:tblW w:type="auto" w:w="0"/>
        <w:jc w:val="center"/>
        <w:tblLayout w:type="fixed"/>
        <w:tblLook w:firstColumn="1" w:firstRow="1" w:lastColumn="0" w:lastRow="0" w:noHBand="0" w:noVBand="1" w:val="04A0"/>
        <w:tblBorders>
          <w:top w:val="single" w:sz="5" w:space="0" w:color="5B5B5B"/>
          <w:left w:val="single" w:sz="5" w:space="0" w:color="5B5B5B"/>
          <w:bottom w:val="single" w:sz="5" w:space="0" w:color="5B5B5B"/>
          <w:right w:val="single" w:sz="5" w:space="0" w:color="5B5B5B"/>
          <w:insideH w:val="single" w:sz="5" w:space="0" w:color="5B5B5B"/>
          <w:insideV w:val="single" w:sz="5" w:space="0" w:color="5B5B5B"/>
        </w:tblBorders>
      </w:tblPr>
      <w:tblGrid>
        <w:gridCol w:w="10166"/>
      </w:tblGrid>
      <w:tr>
        <w:trPr>
          <w:cantSplit/>
        </w:trPr>
        <w:tc>
          <w:tcPr>
            <w:tcW w:type="dxa" w:w="10166"/>
            <w:shd w:fill="E5F2F2"/>
            <w:tcMar>
              <w:top w:w="90" w:type="dxa"/>
              <w:start w:w="100" w:type="dxa"/>
              <w:bottom w:w="90" w:type="dxa"/>
              <w:end w:w="100" w:type="dxa"/>
            </w:tcMar>
          </w:tcPr>
          <w:p>
            <w:pPr>
              <w:keepLines/>
              <w:widowControl/>
              <w:spacing w:after="20"/>
            </w:pPr>
            <w:r>
              <w:rPr>
                <w:rFonts w:ascii="Liberation Sans" w:hAnsi="Liberation Sans"/>
                <w:b/>
                <w:color w:val="1C7C83"/>
                <w:sz w:val="21"/>
              </w:rPr>
              <w:t>Blueprint Use</w:t>
            </w:r>
          </w:p>
          <w:p>
            <w:pPr>
              <w:pStyle w:val="SmallText"/>
              <w:keepLines/>
              <w:widowControl/>
            </w:pPr>
            <w:r>
              <w:rPr>
                <w:rFonts w:ascii="Liberation Serif" w:hAnsi="Liberation Serif"/>
                <w:sz w:val="18"/>
              </w:rPr>
              <w:t>The department maps each standard to a course, unit, learning opportunity, assessment, and evidence owner. The blueprint is reviewed annually so assessment results can improve curriculum instead of becoming an isolated senior-year test event.</w:t>
            </w:r>
          </w:p>
        </w:tc>
      </w:tr>
    </w:tbl>
    <w:p>
      <w:pPr>
        <w:spacing w:after="0"/>
      </w:pPr>
    </w:p>
    <w:p>
      <w:pPr>
        <w:pStyle w:val="Heading2"/>
      </w:pPr>
      <w:r>
        <w:t>Appendix D: ProStart and CDOS Alignment Reference</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1655"/>
            <w:shd w:fill="1F4E79"/>
            <w:vAlign w:val="center"/>
            <w:tcMar>
              <w:top w:w="65" w:type="dxa"/>
              <w:start w:w="80" w:type="dxa"/>
              <w:bottom w:w="65" w:type="dxa"/>
              <w:end w:w="80" w:type="dxa"/>
            </w:tcMar>
          </w:tcPr>
          <w:p>
            <w:pPr>
              <w:pStyle w:val="TableHeader"/>
              <w:keepLines/>
              <w:widowControl/>
            </w:pPr>
            <w:r>
              <w:rPr>
                <w:rFonts w:ascii="Liberation Serif" w:hAnsi="Liberation Serif"/>
              </w:rPr>
              <w:t>Gateway stage</w:t>
            </w:r>
          </w:p>
        </w:tc>
        <w:tc>
          <w:tcPr>
            <w:tcW w:type="dxa" w:w="4464"/>
            <w:shd w:fill="1F4E79"/>
            <w:vAlign w:val="center"/>
            <w:tcMar>
              <w:top w:w="65" w:type="dxa"/>
              <w:start w:w="80" w:type="dxa"/>
              <w:bottom w:w="65" w:type="dxa"/>
              <w:end w:w="80" w:type="dxa"/>
            </w:tcMar>
          </w:tcPr>
          <w:p>
            <w:pPr>
              <w:pStyle w:val="TableHeader"/>
              <w:keepLines/>
              <w:widowControl/>
            </w:pPr>
            <w:r>
              <w:rPr>
                <w:rFonts w:ascii="Liberation Serif" w:hAnsi="Liberation Serif"/>
              </w:rPr>
              <w:t>ProStart Level 1 and 2 emphasis</w:t>
            </w:r>
          </w:p>
        </w:tc>
        <w:tc>
          <w:tcPr>
            <w:tcW w:type="dxa" w:w="3671"/>
            <w:shd w:fill="1F4E79"/>
            <w:vAlign w:val="center"/>
            <w:tcMar>
              <w:top w:w="65" w:type="dxa"/>
              <w:start w:w="80" w:type="dxa"/>
              <w:bottom w:w="65" w:type="dxa"/>
              <w:end w:w="80" w:type="dxa"/>
            </w:tcMar>
          </w:tcPr>
          <w:p>
            <w:pPr>
              <w:pStyle w:val="TableHeader"/>
              <w:keepLines/>
              <w:widowControl/>
            </w:pPr>
            <w:r>
              <w:rPr>
                <w:rFonts w:ascii="Liberation Serif" w:hAnsi="Liberation Serif"/>
              </w:rPr>
              <w:t>CDOS / Employability Profile emphasis</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Gateways 1-2</w:t>
            </w:r>
          </w:p>
        </w:tc>
        <w:tc>
          <w:tcPr>
            <w:tcW w:type="dxa" w:w="44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Keeping Food Safe; Workplace Safety; Kitchen Essentials 1: Professionalism and Standard Recipes; Kitchen Essentials 2: Equipment and Techniques; Communication.</w:t>
            </w:r>
          </w:p>
        </w:tc>
        <w:tc>
          <w:tcPr>
            <w:tcW w:type="dxa" w:w="367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Safety; Workplace Appearance; Attendance; Punctuality; Quality of Work; Resource Management; Communication; Ethical/Legal Responsibilities.</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5"/>
              </w:rPr>
              <w:t>Gateway 3</w:t>
            </w:r>
          </w:p>
        </w:tc>
        <w:tc>
          <w:tcPr>
            <w:tcW w:type="dxa" w:w="4464"/>
            <w:vAlign w:val="top"/>
            <w:tcMar>
              <w:top w:w="65" w:type="dxa"/>
              <w:start w:w="80" w:type="dxa"/>
              <w:bottom w:w="65" w:type="dxa"/>
              <w:end w:w="80" w:type="dxa"/>
            </w:tcMar>
          </w:tcPr>
          <w:p>
            <w:pPr>
              <w:pStyle w:val="TableText"/>
              <w:keepLines w:val="0"/>
              <w:widowControl/>
            </w:pPr>
            <w:r>
              <w:rPr>
                <w:rFonts w:ascii="Liberation Serif" w:hAnsi="Liberation Serif"/>
                <w:sz w:val="15"/>
              </w:rPr>
              <w:t>Stocks, Sauces and Soups; Fruits and Vegetables; Potatoes and Grains; Breakfast and Sandwiches; Meat, Poultry and Seafood; Desserts and Baked Goods; Nutrition.</w:t>
            </w:r>
          </w:p>
        </w:tc>
        <w:tc>
          <w:tcPr>
            <w:tcW w:type="dxa" w:w="3671"/>
            <w:vAlign w:val="top"/>
            <w:tcMar>
              <w:top w:w="65" w:type="dxa"/>
              <w:start w:w="80" w:type="dxa"/>
              <w:bottom w:w="65" w:type="dxa"/>
              <w:end w:w="80" w:type="dxa"/>
            </w:tcMar>
          </w:tcPr>
          <w:p>
            <w:pPr>
              <w:pStyle w:val="TableText"/>
              <w:keepLines w:val="0"/>
              <w:widowControl/>
            </w:pPr>
            <w:r>
              <w:rPr>
                <w:rFonts w:ascii="Liberation Serif" w:hAnsi="Liberation Serif"/>
                <w:sz w:val="15"/>
              </w:rPr>
              <w:t>Foundation Development; Quality of Work; Thinking/Problem Solving; Safety; Communication; Interpersonal Dynamics.</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Gateway 4</w:t>
            </w:r>
          </w:p>
        </w:tc>
        <w:tc>
          <w:tcPr>
            <w:tcW w:type="dxa" w:w="44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Serving Guests; Management Essentials; Cost Control; Purchasing and Inventory; Marketing; Salads and Garnishes; Sustainability; Global Cuisine; production topics.</w:t>
            </w:r>
          </w:p>
        </w:tc>
        <w:tc>
          <w:tcPr>
            <w:tcW w:type="dxa" w:w="367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Quality of Work; Resource Management; Communication; Thinking/Problem Solving; Interpersonal Dynamics; Ethical/Legal Responsibilities; Safety.</w:t>
            </w:r>
          </w:p>
        </w:tc>
      </w:tr>
      <w:tr>
        <w:trPr>
          <w:cantSplit/>
          <w:cantSplit/>
        </w:trPr>
        <w:tc>
          <w:tcPr>
            <w:tcW w:type="dxa" w:w="1655"/>
            <w:vAlign w:val="top"/>
            <w:tcMar>
              <w:top w:w="65" w:type="dxa"/>
              <w:start w:w="80" w:type="dxa"/>
              <w:bottom w:w="65" w:type="dxa"/>
              <w:end w:w="80" w:type="dxa"/>
            </w:tcMar>
          </w:tcPr>
          <w:p>
            <w:pPr>
              <w:pStyle w:val="TableText"/>
              <w:keepLines w:val="0"/>
              <w:widowControl/>
            </w:pPr>
            <w:r>
              <w:rPr>
                <w:rFonts w:ascii="Liberation Serif" w:hAnsi="Liberation Serif"/>
                <w:sz w:val="15"/>
              </w:rPr>
              <w:t>Gateway 5</w:t>
            </w:r>
          </w:p>
        </w:tc>
        <w:tc>
          <w:tcPr>
            <w:tcW w:type="dxa" w:w="4464"/>
            <w:vAlign w:val="top"/>
            <w:tcMar>
              <w:top w:w="65" w:type="dxa"/>
              <w:start w:w="80" w:type="dxa"/>
              <w:bottom w:w="65" w:type="dxa"/>
              <w:end w:w="80" w:type="dxa"/>
            </w:tcMar>
          </w:tcPr>
          <w:p>
            <w:pPr>
              <w:pStyle w:val="TableText"/>
              <w:keepLines w:val="0"/>
              <w:widowControl/>
            </w:pPr>
            <w:r>
              <w:rPr>
                <w:rFonts w:ascii="Liberation Serif" w:hAnsi="Liberation Serif"/>
                <w:sz w:val="15"/>
              </w:rPr>
              <w:t>Management Essentials; Cost Control; Purchasing and Inventory; Marketing; Building a Successful Career; integrated production and service leadership.</w:t>
            </w:r>
          </w:p>
        </w:tc>
        <w:tc>
          <w:tcPr>
            <w:tcW w:type="dxa" w:w="3671"/>
            <w:vAlign w:val="top"/>
            <w:tcMar>
              <w:top w:w="65" w:type="dxa"/>
              <w:start w:w="80" w:type="dxa"/>
              <w:bottom w:w="65" w:type="dxa"/>
              <w:end w:w="80" w:type="dxa"/>
            </w:tcMar>
          </w:tcPr>
          <w:p>
            <w:pPr>
              <w:pStyle w:val="TableText"/>
              <w:keepLines w:val="0"/>
              <w:widowControl/>
            </w:pPr>
            <w:r>
              <w:rPr>
                <w:rFonts w:ascii="Liberation Serif" w:hAnsi="Liberation Serif"/>
                <w:sz w:val="15"/>
              </w:rPr>
              <w:t>All work-related skills, with emphasis on leadership, communication, problem solving, ethics, resource management, foundation development, and career readiness.</w:t>
            </w:r>
          </w:p>
        </w:tc>
      </w:tr>
      <w:tr>
        <w:trPr>
          <w:cantSplit/>
          <w:cantSplit/>
        </w:trPr>
        <w:tc>
          <w:tcPr>
            <w:tcW w:type="dxa" w:w="1655"/>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Gateway 6</w:t>
            </w:r>
          </w:p>
        </w:tc>
        <w:tc>
          <w:tcPr>
            <w:tcW w:type="dxa" w:w="44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Transfer of relevant restaurant and foodservice knowledge into the approved placement.</w:t>
            </w:r>
          </w:p>
        </w:tc>
        <w:tc>
          <w:tcPr>
            <w:tcW w:type="dxa" w:w="3671"/>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Applied employability and occupational-learning evidence through employer, coordinator, student, portfolio, and workplace records.</w:t>
            </w:r>
          </w:p>
        </w:tc>
      </w:tr>
    </w:tbl>
    <w:p>
      <w:pPr>
        <w:spacing w:after="0"/>
      </w:pPr>
    </w:p>
    <w:p>
      <w:pPr>
        <w:pStyle w:val="Heading2"/>
      </w:pPr>
      <w:r>
        <w:t>Appendix E: Course Reporting and External Evidence Matrix</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1944"/>
            <w:shd w:fill="1F4E79"/>
            <w:vAlign w:val="center"/>
            <w:tcMar>
              <w:top w:w="65" w:type="dxa"/>
              <w:start w:w="80" w:type="dxa"/>
              <w:bottom w:w="65" w:type="dxa"/>
              <w:end w:w="80" w:type="dxa"/>
            </w:tcMar>
          </w:tcPr>
          <w:p>
            <w:pPr>
              <w:pStyle w:val="TableHeader"/>
              <w:keepLines/>
              <w:widowControl/>
            </w:pPr>
            <w:r>
              <w:rPr>
                <w:rFonts w:ascii="Liberation Serif" w:hAnsi="Liberation Serif"/>
              </w:rPr>
              <w:t>Course / environment</w:t>
            </w:r>
          </w:p>
        </w:tc>
        <w:tc>
          <w:tcPr>
            <w:tcW w:type="dxa" w:w="4104"/>
            <w:shd w:fill="1F4E79"/>
            <w:vAlign w:val="center"/>
            <w:tcMar>
              <w:top w:w="65" w:type="dxa"/>
              <w:start w:w="80" w:type="dxa"/>
              <w:bottom w:w="65" w:type="dxa"/>
              <w:end w:w="80" w:type="dxa"/>
            </w:tcMar>
          </w:tcPr>
          <w:p>
            <w:pPr>
              <w:pStyle w:val="TableHeader"/>
              <w:keepLines/>
              <w:widowControl/>
            </w:pPr>
            <w:r>
              <w:rPr>
                <w:rFonts w:ascii="Liberation Serif" w:hAnsi="Liberation Serif"/>
              </w:rPr>
              <w:t>Course reporting categories</w:t>
            </w:r>
          </w:p>
        </w:tc>
        <w:tc>
          <w:tcPr>
            <w:tcW w:type="dxa" w:w="3744"/>
            <w:shd w:fill="1F4E79"/>
            <w:vAlign w:val="center"/>
            <w:tcMar>
              <w:top w:w="65" w:type="dxa"/>
              <w:start w:w="80" w:type="dxa"/>
              <w:bottom w:w="65" w:type="dxa"/>
              <w:end w:w="80" w:type="dxa"/>
            </w:tcMar>
          </w:tcPr>
          <w:p>
            <w:pPr>
              <w:pStyle w:val="TableHeader"/>
              <w:keepLines/>
              <w:widowControl/>
            </w:pPr>
            <w:r>
              <w:rPr>
                <w:rFonts w:ascii="Liberation Serif" w:hAnsi="Liberation Serif"/>
              </w:rPr>
              <w:t>External evidence relationship</w:t>
            </w:r>
          </w:p>
        </w:tc>
      </w:tr>
      <w:tr>
        <w:trPr>
          <w:cantSplit/>
          <w:cantSplit/>
        </w:trPr>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Culinary 1 and 2</w:t>
            </w:r>
          </w:p>
        </w:tc>
        <w:tc>
          <w:tcPr>
            <w:tcW w:type="dxa" w:w="410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Safety and sanitation; kitchen systems; culinary knowledge and reasoning; technical production and product quality; professional practice.</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Teach and assess assigned YouScience domains, ProStart Level 1 and selected Level 2 topics, CDOS work habits, and Employability Profile technical domains.</w:t>
            </w:r>
          </w:p>
        </w:tc>
      </w:tr>
      <w:tr>
        <w:trPr>
          <w:cantSplit/>
          <w:cantSplit/>
        </w:trPr>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5"/>
              </w:rPr>
              <w:t>Advanced Culinary / The Cottage</w:t>
            </w:r>
          </w:p>
        </w:tc>
        <w:tc>
          <w:tcPr>
            <w:tcW w:type="dxa" w:w="4104"/>
            <w:vAlign w:val="top"/>
            <w:tcMar>
              <w:top w:w="65" w:type="dxa"/>
              <w:start w:w="80" w:type="dxa"/>
              <w:bottom w:w="65" w:type="dxa"/>
              <w:end w:w="80" w:type="dxa"/>
            </w:tcMar>
          </w:tcPr>
          <w:p>
            <w:pPr>
              <w:pStyle w:val="TableText"/>
              <w:keepLines w:val="0"/>
              <w:widowControl/>
            </w:pPr>
            <w:r>
              <w:rPr>
                <w:rFonts w:ascii="Liberation Serif" w:hAnsi="Liberation Serif"/>
                <w:sz w:val="15"/>
              </w:rPr>
              <w:t>Client planning; production and service execution; quality and safety control; professional communication and teamwork; reflection and improvement.</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5"/>
              </w:rPr>
              <w:t>Apply ProStart service, management, cost, purchasing, marketing, nutrition, sustainability, and production; administer ServSafe where approved; continue YouScience performance evidence.</w:t>
            </w:r>
          </w:p>
        </w:tc>
      </w:tr>
      <w:tr>
        <w:trPr>
          <w:cantSplit/>
          <w:cantSplit/>
        </w:trPr>
        <w:tc>
          <w:tcPr>
            <w:tcW w:type="dxa" w:w="19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Kitchen Management</w:t>
            </w:r>
          </w:p>
        </w:tc>
        <w:tc>
          <w:tcPr>
            <w:tcW w:type="dxa" w:w="410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Leadership and supervision; planning and resource management; quality, safety, and operations; professional judgment and communication; employment and career readiness.</w:t>
            </w:r>
          </w:p>
        </w:tc>
        <w:tc>
          <w:tcPr>
            <w:tcW w:type="dxa" w:w="374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Complete the pathway technical assessment as approved; review credentials; document CDOS and Employability Profile growth; process recognition requirements separately.</w:t>
            </w:r>
          </w:p>
        </w:tc>
      </w:tr>
      <w:tr>
        <w:trPr>
          <w:cantSplit/>
          <w:cantSplit/>
        </w:trPr>
        <w:tc>
          <w:tcPr>
            <w:tcW w:type="dxa" w:w="1944"/>
            <w:vAlign w:val="top"/>
            <w:tcMar>
              <w:top w:w="65" w:type="dxa"/>
              <w:start w:w="80" w:type="dxa"/>
              <w:bottom w:w="65" w:type="dxa"/>
              <w:end w:w="80" w:type="dxa"/>
            </w:tcMar>
          </w:tcPr>
          <w:p>
            <w:pPr>
              <w:pStyle w:val="TableText"/>
              <w:keepLines w:val="0"/>
              <w:widowControl/>
            </w:pPr>
            <w:r>
              <w:rPr>
                <w:rFonts w:ascii="Liberation Serif" w:hAnsi="Liberation Serif"/>
                <w:sz w:val="15"/>
              </w:rPr>
              <w:t>External Work-Based Learning</w:t>
            </w:r>
          </w:p>
        </w:tc>
        <w:tc>
          <w:tcPr>
            <w:tcW w:type="dxa" w:w="4104"/>
            <w:vAlign w:val="top"/>
            <w:tcMar>
              <w:top w:w="65" w:type="dxa"/>
              <w:start w:w="80" w:type="dxa"/>
              <w:bottom w:w="65" w:type="dxa"/>
              <w:end w:w="80" w:type="dxa"/>
            </w:tcMar>
          </w:tcPr>
          <w:p>
            <w:pPr>
              <w:pStyle w:val="TableText"/>
              <w:keepLines w:val="0"/>
              <w:widowControl/>
            </w:pPr>
            <w:r>
              <w:rPr>
                <w:rFonts w:ascii="Liberation Serif" w:hAnsi="Liberation Serif"/>
                <w:sz w:val="15"/>
              </w:rPr>
              <w:t>Portfolio and required assignments; workplace performance; final presentation or exit interview; training-plan progress and coordinator reviews; student self-evaluation.</w:t>
            </w:r>
          </w:p>
        </w:tc>
        <w:tc>
          <w:tcPr>
            <w:tcW w:type="dxa" w:w="3744"/>
            <w:vAlign w:val="top"/>
            <w:tcMar>
              <w:top w:w="65" w:type="dxa"/>
              <w:start w:w="80" w:type="dxa"/>
              <w:bottom w:w="65" w:type="dxa"/>
              <w:end w:w="80" w:type="dxa"/>
            </w:tcMar>
          </w:tcPr>
          <w:p>
            <w:pPr>
              <w:pStyle w:val="TableText"/>
              <w:keepLines w:val="0"/>
              <w:widowControl/>
            </w:pPr>
            <w:r>
              <w:rPr>
                <w:rFonts w:ascii="Liberation Serif" w:hAnsi="Liberation Serif"/>
                <w:sz w:val="15"/>
              </w:rPr>
              <w:t>Verify transfer of pathway standards in authentic work; prior technical-assessment and credential results remain part of the student record.</w:t>
            </w:r>
          </w:p>
        </w:tc>
      </w:tr>
    </w:tbl>
    <w:p>
      <w:pPr>
        <w:spacing w:after="0"/>
      </w:pPr>
    </w:p>
    <w:p>
      <w:pPr>
        <w:pStyle w:val="Heading2"/>
      </w:pPr>
      <w:r>
        <w:t>Appendix F: Annual Standards, Credential, and Recognition Evidence Set</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2376"/>
            <w:shd w:fill="1F4E79"/>
            <w:vAlign w:val="center"/>
            <w:tcMar>
              <w:top w:w="65" w:type="dxa"/>
              <w:start w:w="80" w:type="dxa"/>
              <w:bottom w:w="65" w:type="dxa"/>
              <w:end w:w="80" w:type="dxa"/>
            </w:tcMar>
          </w:tcPr>
          <w:p>
            <w:pPr>
              <w:pStyle w:val="TableHeader"/>
              <w:keepLines/>
              <w:widowControl/>
            </w:pPr>
            <w:r>
              <w:rPr>
                <w:rFonts w:ascii="Liberation Serif" w:hAnsi="Liberation Serif"/>
              </w:rPr>
              <w:t>Evidence area</w:t>
            </w:r>
          </w:p>
        </w:tc>
        <w:tc>
          <w:tcPr>
            <w:tcW w:type="dxa" w:w="7416"/>
            <w:shd w:fill="1F4E79"/>
            <w:vAlign w:val="center"/>
            <w:tcMar>
              <w:top w:w="65" w:type="dxa"/>
              <w:start w:w="80" w:type="dxa"/>
              <w:bottom w:w="65" w:type="dxa"/>
              <w:end w:w="80" w:type="dxa"/>
            </w:tcMar>
          </w:tcPr>
          <w:p>
            <w:pPr>
              <w:pStyle w:val="TableHeader"/>
              <w:keepLines/>
              <w:widowControl/>
            </w:pPr>
            <w:r>
              <w:rPr>
                <w:rFonts w:ascii="Liberation Serif" w:hAnsi="Liberation Serif"/>
              </w:rPr>
              <w:t>Minimum annual review</w:t>
            </w:r>
          </w:p>
        </w:tc>
      </w:tr>
      <w:tr>
        <w:trPr>
          <w:cantSplit/>
          <w:cantSplit/>
        </w:trPr>
        <w:tc>
          <w:tcPr>
            <w:tcW w:type="dxa" w:w="237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Standards coverage</w:t>
            </w:r>
          </w:p>
        </w:tc>
        <w:tc>
          <w:tcPr>
            <w:tcW w:type="dxa" w:w="741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Current Skills Map ownership by course, unit, evidence source, and evaluator; unresolved gaps; changes in approved curriculum or assessment edition.</w:t>
            </w:r>
          </w:p>
        </w:tc>
      </w:tr>
      <w:tr>
        <w:trPr>
          <w:cantSplit/>
          <w:cantSplit/>
        </w:trPr>
        <w:tc>
          <w:tcPr>
            <w:tcW w:type="dxa" w:w="2376"/>
            <w:vAlign w:val="top"/>
            <w:tcMar>
              <w:top w:w="65" w:type="dxa"/>
              <w:start w:w="80" w:type="dxa"/>
              <w:bottom w:w="65" w:type="dxa"/>
              <w:end w:w="80" w:type="dxa"/>
            </w:tcMar>
          </w:tcPr>
          <w:p>
            <w:pPr>
              <w:pStyle w:val="TableText"/>
              <w:keepLines w:val="0"/>
              <w:widowControl/>
            </w:pPr>
            <w:r>
              <w:rPr>
                <w:rFonts w:ascii="Liberation Serif" w:hAnsi="Liberation Serif"/>
                <w:sz w:val="16"/>
              </w:rPr>
              <w:t>YouScience Culinary III</w:t>
            </w:r>
          </w:p>
        </w:tc>
        <w:tc>
          <w:tcPr>
            <w:tcW w:type="dxa" w:w="7416"/>
            <w:vAlign w:val="top"/>
            <w:tcMar>
              <w:top w:w="65" w:type="dxa"/>
              <w:start w:w="80" w:type="dxa"/>
              <w:bottom w:w="65" w:type="dxa"/>
              <w:end w:w="80" w:type="dxa"/>
            </w:tcMar>
          </w:tcPr>
          <w:p>
            <w:pPr>
              <w:pStyle w:val="TableText"/>
              <w:keepLines w:val="0"/>
              <w:widowControl/>
            </w:pPr>
            <w:r>
              <w:rPr>
                <w:rFonts w:ascii="Liberation Serif" w:hAnsi="Liberation Serif"/>
                <w:sz w:val="16"/>
              </w:rPr>
              <w:t>Participation, component completion, official results, domain patterns, performance-task patterns, accommodations, retests, and alignment with classroom evidence.</w:t>
            </w:r>
          </w:p>
        </w:tc>
      </w:tr>
      <w:tr>
        <w:trPr>
          <w:cantSplit/>
          <w:cantSplit/>
        </w:trPr>
        <w:tc>
          <w:tcPr>
            <w:tcW w:type="dxa" w:w="237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ServSafe Management</w:t>
            </w:r>
          </w:p>
        </w:tc>
        <w:tc>
          <w:tcPr>
            <w:tcW w:type="dxa" w:w="741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Preparation, participation, pass results, retests, accommodations, student cost or access barriers, and alignment with observed food-safety performance.</w:t>
            </w:r>
          </w:p>
        </w:tc>
      </w:tr>
      <w:tr>
        <w:trPr>
          <w:cantSplit/>
          <w:cantSplit/>
        </w:trPr>
        <w:tc>
          <w:tcPr>
            <w:tcW w:type="dxa" w:w="2376"/>
            <w:vAlign w:val="top"/>
            <w:tcMar>
              <w:top w:w="65" w:type="dxa"/>
              <w:start w:w="80" w:type="dxa"/>
              <w:bottom w:w="65" w:type="dxa"/>
              <w:end w:w="80" w:type="dxa"/>
            </w:tcMar>
          </w:tcPr>
          <w:p>
            <w:pPr>
              <w:pStyle w:val="TableText"/>
              <w:keepLines w:val="0"/>
              <w:widowControl/>
            </w:pPr>
            <w:r>
              <w:rPr>
                <w:rFonts w:ascii="Liberation Serif" w:hAnsi="Liberation Serif"/>
                <w:sz w:val="16"/>
              </w:rPr>
              <w:t>Other credentials</w:t>
            </w:r>
          </w:p>
        </w:tc>
        <w:tc>
          <w:tcPr>
            <w:tcW w:type="dxa" w:w="7416"/>
            <w:vAlign w:val="top"/>
            <w:tcMar>
              <w:top w:w="65" w:type="dxa"/>
              <w:start w:w="80" w:type="dxa"/>
              <w:bottom w:w="65" w:type="dxa"/>
              <w:end w:w="80" w:type="dxa"/>
            </w:tcMar>
          </w:tcPr>
          <w:p>
            <w:pPr>
              <w:pStyle w:val="TableText"/>
              <w:keepLines w:val="0"/>
              <w:widowControl/>
            </w:pPr>
            <w:r>
              <w:rPr>
                <w:rFonts w:ascii="Liberation Serif" w:hAnsi="Liberation Serif"/>
                <w:sz w:val="16"/>
              </w:rPr>
              <w:t>Credential title, access, participation, earned status, renewal needs, instructional value, and duplication.</w:t>
            </w:r>
          </w:p>
        </w:tc>
      </w:tr>
      <w:tr>
        <w:trPr>
          <w:cantSplit/>
          <w:cantSplit/>
        </w:trPr>
        <w:tc>
          <w:tcPr>
            <w:tcW w:type="dxa" w:w="237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CDOS / Employability Profile</w:t>
            </w:r>
          </w:p>
        </w:tc>
        <w:tc>
          <w:tcPr>
            <w:tcW w:type="dxa" w:w="741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Longitudinal work-related and technical patterns, completion timing, evaluator consistency, comments, and use in Gateway decisions.</w:t>
            </w:r>
          </w:p>
        </w:tc>
      </w:tr>
      <w:tr>
        <w:trPr>
          <w:cantSplit/>
          <w:cantSplit/>
        </w:trPr>
        <w:tc>
          <w:tcPr>
            <w:tcW w:type="dxa" w:w="2376"/>
            <w:vAlign w:val="top"/>
            <w:tcMar>
              <w:top w:w="65" w:type="dxa"/>
              <w:start w:w="80" w:type="dxa"/>
              <w:bottom w:w="65" w:type="dxa"/>
              <w:end w:w="80" w:type="dxa"/>
            </w:tcMar>
          </w:tcPr>
          <w:p>
            <w:pPr>
              <w:pStyle w:val="TableText"/>
              <w:keepLines w:val="0"/>
              <w:widowControl/>
            </w:pPr>
            <w:r>
              <w:rPr>
                <w:rFonts w:ascii="Liberation Serif" w:hAnsi="Liberation Serif"/>
                <w:sz w:val="16"/>
              </w:rPr>
              <w:t>CTE endorsement / 4+1 recognition</w:t>
            </w:r>
          </w:p>
        </w:tc>
        <w:tc>
          <w:tcPr>
            <w:tcW w:type="dxa" w:w="7416"/>
            <w:vAlign w:val="top"/>
            <w:tcMar>
              <w:top w:w="65" w:type="dxa"/>
              <w:start w:w="80" w:type="dxa"/>
              <w:bottom w:w="65" w:type="dxa"/>
              <w:end w:w="80" w:type="dxa"/>
            </w:tcMar>
          </w:tcPr>
          <w:p>
            <w:pPr>
              <w:pStyle w:val="TableText"/>
              <w:keepLines w:val="0"/>
              <w:widowControl/>
            </w:pPr>
            <w:r>
              <w:rPr>
                <w:rFonts w:ascii="Liberation Serif" w:hAnsi="Liberation Serif"/>
                <w:sz w:val="16"/>
              </w:rPr>
              <w:t>Current approved requirements, student completion status, missing components, reporting accuracy, and transition support.</w:t>
            </w:r>
          </w:p>
        </w:tc>
      </w:tr>
      <w:tr>
        <w:trPr>
          <w:cantSplit/>
          <w:cantSplit/>
        </w:trPr>
        <w:tc>
          <w:tcPr>
            <w:tcW w:type="dxa" w:w="237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Equity and access</w:t>
            </w:r>
          </w:p>
        </w:tc>
        <w:tc>
          <w:tcPr>
            <w:tcW w:type="dxa" w:w="7416"/>
            <w:shd w:fill="EEF3F8"/>
            <w:vAlign w:val="top"/>
            <w:tcMar>
              <w:top w:w="65" w:type="dxa"/>
              <w:start w:w="80" w:type="dxa"/>
              <w:bottom w:w="65" w:type="dxa"/>
              <w:end w:w="80" w:type="dxa"/>
            </w:tcMar>
          </w:tcPr>
          <w:p>
            <w:pPr>
              <w:pStyle w:val="TableText"/>
              <w:keepLines w:val="0"/>
              <w:widowControl/>
            </w:pPr>
            <w:r>
              <w:rPr>
                <w:rFonts w:ascii="Liberation Serif" w:hAnsi="Liberation Serif"/>
                <w:sz w:val="16"/>
              </w:rPr>
              <w:t>Participation and result patterns across relevant student groups; scheduling, transportation, cost, disability, language, and support barriers.</w:t>
            </w:r>
          </w:p>
        </w:tc>
      </w:tr>
      <w:tr>
        <w:trPr>
          <w:cantSplit/>
          <w:cantSplit/>
        </w:trPr>
        <w:tc>
          <w:tcPr>
            <w:tcW w:type="dxa" w:w="2376"/>
            <w:vAlign w:val="top"/>
            <w:tcMar>
              <w:top w:w="65" w:type="dxa"/>
              <w:start w:w="80" w:type="dxa"/>
              <w:bottom w:w="65" w:type="dxa"/>
              <w:end w:w="80" w:type="dxa"/>
            </w:tcMar>
          </w:tcPr>
          <w:p>
            <w:pPr>
              <w:pStyle w:val="TableText"/>
              <w:keepLines w:val="0"/>
              <w:widowControl/>
            </w:pPr>
            <w:r>
              <w:rPr>
                <w:rFonts w:ascii="Liberation Serif" w:hAnsi="Liberation Serif"/>
                <w:sz w:val="16"/>
              </w:rPr>
              <w:t>Improvement action</w:t>
            </w:r>
          </w:p>
        </w:tc>
        <w:tc>
          <w:tcPr>
            <w:tcW w:type="dxa" w:w="7416"/>
            <w:vAlign w:val="top"/>
            <w:tcMar>
              <w:top w:w="65" w:type="dxa"/>
              <w:start w:w="80" w:type="dxa"/>
              <w:bottom w:w="65" w:type="dxa"/>
              <w:end w:w="80" w:type="dxa"/>
            </w:tcMar>
          </w:tcPr>
          <w:p>
            <w:pPr>
              <w:pStyle w:val="TableText"/>
              <w:keepLines w:val="0"/>
              <w:widowControl/>
            </w:pPr>
            <w:r>
              <w:rPr>
                <w:rFonts w:ascii="Liberation Serif" w:hAnsi="Liberation Serif"/>
                <w:sz w:val="16"/>
              </w:rPr>
              <w:t>Finding, evidence limit, decision, owner, deadline, required resources, implementation evidence, and later verification result.</w:t>
            </w:r>
          </w:p>
        </w:tc>
      </w:tr>
    </w:tbl>
    <w:p>
      <w:pPr>
        <w:spacing w:after="0"/>
      </w:pPr>
    </w:p>
    <w:p>
      <w:pPr>
        <w:pStyle w:val="Heading2"/>
      </w:pPr>
      <w:r>
        <w:t>Appendix G: Source Register</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3389"/>
        <w:gridCol w:w="3389"/>
        <w:gridCol w:w="3389"/>
      </w:tblGrid>
      <w:tr>
        <w:trPr>
          <w:tblHeader w:val="true"/>
          <w:cantSplit/>
          <w:cantSplit/>
        </w:trPr>
        <w:tc>
          <w:tcPr>
            <w:tcW w:type="dxa" w:w="2880"/>
            <w:shd w:fill="1F4E79"/>
            <w:vAlign w:val="center"/>
            <w:tcMar>
              <w:top w:w="65" w:type="dxa"/>
              <w:start w:w="80" w:type="dxa"/>
              <w:bottom w:w="65" w:type="dxa"/>
              <w:end w:w="80" w:type="dxa"/>
            </w:tcMar>
          </w:tcPr>
          <w:p>
            <w:pPr>
              <w:pStyle w:val="TableHeader"/>
              <w:keepLines/>
              <w:widowControl/>
            </w:pPr>
            <w:r>
              <w:rPr>
                <w:rFonts w:ascii="Liberation Serif" w:hAnsi="Liberation Serif"/>
              </w:rPr>
              <w:t>Source</w:t>
            </w:r>
          </w:p>
        </w:tc>
        <w:tc>
          <w:tcPr>
            <w:tcW w:type="dxa" w:w="4752"/>
            <w:shd w:fill="1F4E79"/>
            <w:vAlign w:val="center"/>
            <w:tcMar>
              <w:top w:w="65" w:type="dxa"/>
              <w:start w:w="80" w:type="dxa"/>
              <w:bottom w:w="65" w:type="dxa"/>
              <w:end w:w="80" w:type="dxa"/>
            </w:tcMar>
          </w:tcPr>
          <w:p>
            <w:pPr>
              <w:pStyle w:val="TableHeader"/>
              <w:keepLines/>
              <w:widowControl/>
            </w:pPr>
            <w:r>
              <w:rPr>
                <w:rFonts w:ascii="Liberation Serif" w:hAnsi="Liberation Serif"/>
              </w:rPr>
              <w:t>Primary use in Book Two</w:t>
            </w:r>
          </w:p>
        </w:tc>
        <w:tc>
          <w:tcPr>
            <w:tcW w:type="dxa" w:w="2160"/>
            <w:shd w:fill="1F4E79"/>
            <w:vAlign w:val="center"/>
            <w:tcMar>
              <w:top w:w="65" w:type="dxa"/>
              <w:start w:w="80" w:type="dxa"/>
              <w:bottom w:w="65" w:type="dxa"/>
              <w:end w:w="80" w:type="dxa"/>
            </w:tcMar>
          </w:tcPr>
          <w:p>
            <w:pPr>
              <w:pStyle w:val="TableHeader"/>
              <w:keepLines/>
              <w:widowControl/>
            </w:pPr>
            <w:r>
              <w:rPr>
                <w:rFonts w:ascii="Liberation Serif" w:hAnsi="Liberation Serif"/>
              </w:rPr>
              <w:t>Control / status note</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Culinary Pathway Canon, Version 3.0</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Mission, continuum, six Gateways, Passport, completion levels, reassessment, The Cottage, Kitchen Management, External WBL, portfolio, evaluation, and governance.</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Authoritative project architecture.</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Culinary Pathway Operating Principles, Version 1.0</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Culture, instructional commitments, evidence behavior, responsibility, leadership, and improvement.</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Authoritative project culture.</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Book One: Program Blueprint</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Pathway design, progression, authentic environments, governance, boundaries, and stewardship.</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Companion planning document.</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Book Three: Operations Manual</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Procedures, timing, records, approvals, monitoring, safety response, and closeout.</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Companion operating document.</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Book Four: Board Proposal &amp; Implementation Plan</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Authorization, implementation, staffing, resources, risk controls, and reporting.</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Companion proposal document.</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Culinary Pathway Skills Map</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YouScience Culinary III weights and performance standards; ProStart Levels 1 and 2; CDOS; equipment, product, safety, and production alignment.</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Master alignment record; complete course ownership through approved curriculum work.</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GCSD Culinary Employability Profile</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Longitudinal work-related skills, technical knowledge, WBL hours, assessments, credentials, endorsement, and recognition.</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Current template requires final district completion roles and timing.</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Culinary 1 and 2 learning objectives and course outline</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Grade 10 curriculum outcomes, sequence, labs, assessment, and foundational Gateway evidence.</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Approved curriculum controls; clean and reconcile wording as required.</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Advanced Culinary scope and sequence</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Professional practice, CDOS integration, authentic WBL projects, ServSafe Management, ProStart / NRAEF alignment, and industry assessment preparation.</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Current district source; final approved edition controls.</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Approved Kitchen Management curriculum</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Gateway 5 leadership, management, technical-assessment completion, employment preparation, and career transition.</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Finalize through authorized curriculum process.</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YouScience Culinary III</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Technical-assessment knowledge and performance blueprint.</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Current approved provider edition and district administration rules control.</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ProStart Levels 1 and 2</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National restaurant and foodservice curriculum framework.</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Use current authorized instructional materials and requirements.</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New York State CDOS standards</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Career development, employability, occupational learning, and workplace performance.</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Current NYSED guidance controls.</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ServSafe Management</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Industry-recognized food-safety credential.</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Current provider, exam, accommodation, and retest rules control.</w:t>
            </w:r>
          </w:p>
        </w:tc>
      </w:tr>
      <w:tr>
        <w:trPr>
          <w:cantSplit/>
          <w:cantSplit/>
        </w:trPr>
        <w:tc>
          <w:tcPr>
            <w:tcW w:type="dxa" w:w="288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Current technical-assessment and CTE endorsement / 4+1 requirements</w:t>
            </w:r>
          </w:p>
        </w:tc>
        <w:tc>
          <w:tcPr>
            <w:tcW w:type="dxa" w:w="4752"/>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Formal pathway assessment and recognition.</w:t>
            </w:r>
          </w:p>
        </w:tc>
        <w:tc>
          <w:tcPr>
            <w:tcW w:type="dxa" w:w="2160"/>
            <w:shd w:fill="EEF3F8"/>
            <w:vAlign w:val="top"/>
            <w:tcMar>
              <w:top w:w="65" w:type="dxa"/>
              <w:start w:w="80" w:type="dxa"/>
              <w:bottom w:w="65" w:type="dxa"/>
              <w:end w:w="80" w:type="dxa"/>
            </w:tcMar>
          </w:tcPr>
          <w:p>
            <w:pPr>
              <w:pStyle w:val="TableText"/>
              <w:keepLines w:val="0"/>
              <w:widowControl/>
            </w:pPr>
            <w:r>
              <w:rPr>
                <w:rFonts w:ascii="Liberation Serif" w:hAnsi="Liberation Serif"/>
                <w:sz w:val="13"/>
              </w:rPr>
              <w:t>Current authorized NYSED and district requirements control; verify before each administration cycle.</w:t>
            </w:r>
          </w:p>
        </w:tc>
      </w:tr>
      <w:tr>
        <w:trPr>
          <w:cantSplit/>
          <w:cantSplit/>
        </w:trPr>
        <w:tc>
          <w:tcPr>
            <w:tcW w:type="dxa" w:w="2880"/>
            <w:vAlign w:val="top"/>
            <w:tcMar>
              <w:top w:w="65" w:type="dxa"/>
              <w:start w:w="80" w:type="dxa"/>
              <w:bottom w:w="65" w:type="dxa"/>
              <w:end w:w="80" w:type="dxa"/>
            </w:tcMar>
          </w:tcPr>
          <w:p>
            <w:pPr>
              <w:pStyle w:val="TableText"/>
              <w:keepLines w:val="0"/>
              <w:widowControl/>
            </w:pPr>
            <w:r>
              <w:rPr>
                <w:rFonts w:ascii="Liberation Serif" w:hAnsi="Liberation Serif"/>
                <w:sz w:val="13"/>
              </w:rPr>
              <w:t>CTE 466/566 Module 5: Accountability Through Evaluation</w:t>
            </w:r>
          </w:p>
        </w:tc>
        <w:tc>
          <w:tcPr>
            <w:tcW w:type="dxa" w:w="4752"/>
            <w:vAlign w:val="top"/>
            <w:tcMar>
              <w:top w:w="65" w:type="dxa"/>
              <w:start w:w="80" w:type="dxa"/>
              <w:bottom w:w="65" w:type="dxa"/>
              <w:end w:w="80" w:type="dxa"/>
            </w:tcMar>
          </w:tcPr>
          <w:p>
            <w:pPr>
              <w:pStyle w:val="TableText"/>
              <w:keepLines w:val="0"/>
              <w:widowControl/>
            </w:pPr>
            <w:r>
              <w:rPr>
                <w:rFonts w:ascii="Liberation Serif" w:hAnsi="Liberation Serif"/>
                <w:sz w:val="13"/>
              </w:rPr>
              <w:t>Internal and third-party evaluation, process and product evidence, technical attainment, credentials, completion, placement, and continuous improvement.</w:t>
            </w:r>
          </w:p>
        </w:tc>
        <w:tc>
          <w:tcPr>
            <w:tcW w:type="dxa" w:w="2160"/>
            <w:vAlign w:val="top"/>
            <w:tcMar>
              <w:top w:w="65" w:type="dxa"/>
              <w:start w:w="80" w:type="dxa"/>
              <w:bottom w:w="65" w:type="dxa"/>
              <w:end w:w="80" w:type="dxa"/>
            </w:tcMar>
          </w:tcPr>
          <w:p>
            <w:pPr>
              <w:pStyle w:val="TableText"/>
              <w:keepLines w:val="0"/>
              <w:widowControl/>
            </w:pPr>
            <w:r>
              <w:rPr>
                <w:rFonts w:ascii="Liberation Serif" w:hAnsi="Liberation Serif"/>
                <w:sz w:val="13"/>
              </w:rPr>
              <w:t>Academic course source supporting the evaluation framework.</w:t>
            </w:r>
          </w:p>
        </w:tc>
      </w:tr>
    </w:tbl>
    <w:p>
      <w:pPr>
        <w:spacing w:after="0"/>
      </w:pPr>
    </w:p>
    <w:p>
      <w:pPr>
        <w:pStyle w:val="Heading2"/>
      </w:pPr>
      <w:r>
        <w:t>Appendix H: Glossary</w:t>
      </w:r>
    </w:p>
    <w:tbl>
      <w:tblPr>
        <w:tblW w:type="auto" w:w="0"/>
        <w:jc w:val="center"/>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5083"/>
        <w:gridCol w:w="5083"/>
      </w:tblGrid>
      <w:tr>
        <w:trPr>
          <w:tblHeader w:val="true"/>
          <w:cantSplit/>
          <w:cantSplit/>
        </w:trPr>
        <w:tc>
          <w:tcPr>
            <w:tcW w:type="dxa" w:w="2664"/>
            <w:shd w:fill="1F4E79"/>
            <w:vAlign w:val="center"/>
            <w:tcMar>
              <w:top w:w="65" w:type="dxa"/>
              <w:start w:w="80" w:type="dxa"/>
              <w:bottom w:w="65" w:type="dxa"/>
              <w:end w:w="80" w:type="dxa"/>
            </w:tcMar>
          </w:tcPr>
          <w:p>
            <w:pPr>
              <w:pStyle w:val="TableHeader"/>
              <w:keepLines/>
              <w:widowControl/>
            </w:pPr>
            <w:r>
              <w:rPr>
                <w:rFonts w:ascii="Liberation Serif" w:hAnsi="Liberation Serif"/>
              </w:rPr>
              <w:t>Term</w:t>
            </w:r>
          </w:p>
        </w:tc>
        <w:tc>
          <w:tcPr>
            <w:tcW w:type="dxa" w:w="7128"/>
            <w:shd w:fill="1F4E79"/>
            <w:vAlign w:val="center"/>
            <w:tcMar>
              <w:top w:w="65" w:type="dxa"/>
              <w:start w:w="80" w:type="dxa"/>
              <w:bottom w:w="65" w:type="dxa"/>
              <w:end w:w="80" w:type="dxa"/>
            </w:tcMar>
          </w:tcPr>
          <w:p>
            <w:pPr>
              <w:pStyle w:val="TableHeader"/>
              <w:keepLines/>
              <w:widowControl/>
            </w:pPr>
            <w:r>
              <w:rPr>
                <w:rFonts w:ascii="Liberation Serif" w:hAnsi="Liberation Serif"/>
              </w:rPr>
              <w:t>Definition</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Assessment</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The systematic collection of evidence about learning, performance, or conditions.</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Evaluation</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A judgment about the quality, worth, level, or appropriate action based on evidence.</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Credential</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An external or industry-recognized result documenting that defined requirements were met.</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Technical assessment</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The approved common assessment of pathway technical knowledge and performance, including the current required components.</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YouScience Culinary III</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The technical-assessment blueprint named in the Culinary Pathway Skills Map, including weighted knowledge domains and performance expectations.</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ProStart</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The National Restaurant Association Educational Foundation restaurant and foodservice curriculum framework used across Levels 1 and 2.</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CDOS</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New York State Career Development and Occupational Studies standards supporting career development, employability, and occupational learning.</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ServSafe Management</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An industry-recognized food-safety credential administered under current provider and district procedures.</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Culinary Employability Profile</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The longitudinal record of observable work-related skills, technical knowledge, WBL experience, assessments, credentials, endorsement, and recognition.</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Culinary Passport</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The student’s official competency and progression record.</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Gateway</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 verified level of competency that records or authorizes the next level of pathway responsibility.</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Travel Rights</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Student-facing term for External WBL Educational Readiness earned through Gateway 5.</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CTE endorsement / 4+1 recognition</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 formal student outcome awarded through current authorized state and district requirements; not a separate Gateway.</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Completion with Distinction</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The student exceeds pathway expectations.</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Completion</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The student meets pathway expectations.</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Not Yet Completed</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Additional instruction and reassessment are required before the Gateway is awarded.</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Reassessment</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A later equivalent opportunity after feedback, reflection, practice, and remediation.</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Reverification</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A later confirmation of a critical competency in a more advanced environment.</w:t>
            </w:r>
          </w:p>
        </w:tc>
      </w:tr>
      <w:tr>
        <w:trPr>
          <w:cantSplit/>
          <w:cantSplit/>
        </w:trPr>
        <w:tc>
          <w:tcPr>
            <w:tcW w:type="dxa" w:w="2664"/>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Training station</w:t>
            </w:r>
          </w:p>
        </w:tc>
        <w:tc>
          <w:tcPr>
            <w:tcW w:type="dxa" w:w="7128"/>
            <w:shd w:fill="EEF3F8"/>
            <w:vAlign w:val="top"/>
            <w:tcMar>
              <w:top w:w="65" w:type="dxa"/>
              <w:start w:w="80" w:type="dxa"/>
              <w:bottom w:w="65" w:type="dxa"/>
              <w:end w:w="80" w:type="dxa"/>
            </w:tcMar>
          </w:tcPr>
          <w:p>
            <w:pPr>
              <w:pStyle w:val="TableText"/>
              <w:keepLines w:val="0"/>
              <w:widowControl/>
            </w:pPr>
            <w:r>
              <w:rPr>
                <w:rFonts w:ascii="Liberation Serif" w:hAnsi="Liberation Serif"/>
                <w:sz w:val="15"/>
              </w:rPr>
              <w:t>The approved external learning arrangement, including site, mentor, duties, conditions, supervision, communication, and training plan.</w:t>
            </w:r>
          </w:p>
        </w:tc>
      </w:tr>
      <w:tr>
        <w:trPr>
          <w:cantSplit/>
          <w:cantSplit/>
        </w:trPr>
        <w:tc>
          <w:tcPr>
            <w:tcW w:type="dxa" w:w="2664"/>
            <w:vAlign w:val="top"/>
            <w:tcMar>
              <w:top w:w="65" w:type="dxa"/>
              <w:start w:w="80" w:type="dxa"/>
              <w:bottom w:w="65" w:type="dxa"/>
              <w:end w:w="80" w:type="dxa"/>
            </w:tcMar>
          </w:tcPr>
          <w:p>
            <w:pPr>
              <w:pStyle w:val="TableText"/>
              <w:keepLines w:val="0"/>
              <w:widowControl/>
            </w:pPr>
            <w:r>
              <w:rPr>
                <w:rFonts w:ascii="Liberation Serif" w:hAnsi="Liberation Serif"/>
                <w:sz w:val="15"/>
              </w:rPr>
              <w:t>External Work-Based Learning</w:t>
            </w:r>
          </w:p>
        </w:tc>
        <w:tc>
          <w:tcPr>
            <w:tcW w:type="dxa" w:w="7128"/>
            <w:vAlign w:val="top"/>
            <w:tcMar>
              <w:top w:w="65" w:type="dxa"/>
              <w:start w:w="80" w:type="dxa"/>
              <w:bottom w:w="65" w:type="dxa"/>
              <w:end w:w="80" w:type="dxa"/>
            </w:tcMar>
          </w:tcPr>
          <w:p>
            <w:pPr>
              <w:pStyle w:val="TableText"/>
              <w:keepLines w:val="0"/>
              <w:widowControl/>
            </w:pPr>
            <w:r>
              <w:rPr>
                <w:rFonts w:ascii="Liberation Serif" w:hAnsi="Liberation Serif"/>
                <w:sz w:val="15"/>
              </w:rPr>
              <w:t>The separate 1.0-credit senior course requiring 300 verified workplace hours, a portfolio, employer and coordinator evaluations, and a final presentation.</w:t>
            </w:r>
          </w:p>
        </w:tc>
      </w:tr>
    </w:tbl>
    <w:p>
      <w:pPr>
        <w:spacing w:after="0"/>
      </w:pPr>
    </w:p>
    <w:sectPr w:rsidR="00FC693F" w:rsidRPr="0006063C" w:rsidSect="00034616">
      <w:headerReference w:type="default" r:id="rId13"/>
      <w:footerReference w:type="default" r:id="rId14"/>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777777"/>
        <w:sz w:val="16"/>
      </w:rPr>
      <w:t xml:space="preserve">Version 4.1 Refined  |  July 2026  |  </w:t>
    </w:r>
    <w:r>
      <w:rPr>
        <w:rFonts w:ascii="Liberation Serif" w:hAnsi="Liberation Serif"/>
        <w:color w:val="777777"/>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777777"/>
        <w:sz w:val="16"/>
      </w:rPr>
      <w:t xml:space="preserve">Version 4.1 Refined  |  July 2026  |  </w:t>
    </w:r>
    <w:r>
      <w:rPr>
        <w:rFonts w:ascii="Liberation Serif" w:hAnsi="Liberation Serif"/>
        <w:color w:val="777777"/>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777777"/>
        <w:sz w:val="16"/>
      </w:rPr>
      <w:t xml:space="preserve">Version 4.1 Refined  |  July 2026  |  </w:t>
    </w:r>
    <w:r>
      <w:rPr>
        <w:rFonts w:ascii="Liberation Serif" w:hAnsi="Liberation Serif"/>
        <w:color w:val="777777"/>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b/>
        <w:color w:val="17365D"/>
        <w:sz w:val="16"/>
      </w:rPr>
      <w:t>GCSD CULINARY PATHWAY  |  BOOK TWO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b/>
        <w:color w:val="17365D"/>
        <w:sz w:val="16"/>
      </w:rPr>
      <w:t>GCSD CULINARY PATHWAY  |  BOOK TWO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b/>
        <w:color w:val="17365D"/>
        <w:sz w:val="16"/>
      </w:rPr>
      <w:t>GCSD CULINARY PATHWAY  |  BOOK TWO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0" w:lineRule="auto"/>
    </w:pPr>
    <w:rPr>
      <w:rFonts w:ascii="Liberation Serif" w:hAnsi="Liberation Serif"/>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60"/>
      <w:outlineLvl w:val="1"/>
    </w:pPr>
    <w:rPr>
      <w:rFonts w:asciiTheme="majorHAnsi" w:eastAsiaTheme="majorEastAsia" w:hAnsiTheme="majorHAnsi" w:cstheme="majorBidi" w:ascii="Liberation Sans" w:hAnsi="Liberation Sans"/>
      <w:b/>
      <w:bCs/>
      <w:color w:val="1F4E79"/>
      <w:sz w:val="27"/>
      <w:szCs w:val="26"/>
    </w:rPr>
  </w:style>
  <w:style w:type="paragraph" w:styleId="Heading3">
    <w:name w:val="heading 3"/>
    <w:basedOn w:val="Normal"/>
    <w:next w:val="Normal"/>
    <w:link w:val="Heading3Char"/>
    <w:uiPriority w:val="9"/>
    <w:unhideWhenUsed/>
    <w:qFormat/>
    <w:rsid w:val="00FC693F"/>
    <w:pPr>
      <w:keepNext/>
      <w:keepLines/>
      <w:widowControl/>
      <w:spacing w:before="120" w:after="40"/>
      <w:outlineLvl w:val="2"/>
    </w:pPr>
    <w:rPr>
      <w:rFonts w:asciiTheme="majorHAnsi" w:eastAsiaTheme="majorEastAsia" w:hAnsiTheme="majorHAnsi" w:cstheme="majorBidi" w:ascii="Liberation Sans" w:hAnsi="Liberation Sans"/>
      <w:b/>
      <w:bCs/>
      <w:color w:val="1C7C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Liberation Sans" w:hAnsi="Liberation Sans"/>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pPr>
      <w:keepNext/>
      <w:spacing w:after="20"/>
    </w:pPr>
    <w:rPr>
      <w:rFonts w:ascii="Liberation Sans" w:hAnsi="Liberation Sans"/>
      <w:b/>
      <w:color w:val="17365D"/>
      <w:sz w:val="22"/>
    </w:rPr>
  </w:style>
  <w:style w:type="paragraph" w:customStyle="1" w:styleId="PartTitle">
    <w:name w:val="Part Title"/>
    <w:pPr>
      <w:keepNext/>
      <w:spacing w:after="100"/>
    </w:pPr>
    <w:rPr>
      <w:rFonts w:ascii="Liberation Sans" w:hAnsi="Liberation Sans"/>
      <w:b/>
      <w:color w:val="1F4E79"/>
      <w:sz w:val="44"/>
    </w:rPr>
  </w:style>
  <w:style w:type="paragraph" w:customStyle="1" w:styleId="PartIntro">
    <w:name w:val="Part Intro"/>
    <w:pPr>
      <w:spacing w:after="140"/>
    </w:pPr>
    <w:rPr>
      <w:rFonts w:ascii="Liberation Serif" w:hAnsi="Liberation Serif"/>
      <w:i/>
      <w:color w:val="666666"/>
      <w:sz w:val="20"/>
    </w:rPr>
  </w:style>
  <w:style w:type="paragraph" w:customStyle="1" w:styleId="SmallText">
    <w:name w:val="Small Text"/>
    <w:pPr>
      <w:spacing w:after="40" w:line="240" w:lineRule="auto"/>
    </w:pPr>
    <w:rPr>
      <w:rFonts w:ascii="Liberation Serif" w:hAnsi="Liberation Serif"/>
      <w:sz w:val="16"/>
    </w:rPr>
  </w:style>
  <w:style w:type="paragraph" w:customStyle="1" w:styleId="TableText">
    <w:name w:val="Table Text"/>
    <w:pPr>
      <w:spacing w:after="30" w:line="240" w:lineRule="auto"/>
    </w:pPr>
    <w:rPr>
      <w:rFonts w:ascii="Liberation Serif" w:hAnsi="Liberation Serif"/>
      <w:sz w:val="16"/>
    </w:rPr>
  </w:style>
  <w:style w:type="paragraph" w:customStyle="1" w:styleId="TableHeader">
    <w:name w:val="Table Header"/>
    <w:pPr>
      <w:spacing w:after="0" w:line="240" w:lineRule="auto"/>
    </w:pPr>
    <w:rPr>
      <w:rFonts w:ascii="Liberation Serif" w:hAnsi="Liberation Serif"/>
      <w:b/>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Book Two: Assessment, Evaluation &amp; Continuous Improvement Manual</dc:title>
  <dc:subject>Version 4.1 Refined Editorial Edition - Standards, technical assessment, credentials, and pathway recognition alignment</dc:subject>
  <dc:creator>Kevin McCann</dc:creator>
  <cp:keywords>GCSD, Culinary Pathway, Assessment, Evaluation, YouScience, ProStart, CDOS, ServSafe, Gateway, WBL</cp:keywords>
  <dc:description>Planning document; not adopted district policy.</dc:description>
  <cp:lastModifiedBy/>
  <cp:revision>1</cp:revision>
  <dcterms:created xsi:type="dcterms:W3CDTF">2013-12-23T23:15:00Z</dcterms:created>
  <dcterms:modified xsi:type="dcterms:W3CDTF">2013-12-23T23:15:00Z</dcterms:modified>
  <cp:category/>
</cp:coreProperties>
</file>