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GREECE CENTRAL SCHOOL DISTRICT</w:t>
      </w:r>
    </w:p>
    <w:p>
      <w:pPr>
        <w:spacing w:after="400"/>
      </w:pPr>
    </w:p>
    <w:p>
      <w:pPr>
        <w:jc w:val="center"/>
      </w:pPr>
      <w:r>
        <w:rPr>
          <w:b/>
          <w:color w:val="1C8C8C"/>
          <w:sz w:val="36"/>
        </w:rPr>
        <w:t>BOOK THREE</w:t>
      </w:r>
    </w:p>
    <w:p>
      <w:pPr>
        <w:pStyle w:val="Title"/>
        <w:jc w:val="center"/>
      </w:pPr>
      <w:r>
        <w:t>CULINARY PATHWAY</w:t>
        <w:br/>
        <w:t>OPERATIONS MANUAL</w:t>
      </w:r>
    </w:p>
    <w:p>
      <w:pPr>
        <w:jc w:val="center"/>
      </w:pPr>
      <w:r>
        <w:rPr>
          <w:color w:val="666666"/>
          <w:sz w:val="23"/>
        </w:rPr>
        <w:t>The operating procedures for the Culinary Passport, The Cottage, Kitchen Management,</w:t>
        <w:br/>
        <w:t>and the senior External Work-Based Learning course</w:t>
      </w:r>
    </w:p>
    <w:p>
      <w:pPr>
        <w:spacing w:after="400"/>
      </w:pPr>
    </w:p>
    <w:tbl>
      <w:tblPr>
        <w:tblStyle w:val="TableGrid"/>
        <w:tblW w:type="auto" w:w="0"/>
        <w:jc w:val="center"/>
        <w:tblLook w:firstColumn="1" w:firstRow="1" w:lastColumn="0" w:lastRow="0" w:noHBand="0" w:noVBand="1" w:val="04A0"/>
      </w:tblPr>
      <w:tblGrid>
        <w:gridCol w:w="5083"/>
        <w:gridCol w:w="5083"/>
      </w:tblGrid>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VERSION</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4.0 - Refined Editorial Edition</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PREPARED BY</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Kevin McCann</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DATE</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July 2026</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STATUS</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Planning document; not adopted district policy</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GOVERNING SOURCES</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Culinary Pathway Canon v3.0 and Operating Principles v1.0</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SERIES POSITION</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Book Three of Four</w:t>
            </w:r>
          </w:p>
        </w:tc>
      </w:tr>
    </w:tbl>
    <w:p>
      <w:pPr>
        <w:spacing w:after="360"/>
      </w:pPr>
    </w:p>
    <w:p>
      <w:pPr>
        <w:jc w:val="center"/>
      </w:pPr>
      <w:r>
        <w:rPr>
          <w:b/>
          <w:color w:val="1C8C8C"/>
          <w:sz w:val="21"/>
        </w:rPr>
        <w:t>Provide clear direction. Prepare before independence. Inspect what you expect. Document the decision.</w:t>
      </w:r>
    </w:p>
    <w:p>
      <w:pPr>
        <w:jc w:val="center"/>
      </w:pPr>
      <w:r>
        <w:rPr>
          <w:i/>
          <w:color w:val="666666"/>
          <w:sz w:val="19"/>
        </w:rPr>
        <w:t>Prepare students. Verify competence. Increase responsibility. Support the transition to professional practice.</w:t>
      </w:r>
    </w:p>
    <w:p>
      <w:r>
        <w:br w:type="page"/>
      </w:r>
    </w:p>
    <w:p>
      <w:pPr>
        <w:pStyle w:val="Heading1"/>
      </w:pPr>
      <w:r>
        <w:t>Culinary Pathway Operating Principles</w:t>
      </w:r>
    </w:p>
    <w:p>
      <w:r>
        <w:t>The Operating Principles govern every procedure in this manual. They are applied as operating controls rather than repeated as separate programs or slogans.</w:t>
      </w:r>
    </w:p>
    <w:tbl>
      <w:tblPr>
        <w:tblStyle w:val="TableGrid"/>
        <w:tblW w:type="auto" w:w="0"/>
        <w:jc w:val="center"/>
        <w:tblLook w:firstColumn="1" w:firstRow="1" w:lastColumn="0" w:lastRow="0" w:noHBand="0" w:noVBand="1" w:val="04A0"/>
      </w:tblPr>
      <w:tblGrid>
        <w:gridCol w:w="5083"/>
        <w:gridCol w:w="5083"/>
      </w:tblGrid>
      <w:tr>
        <w:tc>
          <w:tcPr>
            <w:tcW w:type="dxa" w:w="5083"/>
            <w:shd w:fill="E8F5F5"/>
            <w:tcMar>
              <w:top w:w="90" w:type="dxa"/>
              <w:start w:w="105" w:type="dxa"/>
              <w:bottom w:w="90" w:type="dxa"/>
              <w:end w:w="105" w:type="dxa"/>
            </w:tcMar>
          </w:tcPr>
          <w:p>
            <w:pPr>
              <w:spacing w:after="24"/>
            </w:pPr>
            <w:r/>
            <w:r>
              <w:rPr>
                <w:b/>
                <w:color w:val="1C8C8C"/>
                <w:sz w:val="18"/>
              </w:rPr>
              <w:t>Every Day Is a School Day.</w:t>
            </w:r>
          </w:p>
          <w:p>
            <w:pPr>
              <w:spacing w:after="0"/>
            </w:pPr>
            <w:r>
              <w:rPr>
                <w:sz w:val="16"/>
              </w:rPr>
              <w:t>Every classroom, kitchen, event, competition, meeting, and workplace contributes to learning.</w:t>
            </w:r>
          </w:p>
        </w:tc>
        <w:tc>
          <w:tcPr>
            <w:tcW w:type="dxa" w:w="5083"/>
            <w:shd w:fill="EAF2F8"/>
            <w:tcMar>
              <w:top w:w="90" w:type="dxa"/>
              <w:start w:w="105" w:type="dxa"/>
              <w:bottom w:w="90" w:type="dxa"/>
              <w:end w:w="105" w:type="dxa"/>
            </w:tcMar>
          </w:tcPr>
          <w:p>
            <w:pPr>
              <w:spacing w:after="24"/>
            </w:pPr>
            <w:r/>
            <w:r>
              <w:rPr>
                <w:b/>
                <w:color w:val="1F4E78"/>
                <w:sz w:val="18"/>
              </w:rPr>
              <w:t>Learning Before Labor.</w:t>
            </w:r>
          </w:p>
          <w:p>
            <w:pPr>
              <w:spacing w:after="0"/>
            </w:pPr>
            <w:r>
              <w:rPr>
                <w:sz w:val="16"/>
              </w:rPr>
              <w:t>Production and employer needs never replace educational purpose.</w:t>
            </w:r>
          </w:p>
        </w:tc>
      </w:tr>
      <w:tr>
        <w:tc>
          <w:tcPr>
            <w:tcW w:type="dxa" w:w="5083"/>
            <w:shd w:fill="EAF2F8"/>
            <w:tcMar>
              <w:top w:w="90" w:type="dxa"/>
              <w:start w:w="105" w:type="dxa"/>
              <w:bottom w:w="90" w:type="dxa"/>
              <w:end w:w="105" w:type="dxa"/>
            </w:tcMar>
          </w:tcPr>
          <w:p>
            <w:pPr>
              <w:spacing w:after="24"/>
            </w:pPr>
            <w:r/>
            <w:r>
              <w:rPr>
                <w:b/>
                <w:color w:val="1C8C8C"/>
                <w:sz w:val="18"/>
              </w:rPr>
              <w:t>Provide Clear Direction.</w:t>
            </w:r>
          </w:p>
          <w:p>
            <w:pPr>
              <w:spacing w:after="0"/>
            </w:pPr>
            <w:r>
              <w:rPr>
                <w:sz w:val="16"/>
              </w:rPr>
              <w:t>Every procedure identifies the purpose, owner, action, record, completion point, and next step.</w:t>
            </w:r>
          </w:p>
        </w:tc>
        <w:tc>
          <w:tcPr>
            <w:tcW w:type="dxa" w:w="5083"/>
            <w:shd w:fill="E8F5F5"/>
            <w:tcMar>
              <w:top w:w="90" w:type="dxa"/>
              <w:start w:w="105" w:type="dxa"/>
              <w:bottom w:w="90" w:type="dxa"/>
              <w:end w:w="105" w:type="dxa"/>
            </w:tcMar>
          </w:tcPr>
          <w:p>
            <w:pPr>
              <w:spacing w:after="24"/>
            </w:pPr>
            <w:r/>
            <w:r>
              <w:rPr>
                <w:b/>
                <w:color w:val="1F4E78"/>
                <w:sz w:val="18"/>
              </w:rPr>
              <w:t>Preparation Before Independence.</w:t>
            </w:r>
          </w:p>
          <w:p>
            <w:pPr>
              <w:spacing w:after="0"/>
            </w:pPr>
            <w:r>
              <w:rPr>
                <w:sz w:val="16"/>
              </w:rPr>
              <w:t>Students receive new responsibility only after readiness, supervision, and support are confirmed.</w:t>
            </w:r>
          </w:p>
        </w:tc>
      </w:tr>
      <w:tr>
        <w:tc>
          <w:tcPr>
            <w:tcW w:type="dxa" w:w="5083"/>
            <w:shd w:fill="E8F5F5"/>
            <w:tcMar>
              <w:top w:w="90" w:type="dxa"/>
              <w:start w:w="105" w:type="dxa"/>
              <w:bottom w:w="90" w:type="dxa"/>
              <w:end w:w="105" w:type="dxa"/>
            </w:tcMar>
          </w:tcPr>
          <w:p>
            <w:pPr>
              <w:spacing w:after="24"/>
            </w:pPr>
            <w:r/>
            <w:r>
              <w:rPr>
                <w:b/>
                <w:color w:val="1C8C8C"/>
                <w:sz w:val="18"/>
              </w:rPr>
              <w:t>Inspect What You Expect.</w:t>
            </w:r>
          </w:p>
          <w:p>
            <w:pPr>
              <w:spacing w:after="0"/>
            </w:pPr>
            <w:r>
              <w:rPr>
                <w:sz w:val="16"/>
              </w:rPr>
              <w:t>Monitoring, observation, check-ins, records, and follow-through verify that the approved plan matches actual practice.</w:t>
            </w:r>
          </w:p>
        </w:tc>
        <w:tc>
          <w:tcPr>
            <w:tcW w:type="dxa" w:w="5083"/>
            <w:shd w:fill="EAF2F8"/>
            <w:tcMar>
              <w:top w:w="90" w:type="dxa"/>
              <w:start w:w="105" w:type="dxa"/>
              <w:bottom w:w="90" w:type="dxa"/>
              <w:end w:w="105" w:type="dxa"/>
            </w:tcMar>
          </w:tcPr>
          <w:p>
            <w:pPr>
              <w:spacing w:after="24"/>
            </w:pPr>
            <w:r/>
            <w:r>
              <w:rPr>
                <w:b/>
                <w:color w:val="1F4E78"/>
                <w:sz w:val="18"/>
              </w:rPr>
              <w:t>Quality Before Quantity.</w:t>
            </w:r>
          </w:p>
          <w:p>
            <w:pPr>
              <w:spacing w:after="0"/>
            </w:pPr>
            <w:r>
              <w:rPr>
                <w:sz w:val="16"/>
              </w:rPr>
              <w:t>The pathway limits scope when staffing, supervision, transportation, records, or support cannot sustain quality.</w:t>
            </w:r>
          </w:p>
        </w:tc>
      </w:tr>
      <w:tr>
        <w:tc>
          <w:tcPr>
            <w:tcW w:type="dxa" w:w="5083"/>
            <w:shd w:fill="EAF2F8"/>
            <w:tcMar>
              <w:top w:w="90" w:type="dxa"/>
              <w:start w:w="105" w:type="dxa"/>
              <w:bottom w:w="90" w:type="dxa"/>
              <w:end w:w="105" w:type="dxa"/>
            </w:tcMar>
          </w:tcPr>
          <w:p>
            <w:pPr>
              <w:spacing w:after="24"/>
            </w:pPr>
            <w:r/>
            <w:r>
              <w:rPr>
                <w:b/>
                <w:color w:val="1C8C8C"/>
                <w:sz w:val="18"/>
              </w:rPr>
              <w:t>Students Advance by Demonstrating Competency.</w:t>
            </w:r>
          </w:p>
          <w:p>
            <w:pPr>
              <w:spacing w:after="0"/>
            </w:pPr>
            <w:r>
              <w:rPr>
                <w:sz w:val="16"/>
              </w:rPr>
              <w:t>Gateway status, not participation or elapsed time alone, controls progression.</w:t>
            </w:r>
          </w:p>
        </w:tc>
        <w:tc>
          <w:tcPr>
            <w:tcW w:type="dxa" w:w="5083"/>
            <w:shd w:fill="E8F5F5"/>
            <w:tcMar>
              <w:top w:w="90" w:type="dxa"/>
              <w:start w:w="105" w:type="dxa"/>
              <w:bottom w:w="90" w:type="dxa"/>
              <w:end w:w="105" w:type="dxa"/>
            </w:tcMar>
          </w:tcPr>
          <w:p>
            <w:pPr>
              <w:spacing w:after="24"/>
            </w:pPr>
            <w:r/>
            <w:r>
              <w:rPr>
                <w:b/>
                <w:color w:val="1F4E78"/>
                <w:sz w:val="18"/>
              </w:rPr>
              <w:t>Build Leaders, Not Just Cooks.</w:t>
            </w:r>
          </w:p>
          <w:p>
            <w:pPr>
              <w:spacing w:after="0"/>
            </w:pPr>
            <w:r>
              <w:rPr>
                <w:sz w:val="16"/>
              </w:rPr>
              <w:t>Operations develop communication, judgment, supervision, accountability, and team improvement alongside technical skill.</w:t>
            </w:r>
          </w:p>
        </w:tc>
      </w:tr>
      <w:tr>
        <w:tc>
          <w:tcPr>
            <w:tcW w:type="dxa" w:w="5083"/>
            <w:shd w:fill="E8F5F5"/>
            <w:tcMar>
              <w:top w:w="90" w:type="dxa"/>
              <w:start w:w="105" w:type="dxa"/>
              <w:bottom w:w="90" w:type="dxa"/>
              <w:end w:w="105" w:type="dxa"/>
            </w:tcMar>
          </w:tcPr>
          <w:p>
            <w:pPr>
              <w:spacing w:after="24"/>
            </w:pPr>
            <w:r/>
            <w:r>
              <w:rPr>
                <w:b/>
                <w:color w:val="1C8C8C"/>
                <w:sz w:val="18"/>
              </w:rPr>
              <w:t>Experiences Provide Evidence. Competencies Determine Progression.</w:t>
            </w:r>
          </w:p>
          <w:p>
            <w:pPr>
              <w:spacing w:after="0"/>
            </w:pPr>
            <w:r>
              <w:rPr>
                <w:sz w:val="16"/>
              </w:rPr>
              <w:t>Authentic work produces evidence; the Gateway decision authorizes responsibility.</w:t>
            </w:r>
          </w:p>
        </w:tc>
        <w:tc>
          <w:tcPr>
            <w:tcW w:type="dxa" w:w="5083"/>
            <w:shd w:fill="EAF2F8"/>
            <w:tcMar>
              <w:top w:w="90" w:type="dxa"/>
              <w:start w:w="105" w:type="dxa"/>
              <w:bottom w:w="90" w:type="dxa"/>
              <w:end w:w="105" w:type="dxa"/>
            </w:tcMar>
          </w:tcPr>
          <w:p>
            <w:pPr>
              <w:spacing w:after="24"/>
            </w:pPr>
            <w:r/>
            <w:r>
              <w:rPr>
                <w:b/>
                <w:color w:val="1F4E78"/>
                <w:sz w:val="18"/>
              </w:rPr>
              <w:t>Travel Rights Are Earned.</w:t>
            </w:r>
          </w:p>
          <w:p>
            <w:pPr>
              <w:spacing w:after="0"/>
            </w:pPr>
            <w:r>
              <w:rPr>
                <w:sz w:val="16"/>
              </w:rPr>
              <w:t>Gateway 5 establishes educational readiness for External WBL; it does not guarantee a placement.</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4F8FA"/>
            <w:tcMar>
              <w:top w:w="115" w:type="dxa"/>
              <w:start w:w="130" w:type="dxa"/>
              <w:bottom w:w="115" w:type="dxa"/>
              <w:end w:w="130" w:type="dxa"/>
            </w:tcMar>
          </w:tcPr>
          <w:p>
            <w:pPr>
              <w:spacing w:after="30"/>
            </w:pPr>
            <w:r/>
            <w:r>
              <w:rPr>
                <w:b/>
                <w:color w:val="1C8C8C"/>
                <w:sz w:val="20"/>
              </w:rPr>
              <w:t>Operations Commitment</w:t>
            </w:r>
          </w:p>
          <w:p>
            <w:pPr>
              <w:spacing w:after="0"/>
            </w:pPr>
            <w:r>
              <w:rPr>
                <w:sz w:val="18"/>
              </w:rPr>
              <w:t>Provide clear direction. Prepare before independence. Inspect what you expect. Document the decision. Maintain one authoritative record. Improve only through approved review.</w:t>
            </w:r>
          </w:p>
        </w:tc>
      </w:tr>
    </w:tbl>
    <w:p>
      <w:pPr>
        <w:spacing w:after="0"/>
      </w:pPr>
    </w:p>
    <w:p>
      <w:r>
        <w:br w:type="page"/>
      </w:r>
    </w:p>
    <w:p>
      <w:pPr>
        <w:pStyle w:val="Heading1"/>
      </w:pPr>
      <w:r>
        <w:t>Document Status</w:t>
      </w:r>
    </w:p>
    <w:p>
      <w:r>
        <w:t>This manual defines the proposed operating procedures for the Greece Central School District Culinary Pathway. It is governed by the Culinary Pathway Canon, Version 3.0, and the Culinary Pathway Operating Principles, Version 1.0.</w:t>
      </w:r>
    </w:p>
    <w:p>
      <w:r>
        <w:t>This is a planning document, not current district policy. It does not replace Board policy, collective bargaining agreements, approved curriculum, student-support plans, food-safety rules, labor requirements, insurance and transportation procedures, privacy and records requirements, or site-specific safety practices. Current law and adopted district policy control.</w:t>
      </w:r>
    </w:p>
    <w:p>
      <w:pPr>
        <w:pStyle w:val="Heading1"/>
      </w:pPr>
      <w:r>
        <w:t>Executive Summary</w:t>
      </w:r>
    </w:p>
    <w:p>
      <w:r>
        <w:t>The Culinary Pathway is a three-year competency continuum. Grade 10 establishes safe kitchen participation and foundational culinary competence. Grade 11 moves students into client-centered production through Advanced Culinary and The Cottage, then into leadership and career readiness through Kitchen Management. Grade 12 culminates in a separate 1.0-credit External Work-Based Learning course.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792"/>
            <w:tcMar>
              <w:top w:w="90" w:type="dxa"/>
              <w:start w:w="90" w:type="dxa"/>
              <w:bottom w:w="90" w:type="dxa"/>
              <w:end w:w="90" w:type="dxa"/>
            </w:tcMar>
            <w:vAlign w:val="center"/>
            <w:shd w:fill="1F4E78"/>
          </w:tcPr>
          <w:p>
            <w:pPr>
              <w:spacing w:after="0"/>
            </w:pPr>
            <w:r/>
            <w:r>
              <w:rPr>
                <w:rFonts w:ascii="Aptos" w:hAnsi="Aptos"/>
                <w:b/>
                <w:color w:val="FFFFFF"/>
                <w:sz w:val="17"/>
              </w:rPr>
              <w:t>Grade</w:t>
            </w:r>
          </w:p>
        </w:tc>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Courses / environment</w:t>
            </w:r>
          </w:p>
        </w:tc>
        <w:tc>
          <w:tcPr>
            <w:tcW w:type="dxa" w:w="4752"/>
            <w:tcMar>
              <w:top w:w="90" w:type="dxa"/>
              <w:start w:w="90" w:type="dxa"/>
              <w:bottom w:w="90" w:type="dxa"/>
              <w:end w:w="90" w:type="dxa"/>
            </w:tcMar>
            <w:vAlign w:val="center"/>
            <w:shd w:fill="1F4E78"/>
          </w:tcPr>
          <w:p>
            <w:pPr>
              <w:spacing w:after="0"/>
            </w:pPr>
            <w:r/>
            <w:r>
              <w:rPr>
                <w:rFonts w:ascii="Aptos" w:hAnsi="Aptos"/>
                <w:b/>
                <w:color w:val="FFFFFF"/>
                <w:sz w:val="17"/>
              </w:rPr>
              <w:t>Primary operation</w:t>
            </w:r>
          </w:p>
        </w:tc>
        <w:tc>
          <w:tcPr>
            <w:tcW w:type="dxa" w:w="1584"/>
            <w:tcMar>
              <w:top w:w="90" w:type="dxa"/>
              <w:start w:w="90" w:type="dxa"/>
              <w:bottom w:w="90" w:type="dxa"/>
              <w:end w:w="90" w:type="dxa"/>
            </w:tcMar>
            <w:vAlign w:val="center"/>
            <w:shd w:fill="1F4E78"/>
          </w:tcPr>
          <w:p>
            <w:pPr>
              <w:spacing w:after="0"/>
            </w:pPr>
            <w:r/>
            <w:r>
              <w:rPr>
                <w:rFonts w:ascii="Aptos" w:hAnsi="Aptos"/>
                <w:b/>
                <w:color w:val="FFFFFF"/>
                <w:sz w:val="17"/>
              </w:rPr>
              <w:t>Gateway result</w:t>
            </w:r>
          </w:p>
        </w:tc>
      </w:tr>
      <w:tr>
        <w:trPr>
          <w:cantSplit/>
        </w:trPr>
        <w:tc>
          <w:tcPr>
            <w:tcW w:type="dxa" w:w="792"/>
            <w:tcMar>
              <w:top w:w="90" w:type="dxa"/>
              <w:start w:w="90" w:type="dxa"/>
              <w:bottom w:w="90" w:type="dxa"/>
              <w:end w:w="90" w:type="dxa"/>
            </w:tcMar>
            <w:vAlign w:val="center"/>
            <w:shd w:fill="EAF2F8"/>
          </w:tcPr>
          <w:p>
            <w:pPr>
              <w:spacing w:after="0"/>
            </w:pPr>
            <w:r/>
            <w:r>
              <w:rPr>
                <w:rFonts w:ascii="Aptos" w:hAnsi="Aptos"/>
                <w:b w:val="0"/>
                <w:sz w:val="16"/>
              </w:rPr>
              <w:t>10</w:t>
            </w:r>
          </w:p>
        </w:tc>
        <w:tc>
          <w:tcPr>
            <w:tcW w:type="dxa" w:w="2520"/>
            <w:tcMar>
              <w:top w:w="90" w:type="dxa"/>
              <w:start w:w="90" w:type="dxa"/>
              <w:bottom w:w="90" w:type="dxa"/>
              <w:end w:w="90" w:type="dxa"/>
            </w:tcMar>
            <w:vAlign w:val="center"/>
            <w:shd w:fill="EAF2F8"/>
          </w:tcPr>
          <w:p>
            <w:pPr>
              <w:spacing w:after="0"/>
            </w:pPr>
            <w:r/>
            <w:r>
              <w:rPr>
                <w:rFonts w:ascii="Aptos" w:hAnsi="Aptos"/>
                <w:b w:val="0"/>
                <w:sz w:val="16"/>
              </w:rPr>
              <w:t>Culinary 1 and Culinary 2; instructional kitchen</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Teach, coach, assess, reassess, and verify safety, kitchen-work readiness, and foundational culinary competence.</w:t>
            </w:r>
          </w:p>
        </w:tc>
        <w:tc>
          <w:tcPr>
            <w:tcW w:type="dxa" w:w="1584"/>
            <w:tcMar>
              <w:top w:w="90" w:type="dxa"/>
              <w:start w:w="90" w:type="dxa"/>
              <w:bottom w:w="90" w:type="dxa"/>
              <w:end w:w="90" w:type="dxa"/>
            </w:tcMar>
            <w:vAlign w:val="center"/>
            <w:shd w:fill="EAF2F8"/>
          </w:tcPr>
          <w:p>
            <w:pPr>
              <w:spacing w:after="0"/>
            </w:pPr>
            <w:r/>
            <w:r>
              <w:rPr>
                <w:rFonts w:ascii="Aptos" w:hAnsi="Aptos"/>
                <w:b w:val="0"/>
                <w:sz w:val="16"/>
              </w:rPr>
              <w:t>Gateways 1-3</w:t>
            </w:r>
          </w:p>
        </w:tc>
      </w:tr>
      <w:tr>
        <w:trPr>
          <w:cantSplit/>
        </w:trPr>
        <w:tc>
          <w:tcPr>
            <w:tcW w:type="dxa" w:w="792"/>
            <w:tcMar>
              <w:top w:w="90" w:type="dxa"/>
              <w:start w:w="90" w:type="dxa"/>
              <w:bottom w:w="90" w:type="dxa"/>
              <w:end w:w="90" w:type="dxa"/>
            </w:tcMar>
            <w:vAlign w:val="center"/>
            <w:shd w:fill="FFFFFF"/>
          </w:tcPr>
          <w:p>
            <w:pPr>
              <w:spacing w:after="0"/>
            </w:pPr>
            <w:r/>
            <w:r>
              <w:rPr>
                <w:rFonts w:ascii="Aptos" w:hAnsi="Aptos"/>
                <w:b w:val="0"/>
                <w:sz w:val="16"/>
              </w:rPr>
              <w:t>11</w:t>
            </w:r>
          </w:p>
        </w:tc>
        <w:tc>
          <w:tcPr>
            <w:tcW w:type="dxa" w:w="2520"/>
            <w:tcMar>
              <w:top w:w="90" w:type="dxa"/>
              <w:start w:w="90" w:type="dxa"/>
              <w:bottom w:w="90" w:type="dxa"/>
              <w:end w:w="90" w:type="dxa"/>
            </w:tcMar>
            <w:vAlign w:val="center"/>
            <w:shd w:fill="FFFFFF"/>
          </w:tcPr>
          <w:p>
            <w:pPr>
              <w:spacing w:after="0"/>
            </w:pPr>
            <w:r/>
            <w:r>
              <w:rPr>
                <w:rFonts w:ascii="Aptos" w:hAnsi="Aptos"/>
                <w:b w:val="0"/>
                <w:sz w:val="16"/>
              </w:rPr>
              <w:t>Advanced Culinary, The Cottage, and Kitchen Management</w:t>
            </w:r>
          </w:p>
        </w:tc>
        <w:tc>
          <w:tcPr>
            <w:tcW w:type="dxa" w:w="4752"/>
            <w:tcMar>
              <w:top w:w="90" w:type="dxa"/>
              <w:start w:w="90" w:type="dxa"/>
              <w:bottom w:w="90" w:type="dxa"/>
              <w:end w:w="90" w:type="dxa"/>
            </w:tcMar>
            <w:vAlign w:val="center"/>
            <w:shd w:fill="FFFFFF"/>
          </w:tcPr>
          <w:p>
            <w:pPr>
              <w:spacing w:after="0"/>
            </w:pPr>
            <w:r/>
            <w:r>
              <w:rPr>
                <w:rFonts w:ascii="Aptos" w:hAnsi="Aptos"/>
                <w:b w:val="0"/>
                <w:sz w:val="16"/>
              </w:rPr>
              <w:t>Operate authentic client work, develop student leaders, and prepare students for employment.</w:t>
            </w:r>
          </w:p>
        </w:tc>
        <w:tc>
          <w:tcPr>
            <w:tcW w:type="dxa" w:w="1584"/>
            <w:tcMar>
              <w:top w:w="90" w:type="dxa"/>
              <w:start w:w="90" w:type="dxa"/>
              <w:bottom w:w="90" w:type="dxa"/>
              <w:end w:w="90" w:type="dxa"/>
            </w:tcMar>
            <w:vAlign w:val="center"/>
            <w:shd w:fill="FFFFFF"/>
          </w:tcPr>
          <w:p>
            <w:pPr>
              <w:spacing w:after="0"/>
            </w:pPr>
            <w:r/>
            <w:r>
              <w:rPr>
                <w:rFonts w:ascii="Aptos" w:hAnsi="Aptos"/>
                <w:b w:val="0"/>
                <w:sz w:val="16"/>
              </w:rPr>
              <w:t>Gateways 4-5 / Travel Rights</w:t>
            </w:r>
          </w:p>
        </w:tc>
      </w:tr>
      <w:tr>
        <w:trPr>
          <w:cantSplit/>
        </w:trPr>
        <w:tc>
          <w:tcPr>
            <w:tcW w:type="dxa" w:w="792"/>
            <w:tcMar>
              <w:top w:w="90" w:type="dxa"/>
              <w:start w:w="90" w:type="dxa"/>
              <w:bottom w:w="90" w:type="dxa"/>
              <w:end w:w="90" w:type="dxa"/>
            </w:tcMar>
            <w:vAlign w:val="center"/>
            <w:shd w:fill="EAF2F8"/>
          </w:tcPr>
          <w:p>
            <w:pPr>
              <w:spacing w:after="0"/>
            </w:pPr>
            <w:r/>
            <w:r>
              <w:rPr>
                <w:rFonts w:ascii="Aptos" w:hAnsi="Aptos"/>
                <w:b w:val="0"/>
                <w:sz w:val="16"/>
              </w:rPr>
              <w:t>12</w:t>
            </w:r>
          </w:p>
        </w:tc>
        <w:tc>
          <w:tcPr>
            <w:tcW w:type="dxa" w:w="2520"/>
            <w:tcMar>
              <w:top w:w="90" w:type="dxa"/>
              <w:start w:w="90" w:type="dxa"/>
              <w:bottom w:w="90" w:type="dxa"/>
              <w:end w:w="90" w:type="dxa"/>
            </w:tcMar>
            <w:vAlign w:val="center"/>
            <w:shd w:fill="EAF2F8"/>
          </w:tcPr>
          <w:p>
            <w:pPr>
              <w:spacing w:after="0"/>
            </w:pPr>
            <w:r/>
            <w:r>
              <w:rPr>
                <w:rFonts w:ascii="Aptos" w:hAnsi="Aptos"/>
                <w:b w:val="0"/>
                <w:sz w:val="16"/>
              </w:rPr>
              <w:t>External Work-Based Learning, 1.0 credit</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Approve the training station, monitor the experience, verify 300 hours, and complete the portfolio and final evaluation.</w:t>
            </w:r>
          </w:p>
        </w:tc>
        <w:tc>
          <w:tcPr>
            <w:tcW w:type="dxa" w:w="1584"/>
            <w:tcMar>
              <w:top w:w="90" w:type="dxa"/>
              <w:start w:w="90" w:type="dxa"/>
              <w:bottom w:w="90" w:type="dxa"/>
              <w:end w:w="90" w:type="dxa"/>
            </w:tcMar>
            <w:vAlign w:val="center"/>
            <w:shd w:fill="EAF2F8"/>
          </w:tcPr>
          <w:p>
            <w:pPr>
              <w:spacing w:after="0"/>
            </w:pPr>
            <w:r/>
            <w:r>
              <w:rPr>
                <w:rFonts w:ascii="Aptos" w:hAnsi="Aptos"/>
                <w:b w:val="0"/>
                <w:sz w:val="16"/>
              </w:rPr>
              <w:t>Gateway 6</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Operating Standard</w:t>
            </w:r>
          </w:p>
          <w:p>
            <w:pPr>
              <w:spacing w:after="0"/>
            </w:pPr>
            <w:r>
              <w:rPr>
                <w:sz w:val="18"/>
              </w:rPr>
              <w:t>No student advances to a new level of responsibility until the required Gateway has been verified and recorded in the Culinary Passport.</w:t>
            </w:r>
          </w:p>
        </w:tc>
      </w:tr>
    </w:tbl>
    <w:p>
      <w:pPr>
        <w:spacing w:after="0"/>
      </w:pPr>
    </w:p>
    <w:p>
      <w:r>
        <w:br w:type="page"/>
      </w:r>
    </w:p>
    <w:p>
      <w:pPr>
        <w:pStyle w:val="Heading1"/>
      </w:pPr>
      <w:r>
        <w:t>The Four-Book Series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tcMar>
              <w:top w:w="90" w:type="dxa"/>
              <w:start w:w="90" w:type="dxa"/>
              <w:bottom w:w="90" w:type="dxa"/>
              <w:end w:w="90" w:type="dxa"/>
            </w:tcMar>
            <w:vAlign w:val="center"/>
            <w:shd w:fill="1F4E78"/>
          </w:tcPr>
          <w:p>
            <w:pPr>
              <w:spacing w:after="0"/>
            </w:pPr>
            <w:r/>
            <w:r>
              <w:rPr>
                <w:rFonts w:ascii="Aptos" w:hAnsi="Aptos"/>
                <w:b/>
                <w:color w:val="FFFFFF"/>
                <w:sz w:val="17"/>
              </w:rPr>
              <w:t>Book</w:t>
            </w:r>
          </w:p>
        </w:tc>
        <w:tc>
          <w:tcPr>
            <w:tcW w:type="dxa" w:w="6192"/>
            <w:tcMar>
              <w:top w:w="90" w:type="dxa"/>
              <w:start w:w="90" w:type="dxa"/>
              <w:bottom w:w="90" w:type="dxa"/>
              <w:end w:w="90" w:type="dxa"/>
            </w:tcMar>
            <w:vAlign w:val="center"/>
            <w:shd w:fill="1F4E78"/>
          </w:tcPr>
          <w:p>
            <w:pPr>
              <w:spacing w:after="0"/>
            </w:pPr>
            <w:r/>
            <w:r>
              <w:rPr>
                <w:rFonts w:ascii="Aptos" w:hAnsi="Aptos"/>
                <w:b/>
                <w:color w:val="FFFFFF"/>
                <w:sz w:val="17"/>
              </w:rPr>
              <w:t>Series role</w:t>
            </w:r>
          </w:p>
        </w:tc>
      </w:tr>
      <w:tr>
        <w:trPr>
          <w:cantSplit/>
        </w:trPr>
        <w:tc>
          <w:tcPr>
            <w:tcW w:type="dxa" w:w="3888"/>
            <w:tcMar>
              <w:top w:w="90" w:type="dxa"/>
              <w:start w:w="90" w:type="dxa"/>
              <w:bottom w:w="90" w:type="dxa"/>
              <w:end w:w="90" w:type="dxa"/>
            </w:tcMar>
            <w:vAlign w:val="center"/>
            <w:shd w:fill="EAF2F8"/>
          </w:tcPr>
          <w:p>
            <w:pPr>
              <w:spacing w:after="0"/>
            </w:pPr>
            <w:r/>
            <w:r>
              <w:rPr>
                <w:rFonts w:ascii="Aptos" w:hAnsi="Aptos"/>
                <w:b w:val="0"/>
                <w:sz w:val="16"/>
              </w:rPr>
              <w:t>Book One: Program Blueprint</w:t>
            </w:r>
          </w:p>
        </w:tc>
        <w:tc>
          <w:tcPr>
            <w:tcW w:type="dxa" w:w="6192"/>
            <w:tcMar>
              <w:top w:w="90" w:type="dxa"/>
              <w:start w:w="90" w:type="dxa"/>
              <w:bottom w:w="90" w:type="dxa"/>
              <w:end w:w="90" w:type="dxa"/>
            </w:tcMar>
            <w:vAlign w:val="center"/>
            <w:shd w:fill="EAF2F8"/>
          </w:tcPr>
          <w:p>
            <w:pPr>
              <w:spacing w:after="0"/>
            </w:pPr>
            <w:r/>
            <w:r>
              <w:rPr>
                <w:rFonts w:ascii="Aptos" w:hAnsi="Aptos"/>
                <w:b w:val="0"/>
                <w:sz w:val="16"/>
              </w:rPr>
              <w:t>Defines pathway architecture, progression, authentic environments, governance, and boundaries.</w:t>
            </w:r>
          </w:p>
        </w:tc>
      </w:tr>
      <w:tr>
        <w:trPr>
          <w:cantSplit/>
        </w:trPr>
        <w:tc>
          <w:tcPr>
            <w:tcW w:type="dxa" w:w="3888"/>
            <w:tcMar>
              <w:top w:w="90" w:type="dxa"/>
              <w:start w:w="90" w:type="dxa"/>
              <w:bottom w:w="90" w:type="dxa"/>
              <w:end w:w="90" w:type="dxa"/>
            </w:tcMar>
            <w:vAlign w:val="center"/>
            <w:shd w:fill="FFFFFF"/>
          </w:tcPr>
          <w:p>
            <w:pPr>
              <w:spacing w:after="0"/>
            </w:pPr>
            <w:r/>
            <w:r>
              <w:rPr>
                <w:rFonts w:ascii="Aptos" w:hAnsi="Aptos"/>
                <w:b w:val="0"/>
                <w:sz w:val="16"/>
              </w:rPr>
              <w:t>Book Two: Assessment, Evaluation &amp; Continuous Improvement</w:t>
            </w:r>
          </w:p>
        </w:tc>
        <w:tc>
          <w:tcPr>
            <w:tcW w:type="dxa" w:w="6192"/>
            <w:tcMar>
              <w:top w:w="90" w:type="dxa"/>
              <w:start w:w="90" w:type="dxa"/>
              <w:bottom w:w="90" w:type="dxa"/>
              <w:end w:w="90" w:type="dxa"/>
            </w:tcMar>
            <w:vAlign w:val="center"/>
            <w:shd w:fill="FFFFFF"/>
          </w:tcPr>
          <w:p>
            <w:pPr>
              <w:spacing w:after="0"/>
            </w:pPr>
            <w:r/>
            <w:r>
              <w:rPr>
                <w:rFonts w:ascii="Aptos" w:hAnsi="Aptos"/>
                <w:b w:val="0"/>
                <w:sz w:val="16"/>
              </w:rPr>
              <w:t>Defines evidence, Gateway decisions, training-station quality, program evaluation, and improvement.</w:t>
            </w:r>
          </w:p>
        </w:tc>
      </w:tr>
      <w:tr>
        <w:trPr>
          <w:cantSplit/>
        </w:trPr>
        <w:tc>
          <w:tcPr>
            <w:tcW w:type="dxa" w:w="3888"/>
            <w:tcMar>
              <w:top w:w="90" w:type="dxa"/>
              <w:start w:w="90" w:type="dxa"/>
              <w:bottom w:w="90" w:type="dxa"/>
              <w:end w:w="90" w:type="dxa"/>
            </w:tcMar>
            <w:vAlign w:val="center"/>
            <w:shd w:fill="EAF2F8"/>
          </w:tcPr>
          <w:p>
            <w:pPr>
              <w:spacing w:after="0"/>
            </w:pPr>
            <w:r/>
            <w:r>
              <w:rPr>
                <w:rFonts w:ascii="Aptos" w:hAnsi="Aptos"/>
                <w:b w:val="0"/>
                <w:sz w:val="16"/>
              </w:rPr>
              <w:t>Book Three: Operations Manual</w:t>
            </w:r>
          </w:p>
        </w:tc>
        <w:tc>
          <w:tcPr>
            <w:tcW w:type="dxa" w:w="6192"/>
            <w:tcMar>
              <w:top w:w="90" w:type="dxa"/>
              <w:start w:w="90" w:type="dxa"/>
              <w:bottom w:w="90" w:type="dxa"/>
              <w:end w:w="90" w:type="dxa"/>
            </w:tcMar>
            <w:vAlign w:val="center"/>
            <w:shd w:fill="EAF2F8"/>
          </w:tcPr>
          <w:p>
            <w:pPr>
              <w:spacing w:after="0"/>
            </w:pPr>
            <w:r/>
            <w:r>
              <w:rPr>
                <w:rFonts w:ascii="Aptos" w:hAnsi="Aptos"/>
                <w:b w:val="0"/>
                <w:sz w:val="16"/>
              </w:rPr>
              <w:t>Directs procedures, calendars, records, approvals, monitoring, safety response, and closeout.</w:t>
            </w:r>
          </w:p>
        </w:tc>
      </w:tr>
      <w:tr>
        <w:trPr>
          <w:cantSplit/>
        </w:trPr>
        <w:tc>
          <w:tcPr>
            <w:tcW w:type="dxa" w:w="3888"/>
            <w:tcMar>
              <w:top w:w="90" w:type="dxa"/>
              <w:start w:w="90" w:type="dxa"/>
              <w:bottom w:w="90" w:type="dxa"/>
              <w:end w:w="90" w:type="dxa"/>
            </w:tcMar>
            <w:vAlign w:val="center"/>
            <w:shd w:fill="FFFFFF"/>
          </w:tcPr>
          <w:p>
            <w:pPr>
              <w:spacing w:after="0"/>
            </w:pPr>
            <w:r/>
            <w:r>
              <w:rPr>
                <w:rFonts w:ascii="Aptos" w:hAnsi="Aptos"/>
                <w:b w:val="0"/>
                <w:sz w:val="16"/>
              </w:rPr>
              <w:t>Book Four: Board Proposal &amp; Implementation Plan</w:t>
            </w:r>
          </w:p>
        </w:tc>
        <w:tc>
          <w:tcPr>
            <w:tcW w:type="dxa" w:w="6192"/>
            <w:tcMar>
              <w:top w:w="90" w:type="dxa"/>
              <w:start w:w="90" w:type="dxa"/>
              <w:bottom w:w="90" w:type="dxa"/>
              <w:end w:w="90" w:type="dxa"/>
            </w:tcMar>
            <w:vAlign w:val="center"/>
            <w:shd w:fill="FFFFFF"/>
          </w:tcPr>
          <w:p>
            <w:pPr>
              <w:spacing w:after="0"/>
            </w:pPr>
            <w:r/>
            <w:r>
              <w:rPr>
                <w:rFonts w:ascii="Aptos" w:hAnsi="Aptos"/>
                <w:b w:val="0"/>
                <w:sz w:val="16"/>
              </w:rPr>
              <w:t>Defines authorization, staffing, fiscal planning, implementation requirements, risk review, and Board reporting.</w:t>
            </w:r>
          </w:p>
        </w:tc>
      </w:tr>
    </w:tbl>
    <w:p>
      <w:pPr>
        <w:spacing w:after="0"/>
      </w:pPr>
    </w:p>
    <w:p>
      <w:pPr>
        <w:pStyle w:val="Heading1"/>
      </w:pPr>
      <w:r>
        <w:t>Contents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tcMar>
              <w:top w:w="90" w:type="dxa"/>
              <w:start w:w="90" w:type="dxa"/>
              <w:bottom w:w="90" w:type="dxa"/>
              <w:end w:w="90" w:type="dxa"/>
            </w:tcMar>
            <w:vAlign w:val="center"/>
            <w:shd w:fill="1F4E78"/>
          </w:tcPr>
          <w:p>
            <w:pPr>
              <w:spacing w:after="0"/>
            </w:pPr>
            <w:r/>
            <w:r>
              <w:rPr>
                <w:rFonts w:ascii="Aptos" w:hAnsi="Aptos"/>
                <w:b/>
                <w:color w:val="FFFFFF"/>
                <w:sz w:val="17"/>
              </w:rPr>
              <w:t>Section</w:t>
            </w:r>
          </w:p>
        </w:tc>
        <w:tc>
          <w:tcPr>
            <w:tcW w:type="dxa" w:w="6624"/>
            <w:tcMar>
              <w:top w:w="90" w:type="dxa"/>
              <w:start w:w="90" w:type="dxa"/>
              <w:bottom w:w="90" w:type="dxa"/>
              <w:end w:w="90" w:type="dxa"/>
            </w:tcMar>
            <w:vAlign w:val="center"/>
            <w:shd w:fill="1F4E78"/>
          </w:tcPr>
          <w:p>
            <w:pPr>
              <w:spacing w:after="0"/>
            </w:pPr>
            <w:r/>
            <w:r>
              <w:rPr>
                <w:rFonts w:ascii="Aptos" w:hAnsi="Aptos"/>
                <w:b/>
                <w:color w:val="FFFFFF"/>
                <w:sz w:val="17"/>
              </w:rPr>
              <w:t>Focus</w:t>
            </w:r>
          </w:p>
        </w:tc>
      </w:tr>
      <w:tr>
        <w:trPr>
          <w:cantSplit/>
        </w:trPr>
        <w:tc>
          <w:tcPr>
            <w:tcW w:type="dxa" w:w="3456"/>
            <w:tcMar>
              <w:top w:w="90" w:type="dxa"/>
              <w:start w:w="90" w:type="dxa"/>
              <w:bottom w:w="90" w:type="dxa"/>
              <w:end w:w="90" w:type="dxa"/>
            </w:tcMar>
            <w:vAlign w:val="center"/>
            <w:shd w:fill="EAF2F8"/>
          </w:tcPr>
          <w:p>
            <w:pPr>
              <w:spacing w:after="0"/>
            </w:pPr>
            <w:r/>
            <w:r>
              <w:rPr>
                <w:rFonts w:ascii="Aptos" w:hAnsi="Aptos"/>
                <w:b w:val="0"/>
                <w:sz w:val="16"/>
              </w:rPr>
              <w:t>Part I - Operating Framework</w:t>
            </w:r>
          </w:p>
        </w:tc>
        <w:tc>
          <w:tcPr>
            <w:tcW w:type="dxa" w:w="6624"/>
            <w:tcMar>
              <w:top w:w="90" w:type="dxa"/>
              <w:start w:w="90" w:type="dxa"/>
              <w:bottom w:w="90" w:type="dxa"/>
              <w:end w:w="90" w:type="dxa"/>
            </w:tcMar>
            <w:vAlign w:val="center"/>
            <w:shd w:fill="EAF2F8"/>
          </w:tcPr>
          <w:p>
            <w:pPr>
              <w:spacing w:after="0"/>
            </w:pPr>
            <w:r/>
            <w:r>
              <w:rPr>
                <w:rFonts w:ascii="Aptos" w:hAnsi="Aptos"/>
                <w:b w:val="0"/>
                <w:sz w:val="16"/>
              </w:rPr>
              <w:t>Purpose, procedure format, roles, annual calendar, launch conditions, and capacity.</w:t>
            </w:r>
          </w:p>
        </w:tc>
      </w:tr>
      <w:tr>
        <w:trPr>
          <w:cantSplit/>
        </w:trPr>
        <w:tc>
          <w:tcPr>
            <w:tcW w:type="dxa" w:w="3456"/>
            <w:tcMar>
              <w:top w:w="90" w:type="dxa"/>
              <w:start w:w="90" w:type="dxa"/>
              <w:bottom w:w="90" w:type="dxa"/>
              <w:end w:w="90" w:type="dxa"/>
            </w:tcMar>
            <w:vAlign w:val="center"/>
            <w:shd w:fill="FFFFFF"/>
          </w:tcPr>
          <w:p>
            <w:pPr>
              <w:spacing w:after="0"/>
            </w:pPr>
            <w:r/>
            <w:r>
              <w:rPr>
                <w:rFonts w:ascii="Aptos" w:hAnsi="Aptos"/>
                <w:b w:val="0"/>
                <w:sz w:val="16"/>
              </w:rPr>
              <w:t>Part II - Culinary Passport and Gateway Operations</w:t>
            </w:r>
          </w:p>
        </w:tc>
        <w:tc>
          <w:tcPr>
            <w:tcW w:type="dxa" w:w="6624"/>
            <w:tcMar>
              <w:top w:w="90" w:type="dxa"/>
              <w:start w:w="90" w:type="dxa"/>
              <w:bottom w:w="90" w:type="dxa"/>
              <w:end w:w="90" w:type="dxa"/>
            </w:tcMar>
            <w:vAlign w:val="center"/>
            <w:shd w:fill="FFFFFF"/>
          </w:tcPr>
          <w:p>
            <w:pPr>
              <w:spacing w:after="0"/>
            </w:pPr>
            <w:r/>
            <w:r>
              <w:rPr>
                <w:rFonts w:ascii="Aptos" w:hAnsi="Aptos"/>
                <w:b w:val="0"/>
                <w:sz w:val="16"/>
              </w:rPr>
              <w:t>Passport administration, Gateways 1-5, reassessment, reverification, transitions, SkillsUSA, and the proposed pathway-wide capstone.</w:t>
            </w:r>
          </w:p>
        </w:tc>
      </w:tr>
      <w:tr>
        <w:trPr>
          <w:cantSplit/>
        </w:trPr>
        <w:tc>
          <w:tcPr>
            <w:tcW w:type="dxa" w:w="3456"/>
            <w:tcMar>
              <w:top w:w="90" w:type="dxa"/>
              <w:start w:w="90" w:type="dxa"/>
              <w:bottom w:w="90" w:type="dxa"/>
              <w:end w:w="90" w:type="dxa"/>
            </w:tcMar>
            <w:vAlign w:val="center"/>
            <w:shd w:fill="EAF2F8"/>
          </w:tcPr>
          <w:p>
            <w:pPr>
              <w:spacing w:after="0"/>
            </w:pPr>
            <w:r/>
            <w:r>
              <w:rPr>
                <w:rFonts w:ascii="Aptos" w:hAnsi="Aptos"/>
                <w:b w:val="0"/>
                <w:sz w:val="16"/>
              </w:rPr>
              <w:t>Part III - School-Based Professional Practice</w:t>
            </w:r>
          </w:p>
        </w:tc>
        <w:tc>
          <w:tcPr>
            <w:tcW w:type="dxa" w:w="6624"/>
            <w:tcMar>
              <w:top w:w="90" w:type="dxa"/>
              <w:start w:w="90" w:type="dxa"/>
              <w:bottom w:w="90" w:type="dxa"/>
              <w:end w:w="90" w:type="dxa"/>
            </w:tcMar>
            <w:vAlign w:val="center"/>
            <w:shd w:fill="EAF2F8"/>
          </w:tcPr>
          <w:p>
            <w:pPr>
              <w:spacing w:after="0"/>
            </w:pPr>
            <w:r/>
            <w:r>
              <w:rPr>
                <w:rFonts w:ascii="Aptos" w:hAnsi="Aptos"/>
                <w:b w:val="0"/>
                <w:sz w:val="16"/>
              </w:rPr>
              <w:t>The Cottage, event approval, production, closeout, Kitchen Management, and building alignment.</w:t>
            </w:r>
          </w:p>
        </w:tc>
      </w:tr>
      <w:tr>
        <w:trPr>
          <w:cantSplit/>
        </w:trPr>
        <w:tc>
          <w:tcPr>
            <w:tcW w:type="dxa" w:w="3456"/>
            <w:tcMar>
              <w:top w:w="90" w:type="dxa"/>
              <w:start w:w="90" w:type="dxa"/>
              <w:bottom w:w="90" w:type="dxa"/>
              <w:end w:w="90" w:type="dxa"/>
            </w:tcMar>
            <w:vAlign w:val="center"/>
            <w:shd w:fill="FFFFFF"/>
          </w:tcPr>
          <w:p>
            <w:pPr>
              <w:spacing w:after="0"/>
            </w:pPr>
            <w:r/>
            <w:r>
              <w:rPr>
                <w:rFonts w:ascii="Aptos" w:hAnsi="Aptos"/>
                <w:b w:val="0"/>
                <w:sz w:val="16"/>
              </w:rPr>
              <w:t>Part IV - External Work-Based Learning</w:t>
            </w:r>
          </w:p>
        </w:tc>
        <w:tc>
          <w:tcPr>
            <w:tcW w:type="dxa" w:w="6624"/>
            <w:tcMar>
              <w:top w:w="90" w:type="dxa"/>
              <w:start w:w="90" w:type="dxa"/>
              <w:bottom w:w="90" w:type="dxa"/>
              <w:end w:w="90" w:type="dxa"/>
            </w:tcMar>
            <w:vAlign w:val="center"/>
            <w:shd w:fill="FFFFFF"/>
          </w:tcPr>
          <w:p>
            <w:pPr>
              <w:spacing w:after="0"/>
            </w:pPr>
            <w:r/>
            <w:r>
              <w:rPr>
                <w:rFonts w:ascii="Aptos" w:hAnsi="Aptos"/>
                <w:b w:val="0"/>
                <w:sz w:val="16"/>
              </w:rPr>
              <w:t>Course entry, site approval, mentor preparation, hours, portfolio, monitoring, evaluation, and Gateway 6.</w:t>
            </w:r>
          </w:p>
        </w:tc>
      </w:tr>
      <w:tr>
        <w:trPr>
          <w:cantSplit/>
        </w:trPr>
        <w:tc>
          <w:tcPr>
            <w:tcW w:type="dxa" w:w="3456"/>
            <w:tcMar>
              <w:top w:w="90" w:type="dxa"/>
              <w:start w:w="90" w:type="dxa"/>
              <w:bottom w:w="90" w:type="dxa"/>
              <w:end w:w="90" w:type="dxa"/>
            </w:tcMar>
            <w:vAlign w:val="center"/>
            <w:shd w:fill="EAF2F8"/>
          </w:tcPr>
          <w:p>
            <w:pPr>
              <w:spacing w:after="0"/>
            </w:pPr>
            <w:r/>
            <w:r>
              <w:rPr>
                <w:rFonts w:ascii="Aptos" w:hAnsi="Aptos"/>
                <w:b w:val="0"/>
                <w:sz w:val="16"/>
              </w:rPr>
              <w:t>Part V - Safety, Records, and Stewardship</w:t>
            </w:r>
          </w:p>
        </w:tc>
        <w:tc>
          <w:tcPr>
            <w:tcW w:type="dxa" w:w="6624"/>
            <w:tcMar>
              <w:top w:w="90" w:type="dxa"/>
              <w:start w:w="90" w:type="dxa"/>
              <w:bottom w:w="90" w:type="dxa"/>
              <w:end w:w="90" w:type="dxa"/>
            </w:tcMar>
            <w:vAlign w:val="center"/>
            <w:shd w:fill="EAF2F8"/>
          </w:tcPr>
          <w:p>
            <w:pPr>
              <w:spacing w:after="0"/>
            </w:pPr>
            <w:r/>
            <w:r>
              <w:rPr>
                <w:rFonts w:ascii="Aptos" w:hAnsi="Aptos"/>
                <w:b w:val="0"/>
                <w:sz w:val="16"/>
              </w:rPr>
              <w:t>Stop-work, concerns, placement changes, communication, records, closeout, and annual improvement.</w:t>
            </w:r>
          </w:p>
        </w:tc>
      </w:tr>
      <w:tr>
        <w:trPr>
          <w:cantSplit/>
        </w:trPr>
        <w:tc>
          <w:tcPr>
            <w:tcW w:type="dxa" w:w="3456"/>
            <w:tcMar>
              <w:top w:w="90" w:type="dxa"/>
              <w:start w:w="90" w:type="dxa"/>
              <w:bottom w:w="90" w:type="dxa"/>
              <w:end w:w="90" w:type="dxa"/>
            </w:tcMar>
            <w:vAlign w:val="center"/>
            <w:shd w:fill="FFFFFF"/>
          </w:tcPr>
          <w:p>
            <w:pPr>
              <w:spacing w:after="0"/>
            </w:pPr>
            <w:r/>
            <w:r>
              <w:rPr>
                <w:rFonts w:ascii="Aptos" w:hAnsi="Aptos"/>
                <w:b w:val="0"/>
                <w:sz w:val="16"/>
              </w:rPr>
              <w:t>Appendices</w:t>
            </w:r>
          </w:p>
        </w:tc>
        <w:tc>
          <w:tcPr>
            <w:tcW w:type="dxa" w:w="6624"/>
            <w:tcMar>
              <w:top w:w="90" w:type="dxa"/>
              <w:start w:w="90" w:type="dxa"/>
              <w:bottom w:w="90" w:type="dxa"/>
              <w:end w:w="90" w:type="dxa"/>
            </w:tcMar>
            <w:vAlign w:val="center"/>
            <w:shd w:fill="FFFFFF"/>
          </w:tcPr>
          <w:p>
            <w:pPr>
              <w:spacing w:after="0"/>
            </w:pPr>
            <w:r/>
            <w:r>
              <w:rPr>
                <w:rFonts w:ascii="Aptos" w:hAnsi="Aptos"/>
                <w:b w:val="0"/>
                <w:sz w:val="16"/>
              </w:rPr>
              <w:t>Quick-reference tools, checklists, calendars, prompts, and unresolved implementation decisions.</w:t>
            </w:r>
          </w:p>
        </w:tc>
      </w:tr>
    </w:tbl>
    <w:p>
      <w:pPr>
        <w:spacing w:after="0"/>
      </w:pPr>
    </w:p>
    <w:p>
      <w:pPr>
        <w:pStyle w:val="PartTitle"/>
      </w:pPr>
      <w:r>
        <w:t>PART I</w:t>
        <w:br/>
        <w:t>Operating Framework</w:t>
      </w:r>
    </w:p>
    <w:p>
      <w:pPr>
        <w:pStyle w:val="Heading3"/>
      </w:pPr>
      <w:r>
        <w:t>Clear ownership, a predictable annual rhythm, and capacity that matches the work.</w:t>
      </w:r>
    </w:p>
    <w:p>
      <w:pPr>
        <w:pStyle w:val="Heading1"/>
      </w:pPr>
      <w:r>
        <w:t>Chapter 1: Purpose and Procedure Standard</w:t>
      </w:r>
    </w:p>
    <w:p>
      <w:r>
        <w:t>Book Three turns the pathway architecture into repeatable work. Every procedure identifies what begins the work, who owns it, what action is required, which record proves completion, and what happens when the requirement is not met.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Procedure field</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Required meaning</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Trigger</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The condition, request, date, or decision that begins the procedure.</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Owner</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The role responsible for completing or coordinating the action.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Required action</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The work that must occur before the next step.</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Required record</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The authoritative record that documents the action or decision.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Completion check</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The evidence that confirms the procedure is complete.</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Escalation</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The authorized response when safety, quality, access, timing, or approval is not sufficient.</w:t>
            </w:r>
          </w:p>
        </w:tc>
      </w:tr>
    </w:tbl>
    <w:p>
      <w:pPr>
        <w:spacing w:after="0"/>
      </w:pPr>
    </w:p>
    <w:p>
      <w:pPr>
        <w:pStyle w:val="ListBullet"/>
        <w:spacing w:after="40"/>
      </w:pPr>
      <w:r>
        <w:t>The Culinary Passport is the official competency and progression record.</w:t>
      </w:r>
    </w:p>
    <w:p>
      <w:pPr>
        <w:pStyle w:val="ListBullet"/>
        <w:spacing w:after="40"/>
      </w:pPr>
      <w:r>
        <w:t>The Cottage remains an instructional School-Based Enterprise, not a stand-alone catering business.</w:t>
      </w:r>
    </w:p>
    <w:p>
      <w:pPr>
        <w:pStyle w:val="ListBullet"/>
        <w:spacing w:after="40"/>
      </w:pPr>
      <w:r>
        <w:t>Kitchen Management develops leadership, supervision, operations, and career readiness.</w:t>
      </w:r>
    </w:p>
    <w:p>
      <w:pPr>
        <w:pStyle w:val="ListBullet"/>
        <w:spacing w:after="40"/>
      </w:pPr>
      <w:r>
        <w:t>External Work-Based Learning is a separate senior 1.0-credit course supervised by the credentialed Work-Based Learning Coordinator.</w:t>
      </w:r>
    </w:p>
    <w:p>
      <w:pPr>
        <w:pStyle w:val="ListBullet"/>
        <w:spacing w:after="40"/>
      </w:pPr>
      <w:r>
        <w:t>Records are created only when they support instruction, safety, credit, evaluation, compliance, communication, or improvement.</w:t>
      </w:r>
    </w:p>
    <w:p>
      <w:pPr>
        <w:pStyle w:val="ListBullet"/>
        <w:spacing w:after="40"/>
      </w:pPr>
      <w:r>
        <w:t>The pathway reduces or pauses work when safety, supervision, staffing, transportation, support, or recordkeeping is not sufficient.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8F5F5"/>
            <w:tcMar>
              <w:top w:w="110" w:type="dxa"/>
              <w:start w:w="120" w:type="dxa"/>
              <w:bottom w:w="110" w:type="dxa"/>
              <w:end w:w="120" w:type="dxa"/>
            </w:tcMar>
          </w:tcPr>
          <w:p>
            <w:pPr>
              <w:spacing w:after="28"/>
            </w:pPr>
            <w:r/>
            <w:r>
              <w:rPr>
                <w:b/>
                <w:color w:val="1C8C8C"/>
                <w:sz w:val="19"/>
              </w:rPr>
              <w:t>Provide Clear Direction</w:t>
            </w:r>
          </w:p>
          <w:p>
            <w:pPr>
              <w:spacing w:after="0"/>
            </w:pPr>
            <w:r>
              <w:rPr>
                <w:sz w:val="17"/>
              </w:rPr>
              <w:t>State the expectation, owner, record, and next step before work begins.</w:t>
            </w:r>
          </w:p>
        </w:tc>
        <w:tc>
          <w:tcPr>
            <w:tcW w:type="dxa" w:w="5083"/>
            <w:shd w:fill="EAF2F8"/>
            <w:tcMar>
              <w:top w:w="110" w:type="dxa"/>
              <w:start w:w="120" w:type="dxa"/>
              <w:bottom w:w="110" w:type="dxa"/>
              <w:end w:w="120" w:type="dxa"/>
            </w:tcMar>
          </w:tcPr>
          <w:p>
            <w:pPr>
              <w:spacing w:after="28"/>
            </w:pPr>
            <w:r/>
            <w:r>
              <w:rPr>
                <w:b/>
                <w:color w:val="1F4E78"/>
                <w:sz w:val="19"/>
              </w:rPr>
              <w:t>Inspect What You Expect</w:t>
            </w:r>
          </w:p>
          <w:p>
            <w:pPr>
              <w:spacing w:after="0"/>
            </w:pPr>
            <w:r>
              <w:rPr>
                <w:sz w:val="17"/>
              </w:rPr>
              <w:t>Confirm that actual practice, evidence, and follow-through match the approved plan.</w:t>
            </w:r>
          </w:p>
        </w:tc>
      </w:tr>
    </w:tbl>
    <w:p>
      <w:pPr>
        <w:spacing w:after="0"/>
      </w:pPr>
    </w:p>
    <w:p>
      <w:pPr>
        <w:pStyle w:val="Heading1"/>
      </w:pPr>
      <w:r>
        <w:t>Chapter 2: Roles and Decision Rights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Role</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Primary responsibility</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Director of School to Career Pathways</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Provides district oversight, confirms the annual operating calendar and staffing assignments, coordinates district services, resolves program-level barriers, and designates the credentialed WBL Coordinator for the senior course.</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Lead Culinary Teacher</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Coordinates course-to-course coherence, the Arcadia Cottage calendar, culinary facilities and production systems, and pathway communication among culinary staff.</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Culinary Teachers</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Deliver instruction, gather evidence, provide feedback and reassessment, maintain course records, and verify Gateways 1-5 within assigned courses.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Kitchen Management Teacher</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Coordinates student leadership practice, employment preparation, portfolio readiness, and the Gateway 5 transition to External WBL Educational Readiness.</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Credentialed WBL Coordinator</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Operates the senior course, approves training stations, prepares mentors, maintains external WBL records, monitors placements, determines the final course evaluation, and verifies Gateway 6.</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Building Administrator</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Supports schedule, facilities, student safety, incident response, and building-level decisions.</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Counselors and Support Staff</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Coordinate schedules, student plans, accessibility, language, health, transportation, transition, and other approved supports on a need-to-know basis.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Students</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Prepare, perform safely, communicate honestly, maintain required records, complete evidence, respond to feedback, and report concerns.</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Families</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Support communication, permission, schedule, transportation, and student follow-through.</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Employer Mentors</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Provide lawful duties, direct supervision, instruction, feedback, hour verification, and timely communication with the coordinator.</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Decision Boundary</w:t>
            </w:r>
          </w:p>
          <w:p>
            <w:pPr>
              <w:spacing w:after="0"/>
            </w:pPr>
            <w:r>
              <w:rPr>
                <w:sz w:val="18"/>
              </w:rPr>
              <w:t>District leadership establishes policy and authority. Teachers operate school-based instruction. The credentialed WBL Coordinator operates External WBL. Students practice leadership without replacing adult authority.</w:t>
            </w:r>
          </w:p>
        </w:tc>
      </w:tr>
    </w:tbl>
    <w:p>
      <w:pPr>
        <w:spacing w:after="0"/>
      </w:pPr>
    </w:p>
    <w:p>
      <w:pPr>
        <w:pStyle w:val="Heading1"/>
      </w:pPr>
      <w:r>
        <w:t>Chapter 3: Annual Operating Cycle</w:t>
      </w:r>
    </w:p>
    <w:p>
      <w:r>
        <w:t>The annual calendar aligns to the GCSD school calendar and approved course schedule. Scope remains within the district's ability to supervise, travel, communicate, support students, manage The Cottage, and maintain accurate records.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00"/>
            <w:tcMar>
              <w:top w:w="90" w:type="dxa"/>
              <w:start w:w="90" w:type="dxa"/>
              <w:bottom w:w="90" w:type="dxa"/>
              <w:end w:w="90" w:type="dxa"/>
            </w:tcMar>
            <w:vAlign w:val="center"/>
            <w:shd w:fill="1F4E78"/>
          </w:tcPr>
          <w:p>
            <w:pPr>
              <w:spacing w:after="0"/>
            </w:pPr>
            <w:r/>
            <w:r>
              <w:rPr>
                <w:rFonts w:ascii="Aptos" w:hAnsi="Aptos"/>
                <w:b/>
                <w:color w:val="FFFFFF"/>
                <w:sz w:val="17"/>
              </w:rPr>
              <w:t>Window</w:t>
            </w:r>
          </w:p>
        </w:tc>
        <w:tc>
          <w:tcPr>
            <w:tcW w:type="dxa" w:w="8280"/>
            <w:tcMar>
              <w:top w:w="90" w:type="dxa"/>
              <w:start w:w="90" w:type="dxa"/>
              <w:bottom w:w="90" w:type="dxa"/>
              <w:end w:w="90" w:type="dxa"/>
            </w:tcMar>
            <w:vAlign w:val="center"/>
            <w:shd w:fill="1F4E78"/>
          </w:tcPr>
          <w:p>
            <w:pPr>
              <w:spacing w:after="0"/>
            </w:pPr>
            <w:r/>
            <w:r>
              <w:rPr>
                <w:rFonts w:ascii="Aptos" w:hAnsi="Aptos"/>
                <w:b/>
                <w:color w:val="FFFFFF"/>
                <w:sz w:val="17"/>
              </w:rPr>
              <w:t>Primary operations</w:t>
            </w:r>
          </w:p>
        </w:tc>
      </w:tr>
      <w:tr>
        <w:trPr>
          <w:cantSplit/>
        </w:trPr>
        <w:tc>
          <w:tcPr>
            <w:tcW w:type="dxa" w:w="1800"/>
            <w:tcMar>
              <w:top w:w="90" w:type="dxa"/>
              <w:start w:w="90" w:type="dxa"/>
              <w:bottom w:w="90" w:type="dxa"/>
              <w:end w:w="90" w:type="dxa"/>
            </w:tcMar>
            <w:vAlign w:val="center"/>
            <w:shd w:fill="EAF2F8"/>
          </w:tcPr>
          <w:p>
            <w:pPr>
              <w:spacing w:after="0"/>
            </w:pPr>
            <w:r/>
            <w:r>
              <w:rPr>
                <w:rFonts w:ascii="Aptos" w:hAnsi="Aptos"/>
                <w:b w:val="0"/>
                <w:sz w:val="16"/>
              </w:rPr>
              <w:t>July-August</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Confirm current documents and forms; assign roles; review rosters, Passport access, Gateway evidence points, Cottage capacity, projected senior enrollment, partner records, emergency contacts, transportation, and support needs.</w:t>
            </w:r>
          </w:p>
        </w:tc>
      </w:tr>
      <w:tr>
        <w:trPr>
          <w:cantSplit/>
        </w:trPr>
        <w:tc>
          <w:tcPr>
            <w:tcW w:type="dxa" w:w="1800"/>
            <w:tcMar>
              <w:top w:w="90" w:type="dxa"/>
              <w:start w:w="90" w:type="dxa"/>
              <w:bottom w:w="90" w:type="dxa"/>
              <w:end w:w="90" w:type="dxa"/>
            </w:tcMar>
            <w:vAlign w:val="center"/>
            <w:shd w:fill="FFFFFF"/>
          </w:tcPr>
          <w:p>
            <w:pPr>
              <w:spacing w:after="0"/>
            </w:pPr>
            <w:r/>
            <w:r>
              <w:rPr>
                <w:rFonts w:ascii="Aptos" w:hAnsi="Aptos"/>
                <w:b w:val="0"/>
                <w:sz w:val="16"/>
              </w:rPr>
              <w:t>September</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Launch Gateway 1 instruction; confirm Grade 11 event and leadership plans; complete Grade 12 site approvals, orientations, first-day confirmations, and early monitoring.</w:t>
            </w:r>
          </w:p>
        </w:tc>
      </w:tr>
      <w:tr>
        <w:trPr>
          <w:cantSplit/>
        </w:trPr>
        <w:tc>
          <w:tcPr>
            <w:tcW w:type="dxa" w:w="1800"/>
            <w:tcMar>
              <w:top w:w="90" w:type="dxa"/>
              <w:start w:w="90" w:type="dxa"/>
              <w:bottom w:w="90" w:type="dxa"/>
              <w:end w:w="90" w:type="dxa"/>
            </w:tcMar>
            <w:vAlign w:val="center"/>
            <w:shd w:fill="EAF2F8"/>
          </w:tcPr>
          <w:p>
            <w:pPr>
              <w:spacing w:after="0"/>
            </w:pPr>
            <w:r/>
            <w:r>
              <w:rPr>
                <w:rFonts w:ascii="Aptos" w:hAnsi="Aptos"/>
                <w:b w:val="0"/>
                <w:sz w:val="16"/>
              </w:rPr>
              <w:t>October-November</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Verify early Gateway evidence; operate Cottage events; review External WBL hours and portfolio progress; complete early mentor contact and site visits; explore approved SkillsUSA participation.</w:t>
            </w:r>
          </w:p>
        </w:tc>
      </w:tr>
      <w:tr>
        <w:trPr>
          <w:cantSplit/>
        </w:trPr>
        <w:tc>
          <w:tcPr>
            <w:tcW w:type="dxa" w:w="1800"/>
            <w:tcMar>
              <w:top w:w="90" w:type="dxa"/>
              <w:start w:w="90" w:type="dxa"/>
              <w:bottom w:w="90" w:type="dxa"/>
              <w:end w:w="90" w:type="dxa"/>
            </w:tcMar>
            <w:vAlign w:val="center"/>
            <w:shd w:fill="FFFFFF"/>
          </w:tcPr>
          <w:p>
            <w:pPr>
              <w:spacing w:after="0"/>
            </w:pPr>
            <w:r/>
            <w:r>
              <w:rPr>
                <w:rFonts w:ascii="Aptos" w:hAnsi="Aptos"/>
                <w:b w:val="0"/>
                <w:sz w:val="16"/>
              </w:rPr>
              <w:t>December-January</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Reconcile Passport entries and WBL hours; complete midpoint Cottage and leadership evidence; conduct midpoint External WBL evaluation; address support needs.</w:t>
            </w:r>
          </w:p>
        </w:tc>
      </w:tr>
      <w:tr>
        <w:trPr>
          <w:cantSplit/>
        </w:trPr>
        <w:tc>
          <w:tcPr>
            <w:tcW w:type="dxa" w:w="1800"/>
            <w:tcMar>
              <w:top w:w="90" w:type="dxa"/>
              <w:start w:w="90" w:type="dxa"/>
              <w:bottom w:w="90" w:type="dxa"/>
              <w:end w:w="90" w:type="dxa"/>
            </w:tcMar>
            <w:vAlign w:val="center"/>
            <w:shd w:fill="EAF2F8"/>
          </w:tcPr>
          <w:p>
            <w:pPr>
              <w:spacing w:after="0"/>
            </w:pPr>
            <w:r/>
            <w:r>
              <w:rPr>
                <w:rFonts w:ascii="Aptos" w:hAnsi="Aptos"/>
                <w:b w:val="0"/>
                <w:sz w:val="16"/>
              </w:rPr>
              <w:t>February-March</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Continue reassessment and reverification; recruit and review future partners; begin Grade 11 External WBL orientation; confirm whether a pathway-wide public capstone will operate.</w:t>
            </w:r>
          </w:p>
        </w:tc>
      </w:tr>
      <w:tr>
        <w:trPr>
          <w:cantSplit/>
        </w:trPr>
        <w:tc>
          <w:tcPr>
            <w:tcW w:type="dxa" w:w="1800"/>
            <w:tcMar>
              <w:top w:w="90" w:type="dxa"/>
              <w:start w:w="90" w:type="dxa"/>
              <w:bottom w:w="90" w:type="dxa"/>
              <w:end w:w="90" w:type="dxa"/>
            </w:tcMar>
            <w:vAlign w:val="center"/>
            <w:shd w:fill="FFFFFF"/>
          </w:tcPr>
          <w:p>
            <w:pPr>
              <w:spacing w:after="0"/>
            </w:pPr>
            <w:r/>
            <w:r>
              <w:rPr>
                <w:rFonts w:ascii="Aptos" w:hAnsi="Aptos"/>
                <w:b w:val="0"/>
                <w:sz w:val="16"/>
              </w:rPr>
              <w:t>April-May</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Complete Gateway 4 and 5 evidence; execute approved culminating events; finalize senior hours, portfolio, evaluations, presentation, and Gateway 6.</w:t>
            </w:r>
          </w:p>
        </w:tc>
      </w:tr>
      <w:tr>
        <w:trPr>
          <w:cantSplit/>
        </w:trPr>
        <w:tc>
          <w:tcPr>
            <w:tcW w:type="dxa" w:w="1800"/>
            <w:tcMar>
              <w:top w:w="90" w:type="dxa"/>
              <w:start w:w="90" w:type="dxa"/>
              <w:bottom w:w="90" w:type="dxa"/>
              <w:end w:w="90" w:type="dxa"/>
            </w:tcMar>
            <w:vAlign w:val="center"/>
            <w:shd w:fill="EAF2F8"/>
          </w:tcPr>
          <w:p>
            <w:pPr>
              <w:spacing w:after="0"/>
            </w:pPr>
            <w:r/>
            <w:r>
              <w:rPr>
                <w:rFonts w:ascii="Aptos" w:hAnsi="Aptos"/>
                <w:b w:val="0"/>
                <w:sz w:val="16"/>
              </w:rPr>
              <w:t>June</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Complete records and partner closeout; transfer evidence to Book Two annual review; approve operational changes for the next school year.</w:t>
            </w:r>
          </w:p>
        </w:tc>
      </w:tr>
    </w:tbl>
    <w:p>
      <w:pPr>
        <w:spacing w:after="0"/>
      </w:pPr>
    </w:p>
    <w:p>
      <w:pPr>
        <w:pStyle w:val="Heading2"/>
      </w:pPr>
      <w:r>
        <w:t>Operating Rhythm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Activity</w:t>
            </w:r>
          </w:p>
        </w:tc>
        <w:tc>
          <w:tcPr>
            <w:tcW w:type="dxa" w:w="2952"/>
            <w:tcMar>
              <w:top w:w="90" w:type="dxa"/>
              <w:start w:w="90" w:type="dxa"/>
              <w:bottom w:w="90" w:type="dxa"/>
              <w:end w:w="90" w:type="dxa"/>
            </w:tcMar>
            <w:vAlign w:val="center"/>
            <w:shd w:fill="1F4E78"/>
          </w:tcPr>
          <w:p>
            <w:pPr>
              <w:spacing w:after="0"/>
            </w:pPr>
            <w:r/>
            <w:r>
              <w:rPr>
                <w:rFonts w:ascii="Aptos" w:hAnsi="Aptos"/>
                <w:b/>
                <w:color w:val="FFFFFF"/>
                <w:sz w:val="17"/>
              </w:rPr>
              <w:t>Normal schedule</w:t>
            </w:r>
          </w:p>
        </w:tc>
        <w:tc>
          <w:tcPr>
            <w:tcW w:type="dxa" w:w="4464"/>
            <w:tcMar>
              <w:top w:w="90" w:type="dxa"/>
              <w:start w:w="90" w:type="dxa"/>
              <w:bottom w:w="90" w:type="dxa"/>
              <w:end w:w="90" w:type="dxa"/>
            </w:tcMar>
            <w:vAlign w:val="center"/>
            <w:shd w:fill="1F4E78"/>
          </w:tcPr>
          <w:p>
            <w:pPr>
              <w:spacing w:after="0"/>
            </w:pPr>
            <w:r/>
            <w:r>
              <w:rPr>
                <w:rFonts w:ascii="Aptos" w:hAnsi="Aptos"/>
                <w:b/>
                <w:color w:val="FFFFFF"/>
                <w:sz w:val="17"/>
              </w:rPr>
              <w:t>Purpose</w:t>
            </w:r>
          </w:p>
        </w:tc>
      </w:tr>
      <w:tr>
        <w:trPr>
          <w:cantSplit/>
        </w:trPr>
        <w:tc>
          <w:tcPr>
            <w:tcW w:type="dxa" w:w="2664"/>
            <w:tcMar>
              <w:top w:w="90" w:type="dxa"/>
              <w:start w:w="90" w:type="dxa"/>
              <w:bottom w:w="90" w:type="dxa"/>
              <w:end w:w="90" w:type="dxa"/>
            </w:tcMar>
            <w:vAlign w:val="center"/>
            <w:shd w:fill="EAF2F8"/>
          </w:tcPr>
          <w:p>
            <w:pPr>
              <w:spacing w:after="0"/>
            </w:pPr>
            <w:r/>
            <w:r>
              <w:rPr>
                <w:rFonts w:ascii="Aptos" w:hAnsi="Aptos"/>
                <w:b w:val="0"/>
                <w:sz w:val="16"/>
              </w:rPr>
              <w:t>Pathway launch meeting</w:t>
            </w:r>
          </w:p>
        </w:tc>
        <w:tc>
          <w:tcPr>
            <w:tcW w:type="dxa" w:w="2952"/>
            <w:tcMar>
              <w:top w:w="90" w:type="dxa"/>
              <w:start w:w="90" w:type="dxa"/>
              <w:bottom w:w="90" w:type="dxa"/>
              <w:end w:w="90" w:type="dxa"/>
            </w:tcMar>
            <w:vAlign w:val="center"/>
            <w:shd w:fill="EAF2F8"/>
          </w:tcPr>
          <w:p>
            <w:pPr>
              <w:spacing w:after="0"/>
            </w:pPr>
            <w:r/>
            <w:r>
              <w:rPr>
                <w:rFonts w:ascii="Aptos" w:hAnsi="Aptos"/>
                <w:b w:val="0"/>
                <w:sz w:val="16"/>
              </w:rPr>
              <w:t>Before the school year</w:t>
            </w:r>
          </w:p>
        </w:tc>
        <w:tc>
          <w:tcPr>
            <w:tcW w:type="dxa" w:w="4464"/>
            <w:tcMar>
              <w:top w:w="90" w:type="dxa"/>
              <w:start w:w="90" w:type="dxa"/>
              <w:bottom w:w="90" w:type="dxa"/>
              <w:end w:w="90" w:type="dxa"/>
            </w:tcMar>
            <w:vAlign w:val="center"/>
            <w:shd w:fill="EAF2F8"/>
          </w:tcPr>
          <w:p>
            <w:pPr>
              <w:spacing w:after="0"/>
            </w:pPr>
            <w:r/>
            <w:r>
              <w:rPr>
                <w:rFonts w:ascii="Aptos" w:hAnsi="Aptos"/>
                <w:b w:val="0"/>
                <w:sz w:val="16"/>
              </w:rPr>
              <w:t>Confirm roles, calendar, Gateway evidence points, Cottage schedule, WBL capacity, records, and open conditions.</w:t>
            </w:r>
          </w:p>
        </w:tc>
      </w:tr>
      <w:tr>
        <w:trPr>
          <w:cantSplit/>
        </w:trPr>
        <w:tc>
          <w:tcPr>
            <w:tcW w:type="dxa" w:w="2664"/>
            <w:tcMar>
              <w:top w:w="90" w:type="dxa"/>
              <w:start w:w="90" w:type="dxa"/>
              <w:bottom w:w="90" w:type="dxa"/>
              <w:end w:w="90" w:type="dxa"/>
            </w:tcMar>
            <w:vAlign w:val="center"/>
            <w:shd w:fill="FFFFFF"/>
          </w:tcPr>
          <w:p>
            <w:pPr>
              <w:spacing w:after="0"/>
            </w:pPr>
            <w:r/>
            <w:r>
              <w:rPr>
                <w:rFonts w:ascii="Aptos" w:hAnsi="Aptos"/>
                <w:b w:val="0"/>
                <w:sz w:val="16"/>
              </w:rPr>
              <w:t>Pathway operations meeting</w:t>
            </w:r>
          </w:p>
        </w:tc>
        <w:tc>
          <w:tcPr>
            <w:tcW w:type="dxa" w:w="2952"/>
            <w:tcMar>
              <w:top w:w="90" w:type="dxa"/>
              <w:start w:w="90" w:type="dxa"/>
              <w:bottom w:w="90" w:type="dxa"/>
              <w:end w:w="90" w:type="dxa"/>
            </w:tcMar>
            <w:vAlign w:val="center"/>
            <w:shd w:fill="FFFFFF"/>
          </w:tcPr>
          <w:p>
            <w:pPr>
              <w:spacing w:after="0"/>
            </w:pPr>
            <w:r/>
            <w:r>
              <w:rPr>
                <w:rFonts w:ascii="Aptos" w:hAnsi="Aptos"/>
                <w:b w:val="0"/>
                <w:sz w:val="16"/>
              </w:rPr>
              <w:t>Monthly</w:t>
            </w:r>
          </w:p>
        </w:tc>
        <w:tc>
          <w:tcPr>
            <w:tcW w:type="dxa" w:w="4464"/>
            <w:tcMar>
              <w:top w:w="90" w:type="dxa"/>
              <w:start w:w="90" w:type="dxa"/>
              <w:bottom w:w="90" w:type="dxa"/>
              <w:end w:w="90" w:type="dxa"/>
            </w:tcMar>
            <w:vAlign w:val="center"/>
            <w:shd w:fill="FFFFFF"/>
          </w:tcPr>
          <w:p>
            <w:pPr>
              <w:spacing w:after="0"/>
            </w:pPr>
            <w:r/>
            <w:r>
              <w:rPr>
                <w:rFonts w:ascii="Aptos" w:hAnsi="Aptos"/>
                <w:b w:val="0"/>
                <w:sz w:val="16"/>
              </w:rPr>
              <w:t>Review Gateway status, Cottage work, Kitchen Management leadership, senior placements, support needs, and assigned actions.</w:t>
            </w:r>
          </w:p>
        </w:tc>
      </w:tr>
      <w:tr>
        <w:trPr>
          <w:cantSplit/>
        </w:trPr>
        <w:tc>
          <w:tcPr>
            <w:tcW w:type="dxa" w:w="2664"/>
            <w:tcMar>
              <w:top w:w="90" w:type="dxa"/>
              <w:start w:w="90" w:type="dxa"/>
              <w:bottom w:w="90" w:type="dxa"/>
              <w:end w:w="90" w:type="dxa"/>
            </w:tcMar>
            <w:vAlign w:val="center"/>
            <w:shd w:fill="EAF2F8"/>
          </w:tcPr>
          <w:p>
            <w:pPr>
              <w:spacing w:after="0"/>
            </w:pPr>
            <w:r/>
            <w:r>
              <w:rPr>
                <w:rFonts w:ascii="Aptos" w:hAnsi="Aptos"/>
                <w:b w:val="0"/>
                <w:sz w:val="16"/>
              </w:rPr>
              <w:t>Cottage event briefing</w:t>
            </w:r>
          </w:p>
        </w:tc>
        <w:tc>
          <w:tcPr>
            <w:tcW w:type="dxa" w:w="2952"/>
            <w:tcMar>
              <w:top w:w="90" w:type="dxa"/>
              <w:start w:w="90" w:type="dxa"/>
              <w:bottom w:w="90" w:type="dxa"/>
              <w:end w:w="90" w:type="dxa"/>
            </w:tcMar>
            <w:vAlign w:val="center"/>
            <w:shd w:fill="EAF2F8"/>
          </w:tcPr>
          <w:p>
            <w:pPr>
              <w:spacing w:after="0"/>
            </w:pPr>
            <w:r/>
            <w:r>
              <w:rPr>
                <w:rFonts w:ascii="Aptos" w:hAnsi="Aptos"/>
                <w:b w:val="0"/>
                <w:sz w:val="16"/>
              </w:rPr>
              <w:t>Before every event</w:t>
            </w:r>
          </w:p>
        </w:tc>
        <w:tc>
          <w:tcPr>
            <w:tcW w:type="dxa" w:w="4464"/>
            <w:tcMar>
              <w:top w:w="90" w:type="dxa"/>
              <w:start w:w="90" w:type="dxa"/>
              <w:bottom w:w="90" w:type="dxa"/>
              <w:end w:w="90" w:type="dxa"/>
            </w:tcMar>
            <w:vAlign w:val="center"/>
            <w:shd w:fill="EAF2F8"/>
          </w:tcPr>
          <w:p>
            <w:pPr>
              <w:spacing w:after="0"/>
            </w:pPr>
            <w:r/>
            <w:r>
              <w:rPr>
                <w:rFonts w:ascii="Aptos" w:hAnsi="Aptos"/>
                <w:b w:val="0"/>
                <w:sz w:val="16"/>
              </w:rPr>
              <w:t>Confirm client expectations, production plan, student roles, safety, service, and evidence.</w:t>
            </w:r>
          </w:p>
        </w:tc>
      </w:tr>
      <w:tr>
        <w:trPr>
          <w:cantSplit/>
        </w:trPr>
        <w:tc>
          <w:tcPr>
            <w:tcW w:type="dxa" w:w="2664"/>
            <w:tcMar>
              <w:top w:w="90" w:type="dxa"/>
              <w:start w:w="90" w:type="dxa"/>
              <w:bottom w:w="90" w:type="dxa"/>
              <w:end w:w="90" w:type="dxa"/>
            </w:tcMar>
            <w:vAlign w:val="center"/>
            <w:shd w:fill="FFFFFF"/>
          </w:tcPr>
          <w:p>
            <w:pPr>
              <w:spacing w:after="0"/>
            </w:pPr>
            <w:r/>
            <w:r>
              <w:rPr>
                <w:rFonts w:ascii="Aptos" w:hAnsi="Aptos"/>
                <w:b w:val="0"/>
                <w:sz w:val="16"/>
              </w:rPr>
              <w:t>Cottage event debrief</w:t>
            </w:r>
          </w:p>
        </w:tc>
        <w:tc>
          <w:tcPr>
            <w:tcW w:type="dxa" w:w="2952"/>
            <w:tcMar>
              <w:top w:w="90" w:type="dxa"/>
              <w:start w:w="90" w:type="dxa"/>
              <w:bottom w:w="90" w:type="dxa"/>
              <w:end w:w="90" w:type="dxa"/>
            </w:tcMar>
            <w:vAlign w:val="center"/>
            <w:shd w:fill="FFFFFF"/>
          </w:tcPr>
          <w:p>
            <w:pPr>
              <w:spacing w:after="0"/>
            </w:pPr>
            <w:r/>
            <w:r>
              <w:rPr>
                <w:rFonts w:ascii="Aptos" w:hAnsi="Aptos"/>
                <w:b w:val="0"/>
                <w:sz w:val="16"/>
              </w:rPr>
              <w:t>Within three school days</w:t>
            </w:r>
          </w:p>
        </w:tc>
        <w:tc>
          <w:tcPr>
            <w:tcW w:type="dxa" w:w="4464"/>
            <w:tcMar>
              <w:top w:w="90" w:type="dxa"/>
              <w:start w:w="90" w:type="dxa"/>
              <w:bottom w:w="90" w:type="dxa"/>
              <w:end w:w="90" w:type="dxa"/>
            </w:tcMar>
            <w:vAlign w:val="center"/>
            <w:shd w:fill="FFFFFF"/>
          </w:tcPr>
          <w:p>
            <w:pPr>
              <w:spacing w:after="0"/>
            </w:pPr>
            <w:r/>
            <w:r>
              <w:rPr>
                <w:rFonts w:ascii="Aptos" w:hAnsi="Aptos"/>
                <w:b w:val="0"/>
                <w:sz w:val="16"/>
              </w:rPr>
              <w:t>Review product, service, communication, leadership, client feedback, evidence, and improvement.</w:t>
            </w:r>
          </w:p>
        </w:tc>
      </w:tr>
      <w:tr>
        <w:trPr>
          <w:cantSplit/>
        </w:trPr>
        <w:tc>
          <w:tcPr>
            <w:tcW w:type="dxa" w:w="2664"/>
            <w:tcMar>
              <w:top w:w="90" w:type="dxa"/>
              <w:start w:w="90" w:type="dxa"/>
              <w:bottom w:w="90" w:type="dxa"/>
              <w:end w:w="90" w:type="dxa"/>
            </w:tcMar>
            <w:vAlign w:val="center"/>
            <w:shd w:fill="EAF2F8"/>
          </w:tcPr>
          <w:p>
            <w:pPr>
              <w:spacing w:after="0"/>
            </w:pPr>
            <w:r/>
            <w:r>
              <w:rPr>
                <w:rFonts w:ascii="Aptos" w:hAnsi="Aptos"/>
                <w:b w:val="0"/>
                <w:sz w:val="16"/>
              </w:rPr>
              <w:t>External WBL student check-in</w:t>
            </w:r>
          </w:p>
        </w:tc>
        <w:tc>
          <w:tcPr>
            <w:tcW w:type="dxa" w:w="2952"/>
            <w:tcMar>
              <w:top w:w="90" w:type="dxa"/>
              <w:start w:w="90" w:type="dxa"/>
              <w:bottom w:w="90" w:type="dxa"/>
              <w:end w:w="90" w:type="dxa"/>
            </w:tcMar>
            <w:vAlign w:val="center"/>
            <w:shd w:fill="EAF2F8"/>
          </w:tcPr>
          <w:p>
            <w:pPr>
              <w:spacing w:after="0"/>
            </w:pPr>
            <w:r/>
            <w:r>
              <w:rPr>
                <w:rFonts w:ascii="Aptos" w:hAnsi="Aptos"/>
                <w:b w:val="0"/>
                <w:sz w:val="16"/>
              </w:rPr>
              <w:t>Biweekly during normal operation</w:t>
            </w:r>
          </w:p>
        </w:tc>
        <w:tc>
          <w:tcPr>
            <w:tcW w:type="dxa" w:w="4464"/>
            <w:tcMar>
              <w:top w:w="90" w:type="dxa"/>
              <w:start w:w="90" w:type="dxa"/>
              <w:bottom w:w="90" w:type="dxa"/>
              <w:end w:w="90" w:type="dxa"/>
            </w:tcMar>
            <w:vAlign w:val="center"/>
            <w:shd w:fill="EAF2F8"/>
          </w:tcPr>
          <w:p>
            <w:pPr>
              <w:spacing w:after="0"/>
            </w:pPr>
            <w:r/>
            <w:r>
              <w:rPr>
                <w:rFonts w:ascii="Aptos" w:hAnsi="Aptos"/>
                <w:b w:val="0"/>
                <w:sz w:val="16"/>
              </w:rPr>
              <w:t>Review hours, duties, portfolio progress, feedback, concerns, and the next assignment or goal.</w:t>
            </w:r>
          </w:p>
        </w:tc>
      </w:tr>
      <w:tr>
        <w:trPr>
          <w:cantSplit/>
        </w:trPr>
        <w:tc>
          <w:tcPr>
            <w:tcW w:type="dxa" w:w="2664"/>
            <w:tcMar>
              <w:top w:w="90" w:type="dxa"/>
              <w:start w:w="90" w:type="dxa"/>
              <w:bottom w:w="90" w:type="dxa"/>
              <w:end w:w="90" w:type="dxa"/>
            </w:tcMar>
            <w:vAlign w:val="center"/>
            <w:shd w:fill="FFFFFF"/>
          </w:tcPr>
          <w:p>
            <w:pPr>
              <w:spacing w:after="0"/>
            </w:pPr>
            <w:r/>
            <w:r>
              <w:rPr>
                <w:rFonts w:ascii="Aptos" w:hAnsi="Aptos"/>
                <w:b w:val="0"/>
                <w:sz w:val="16"/>
              </w:rPr>
              <w:t>Increased student contact</w:t>
            </w:r>
          </w:p>
        </w:tc>
        <w:tc>
          <w:tcPr>
            <w:tcW w:type="dxa" w:w="2952"/>
            <w:tcMar>
              <w:top w:w="90" w:type="dxa"/>
              <w:start w:w="90" w:type="dxa"/>
              <w:bottom w:w="90" w:type="dxa"/>
              <w:end w:w="90" w:type="dxa"/>
            </w:tcMar>
            <w:vAlign w:val="center"/>
            <w:shd w:fill="FFFFFF"/>
          </w:tcPr>
          <w:p>
            <w:pPr>
              <w:spacing w:after="0"/>
            </w:pPr>
            <w:r/>
            <w:r>
              <w:rPr>
                <w:rFonts w:ascii="Aptos" w:hAnsi="Aptos"/>
                <w:b w:val="0"/>
                <w:sz w:val="16"/>
              </w:rPr>
              <w:t>Weekly during onboarding, placement change, concern, or added support</w:t>
            </w:r>
          </w:p>
        </w:tc>
        <w:tc>
          <w:tcPr>
            <w:tcW w:type="dxa" w:w="4464"/>
            <w:tcMar>
              <w:top w:w="90" w:type="dxa"/>
              <w:start w:w="90" w:type="dxa"/>
              <w:bottom w:w="90" w:type="dxa"/>
              <w:end w:w="90" w:type="dxa"/>
            </w:tcMar>
            <w:vAlign w:val="center"/>
            <w:shd w:fill="FFFFFF"/>
          </w:tcPr>
          <w:p>
            <w:pPr>
              <w:spacing w:after="0"/>
            </w:pPr>
            <w:r/>
            <w:r>
              <w:rPr>
                <w:rFonts w:ascii="Aptos" w:hAnsi="Aptos"/>
                <w:b w:val="0"/>
                <w:sz w:val="16"/>
              </w:rPr>
              <w:t>Stabilize the placement and verify that corrective action or support is working.</w:t>
            </w:r>
          </w:p>
        </w:tc>
      </w:tr>
      <w:tr>
        <w:trPr>
          <w:cantSplit/>
        </w:trPr>
        <w:tc>
          <w:tcPr>
            <w:tcW w:type="dxa" w:w="2664"/>
            <w:tcMar>
              <w:top w:w="90" w:type="dxa"/>
              <w:start w:w="90" w:type="dxa"/>
              <w:bottom w:w="90" w:type="dxa"/>
              <w:end w:w="90" w:type="dxa"/>
            </w:tcMar>
            <w:vAlign w:val="center"/>
            <w:shd w:fill="EAF2F8"/>
          </w:tcPr>
          <w:p>
            <w:pPr>
              <w:spacing w:after="0"/>
            </w:pPr>
            <w:r/>
            <w:r>
              <w:rPr>
                <w:rFonts w:ascii="Aptos" w:hAnsi="Aptos"/>
                <w:b w:val="0"/>
                <w:sz w:val="16"/>
              </w:rPr>
              <w:t>Formal progress review</w:t>
            </w:r>
          </w:p>
        </w:tc>
        <w:tc>
          <w:tcPr>
            <w:tcW w:type="dxa" w:w="2952"/>
            <w:tcMar>
              <w:top w:w="90" w:type="dxa"/>
              <w:start w:w="90" w:type="dxa"/>
              <w:bottom w:w="90" w:type="dxa"/>
              <w:end w:w="90" w:type="dxa"/>
            </w:tcMar>
            <w:vAlign w:val="center"/>
            <w:shd w:fill="EAF2F8"/>
          </w:tcPr>
          <w:p>
            <w:pPr>
              <w:spacing w:after="0"/>
            </w:pPr>
            <w:r/>
            <w:r>
              <w:rPr>
                <w:rFonts w:ascii="Aptos" w:hAnsi="Aptos"/>
                <w:b w:val="0"/>
                <w:sz w:val="16"/>
              </w:rPr>
              <w:t>Monthly</w:t>
            </w:r>
          </w:p>
        </w:tc>
        <w:tc>
          <w:tcPr>
            <w:tcW w:type="dxa" w:w="4464"/>
            <w:tcMar>
              <w:top w:w="90" w:type="dxa"/>
              <w:start w:w="90" w:type="dxa"/>
              <w:bottom w:w="90" w:type="dxa"/>
              <w:end w:w="90" w:type="dxa"/>
            </w:tcMar>
            <w:vAlign w:val="center"/>
            <w:shd w:fill="EAF2F8"/>
          </w:tcPr>
          <w:p>
            <w:pPr>
              <w:spacing w:after="0"/>
            </w:pPr>
            <w:r/>
            <w:r>
              <w:rPr>
                <w:rFonts w:ascii="Aptos" w:hAnsi="Aptos"/>
                <w:b w:val="0"/>
                <w:sz w:val="16"/>
              </w:rPr>
              <w:t>Review verified hours, training-plan progress, portfolio evidence, employer feedback, and required next steps.</w:t>
            </w:r>
          </w:p>
        </w:tc>
      </w:tr>
      <w:tr>
        <w:trPr>
          <w:cantSplit/>
        </w:trPr>
        <w:tc>
          <w:tcPr>
            <w:tcW w:type="dxa" w:w="2664"/>
            <w:tcMar>
              <w:top w:w="90" w:type="dxa"/>
              <w:start w:w="90" w:type="dxa"/>
              <w:bottom w:w="90" w:type="dxa"/>
              <w:end w:w="90" w:type="dxa"/>
            </w:tcMar>
            <w:vAlign w:val="center"/>
            <w:shd w:fill="FFFFFF"/>
          </w:tcPr>
          <w:p>
            <w:pPr>
              <w:spacing w:after="0"/>
            </w:pPr>
            <w:r/>
            <w:r>
              <w:rPr>
                <w:rFonts w:ascii="Aptos" w:hAnsi="Aptos"/>
                <w:b w:val="0"/>
                <w:sz w:val="16"/>
              </w:rPr>
              <w:t>Employer mentor contact</w:t>
            </w:r>
          </w:p>
        </w:tc>
        <w:tc>
          <w:tcPr>
            <w:tcW w:type="dxa" w:w="2952"/>
            <w:tcMar>
              <w:top w:w="90" w:type="dxa"/>
              <w:start w:w="90" w:type="dxa"/>
              <w:bottom w:w="90" w:type="dxa"/>
              <w:end w:w="90" w:type="dxa"/>
            </w:tcMar>
            <w:vAlign w:val="center"/>
            <w:shd w:fill="FFFFFF"/>
          </w:tcPr>
          <w:p>
            <w:pPr>
              <w:spacing w:after="0"/>
            </w:pPr>
            <w:r/>
            <w:r>
              <w:rPr>
                <w:rFonts w:ascii="Aptos" w:hAnsi="Aptos"/>
                <w:b w:val="0"/>
                <w:sz w:val="16"/>
              </w:rPr>
              <w:t>At least monthly and whenever conditions change</w:t>
            </w:r>
          </w:p>
        </w:tc>
        <w:tc>
          <w:tcPr>
            <w:tcW w:type="dxa" w:w="4464"/>
            <w:tcMar>
              <w:top w:w="90" w:type="dxa"/>
              <w:start w:w="90" w:type="dxa"/>
              <w:bottom w:w="90" w:type="dxa"/>
              <w:end w:w="90" w:type="dxa"/>
            </w:tcMar>
            <w:vAlign w:val="center"/>
            <w:shd w:fill="FFFFFF"/>
          </w:tcPr>
          <w:p>
            <w:pPr>
              <w:spacing w:after="0"/>
            </w:pPr>
            <w:r/>
            <w:r>
              <w:rPr>
                <w:rFonts w:ascii="Aptos" w:hAnsi="Aptos"/>
                <w:b w:val="0"/>
                <w:sz w:val="16"/>
              </w:rPr>
              <w:t>Confirm supervision, duties, attendance, progress, support, and material changes.</w:t>
            </w:r>
          </w:p>
        </w:tc>
      </w:tr>
      <w:tr>
        <w:trPr>
          <w:cantSplit/>
        </w:trPr>
        <w:tc>
          <w:tcPr>
            <w:tcW w:type="dxa" w:w="2664"/>
            <w:tcMar>
              <w:top w:w="90" w:type="dxa"/>
              <w:start w:w="90" w:type="dxa"/>
              <w:bottom w:w="90" w:type="dxa"/>
              <w:end w:w="90" w:type="dxa"/>
            </w:tcMar>
            <w:vAlign w:val="center"/>
            <w:shd w:fill="EAF2F8"/>
          </w:tcPr>
          <w:p>
            <w:pPr>
              <w:spacing w:after="0"/>
            </w:pPr>
            <w:r/>
            <w:r>
              <w:rPr>
                <w:rFonts w:ascii="Aptos" w:hAnsi="Aptos"/>
                <w:b w:val="0"/>
                <w:sz w:val="16"/>
              </w:rPr>
              <w:t>Site visits</w:t>
            </w:r>
          </w:p>
        </w:tc>
        <w:tc>
          <w:tcPr>
            <w:tcW w:type="dxa" w:w="2952"/>
            <w:tcMar>
              <w:top w:w="90" w:type="dxa"/>
              <w:start w:w="90" w:type="dxa"/>
              <w:bottom w:w="90" w:type="dxa"/>
              <w:end w:w="90" w:type="dxa"/>
            </w:tcMar>
            <w:vAlign w:val="center"/>
            <w:shd w:fill="EAF2F8"/>
          </w:tcPr>
          <w:p>
            <w:pPr>
              <w:spacing w:after="0"/>
            </w:pPr>
            <w:r/>
            <w:r>
              <w:rPr>
                <w:rFonts w:ascii="Aptos" w:hAnsi="Aptos"/>
                <w:b w:val="0"/>
                <w:sz w:val="16"/>
              </w:rPr>
              <w:t>Early, midpoint, final, and as needed</w:t>
            </w:r>
          </w:p>
        </w:tc>
        <w:tc>
          <w:tcPr>
            <w:tcW w:type="dxa" w:w="4464"/>
            <w:tcMar>
              <w:top w:w="90" w:type="dxa"/>
              <w:start w:w="90" w:type="dxa"/>
              <w:bottom w:w="90" w:type="dxa"/>
              <w:end w:w="90" w:type="dxa"/>
            </w:tcMar>
            <w:vAlign w:val="center"/>
            <w:shd w:fill="EAF2F8"/>
          </w:tcPr>
          <w:p>
            <w:pPr>
              <w:spacing w:after="0"/>
            </w:pPr>
            <w:r/>
            <w:r>
              <w:rPr>
                <w:rFonts w:ascii="Aptos" w:hAnsi="Aptos"/>
                <w:b w:val="0"/>
                <w:sz w:val="16"/>
              </w:rPr>
              <w:t>Verify that actual conditions match the approved training plan and increase monitoring when needed.</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Accountability Without Busywork</w:t>
            </w:r>
          </w:p>
          <w:p>
            <w:pPr>
              <w:spacing w:after="0"/>
            </w:pPr>
            <w:r>
              <w:rPr>
                <w:sz w:val="18"/>
              </w:rPr>
              <w:t>Student check-ins confirm progress through meaningful course assignments. They do not create a separate weekly reflection merely to prove that contact occurred.</w:t>
            </w:r>
          </w:p>
        </w:tc>
      </w:tr>
    </w:tbl>
    <w:p>
      <w:pPr>
        <w:spacing w:after="0"/>
      </w:pPr>
    </w:p>
    <w:p>
      <w:pPr>
        <w:pStyle w:val="Heading1"/>
      </w:pPr>
      <w:r>
        <w:t>Chapter 4: Minimum Conditions and Capacity</w:t>
      </w:r>
    </w:p>
    <w:p>
      <w:r>
        <w:t>The pathway reduces scope rather than operate below minimum safety, instructional, supervision, access, or records conditions.</w:t>
      </w:r>
    </w:p>
    <w:p>
      <w:pPr>
        <w:pStyle w:val="ListBullet"/>
        <w:spacing w:after="40"/>
      </w:pPr>
      <w:r>
        <w:t>Current Canon, Operating Principles, and approved companion-book versions are identified.</w:t>
      </w:r>
    </w:p>
    <w:p>
      <w:pPr>
        <w:pStyle w:val="ListBullet"/>
        <w:spacing w:after="40"/>
      </w:pPr>
      <w:r>
        <w:t>District leadership has assigned policy, authority, staffing, calendar, and required approvals.</w:t>
      </w:r>
    </w:p>
    <w:p>
      <w:pPr>
        <w:pStyle w:val="ListBullet"/>
        <w:spacing w:after="40"/>
      </w:pPr>
      <w:r>
        <w:t>Teachers have approved curriculum, Gateway criteria, assessment tools, and time for feedback and reassessment.</w:t>
      </w:r>
    </w:p>
    <w:p>
      <w:pPr>
        <w:pStyle w:val="ListBullet"/>
        <w:spacing w:after="40"/>
      </w:pPr>
      <w:r>
        <w:t>A credentialed Work-Based Learning Coordinator is assigned to the senior course with adequate time and caseload capacity.</w:t>
      </w:r>
    </w:p>
    <w:p>
      <w:pPr>
        <w:pStyle w:val="ListBullet"/>
        <w:spacing w:after="40"/>
      </w:pPr>
      <w:r>
        <w:t>The Culinary Passport has an approved authoritative location and permissions.</w:t>
      </w:r>
    </w:p>
    <w:p>
      <w:pPr>
        <w:pStyle w:val="ListBullet"/>
        <w:spacing w:after="40"/>
      </w:pPr>
      <w:r>
        <w:t>The Cottage has approved request, finance, purchasing, food-safety, facility, client, and supervision procedures.</w:t>
      </w:r>
    </w:p>
    <w:p>
      <w:pPr>
        <w:pStyle w:val="ListBullet"/>
        <w:spacing w:after="40"/>
      </w:pPr>
      <w:r>
        <w:t>External WBL sites, mentors, agreements, training plans, transportation, supports, records, and emergency routes are complete.</w:t>
      </w:r>
    </w:p>
    <w:p>
      <w:pPr>
        <w:pStyle w:val="ListBullet"/>
        <w:spacing w:after="40"/>
      </w:pPr>
      <w:r>
        <w:t>Backup coverage exists for urgent communication and safety response.</w:t>
      </w:r>
    </w:p>
    <w:p>
      <w:pPr>
        <w:pStyle w:val="ListBullet"/>
        <w:spacing w:after="40"/>
      </w:pPr>
      <w:r>
        <w:t>Current legal and regulatory requirements are checked before launch and before any new experience type is used.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Capacity area</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Annual operating question</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Instruction</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Can teachers provide the instruction, feedback, reassessment, and reverification required for Gateways 1-5?</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The Cottage</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Can the event calendar be supported with safe facilities, procurement, finance, supervision, client communication, and meaningful student roles?</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Kitchen Management</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Can students practice leadership under direct teacher supervision without replacing staff authority?</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External WBL</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Can the coordinator approve sites, prepare mentors, travel, visit, communicate, respond to concerns, and maintain records for the proposed caseload?</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Access and support</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Can transportation, schedules, accommodations, language access, uniforms, equipment, and communication needs be addressed?</w:t>
            </w:r>
          </w:p>
        </w:tc>
      </w:tr>
    </w:tbl>
    <w:p>
      <w:pPr>
        <w:spacing w:after="0"/>
      </w:pPr>
    </w:p>
    <w:p>
      <w:pPr>
        <w:pStyle w:val="PartTitle"/>
      </w:pPr>
      <w:r>
        <w:t>PART II</w:t>
        <w:br/>
        <w:t>Culinary Passport and Gateway Operations</w:t>
      </w:r>
    </w:p>
    <w:p>
      <w:pPr>
        <w:pStyle w:val="Heading3"/>
      </w:pPr>
      <w:r>
        <w:t>One official record of demonstrated competency and the responsibility that follows.</w:t>
      </w:r>
    </w:p>
    <w:p>
      <w:pPr>
        <w:pStyle w:val="Heading1"/>
      </w:pPr>
      <w:r>
        <w:t>Chapter 5: Culinary Passport Administration</w:t>
      </w:r>
    </w:p>
    <w:p>
      <w:r>
        <w:t>The Culinary Passport records verified competency across the six Gateways. Course grades, attendance, credentials, and individual assignments may contribute evidence, but they do not replace the Gateway decision.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Passport field</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Required entry</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Student identification</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District-approved student identifier and current course or environment.</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Gateway</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Number and canonical title.</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Completion status</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Completion with Distinction, Completion, or Not Yet Completed.</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Verification</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Verifier, date, course or setting, and authoritative evidence location.</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Next responsibility</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The opportunity or transition authorized by the verified Gateway.</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Reassessment / reverification</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Required action, later review date, and updated decision when applicable.</w:t>
            </w:r>
          </w:p>
        </w:tc>
      </w:tr>
    </w:tbl>
    <w:p>
      <w:pPr>
        <w:spacing w:after="0"/>
      </w:pPr>
    </w:p>
    <w:p>
      <w:r>
        <w:t>The assigned verifier enters the decision promptly after evidence review. Corrections identify the original error, the approved change, the person making the correction, and the date. The Passport does not store confidential support details, incident narratives, or every assessment score.</w:t>
      </w:r>
    </w:p>
    <w:p>
      <w:pPr>
        <w:pStyle w:val="Heading1"/>
      </w:pPr>
      <w:r>
        <w:t>Chapter 6: Gateways 1-3 - Grade 10 Foundation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tcMar>
              <w:top w:w="90" w:type="dxa"/>
              <w:start w:w="90" w:type="dxa"/>
              <w:bottom w:w="90" w:type="dxa"/>
              <w:end w:w="90" w:type="dxa"/>
            </w:tcMar>
            <w:vAlign w:val="center"/>
            <w:shd w:fill="1F4E78"/>
          </w:tcPr>
          <w:p>
            <w:pPr>
              <w:spacing w:after="0"/>
            </w:pPr>
            <w:r/>
            <w:r>
              <w:rPr>
                <w:rFonts w:ascii="Aptos" w:hAnsi="Aptos"/>
                <w:b/>
                <w:color w:val="FFFFFF"/>
                <w:sz w:val="17"/>
              </w:rPr>
              <w:t>Gateway</w:t>
            </w:r>
          </w:p>
        </w:tc>
        <w:tc>
          <w:tcPr>
            <w:tcW w:type="dxa" w:w="3816"/>
            <w:tcMar>
              <w:top w:w="90" w:type="dxa"/>
              <w:start w:w="90" w:type="dxa"/>
              <w:bottom w:w="90" w:type="dxa"/>
              <w:end w:w="90" w:type="dxa"/>
            </w:tcMar>
            <w:vAlign w:val="center"/>
            <w:shd w:fill="1F4E78"/>
          </w:tcPr>
          <w:p>
            <w:pPr>
              <w:spacing w:after="0"/>
            </w:pPr>
            <w:r/>
            <w:r>
              <w:rPr>
                <w:rFonts w:ascii="Aptos" w:hAnsi="Aptos"/>
                <w:b/>
                <w:color w:val="FFFFFF"/>
                <w:sz w:val="17"/>
              </w:rPr>
              <w:t>Verification point</w:t>
            </w:r>
          </w:p>
        </w:tc>
        <w:tc>
          <w:tcPr>
            <w:tcW w:type="dxa" w:w="3312"/>
            <w:tcMar>
              <w:top w:w="90" w:type="dxa"/>
              <w:start w:w="90" w:type="dxa"/>
              <w:bottom w:w="90" w:type="dxa"/>
              <w:end w:w="90" w:type="dxa"/>
            </w:tcMar>
            <w:vAlign w:val="center"/>
            <w:shd w:fill="1F4E78"/>
          </w:tcPr>
          <w:p>
            <w:pPr>
              <w:spacing w:after="0"/>
            </w:pPr>
            <w:r/>
            <w:r>
              <w:rPr>
                <w:rFonts w:ascii="Aptos" w:hAnsi="Aptos"/>
                <w:b/>
                <w:color w:val="FFFFFF"/>
                <w:sz w:val="17"/>
              </w:rPr>
              <w:t>Operating result</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1 - Cleared for Supervised Kitchen Participation</w:t>
            </w:r>
          </w:p>
        </w:tc>
        <w:tc>
          <w:tcPr>
            <w:tcW w:type="dxa" w:w="3816"/>
            <w:tcMar>
              <w:top w:w="90" w:type="dxa"/>
              <w:start w:w="90" w:type="dxa"/>
              <w:bottom w:w="90" w:type="dxa"/>
              <w:end w:w="90" w:type="dxa"/>
            </w:tcMar>
            <w:vAlign w:val="center"/>
            <w:shd w:fill="EAF2F8"/>
          </w:tcPr>
          <w:p>
            <w:pPr>
              <w:spacing w:after="0"/>
            </w:pPr>
            <w:r/>
            <w:r>
              <w:rPr>
                <w:rFonts w:ascii="Aptos" w:hAnsi="Aptos"/>
                <w:b w:val="0"/>
                <w:sz w:val="16"/>
              </w:rPr>
              <w:t>Before the student is treated as cleared for supervised kitchen participation.</w:t>
            </w:r>
          </w:p>
        </w:tc>
        <w:tc>
          <w:tcPr>
            <w:tcW w:type="dxa" w:w="3312"/>
            <w:tcMar>
              <w:top w:w="90" w:type="dxa"/>
              <w:start w:w="90" w:type="dxa"/>
              <w:bottom w:w="90" w:type="dxa"/>
              <w:end w:w="90" w:type="dxa"/>
            </w:tcMar>
            <w:vAlign w:val="center"/>
            <w:shd w:fill="EAF2F8"/>
          </w:tcPr>
          <w:p>
            <w:pPr>
              <w:spacing w:after="0"/>
            </w:pPr>
            <w:r/>
            <w:r>
              <w:rPr>
                <w:rFonts w:ascii="Aptos" w:hAnsi="Aptos"/>
                <w:b w:val="0"/>
                <w:sz w:val="16"/>
              </w:rPr>
              <w:t>The student may participate in supervised kitchen instruction within teacher-assigned responsibilities.</w:t>
            </w:r>
          </w:p>
        </w:tc>
      </w:tr>
      <w:tr>
        <w:trPr>
          <w:cantSplit/>
        </w:trPr>
        <w:tc>
          <w:tcPr>
            <w:tcW w:type="dxa" w:w="2952"/>
            <w:tcMar>
              <w:top w:w="90" w:type="dxa"/>
              <w:start w:w="90" w:type="dxa"/>
              <w:bottom w:w="90" w:type="dxa"/>
              <w:end w:w="90" w:type="dxa"/>
            </w:tcMar>
            <w:vAlign w:val="center"/>
            <w:shd w:fill="FFFFFF"/>
          </w:tcPr>
          <w:p>
            <w:pPr>
              <w:spacing w:after="0"/>
            </w:pPr>
            <w:r/>
            <w:r>
              <w:rPr>
                <w:rFonts w:ascii="Aptos" w:hAnsi="Aptos"/>
                <w:b w:val="0"/>
                <w:sz w:val="16"/>
              </w:rPr>
              <w:t>2 - Demonstrated Kitchen-Work Readiness</w:t>
            </w:r>
          </w:p>
        </w:tc>
        <w:tc>
          <w:tcPr>
            <w:tcW w:type="dxa" w:w="3816"/>
            <w:tcMar>
              <w:top w:w="90" w:type="dxa"/>
              <w:start w:w="90" w:type="dxa"/>
              <w:bottom w:w="90" w:type="dxa"/>
              <w:end w:w="90" w:type="dxa"/>
            </w:tcMar>
            <w:vAlign w:val="center"/>
            <w:shd w:fill="FFFFFF"/>
          </w:tcPr>
          <w:p>
            <w:pPr>
              <w:spacing w:after="0"/>
            </w:pPr>
            <w:r/>
            <w:r>
              <w:rPr>
                <w:rFonts w:ascii="Aptos" w:hAnsi="Aptos"/>
                <w:b w:val="0"/>
                <w:sz w:val="16"/>
              </w:rPr>
              <w:t>After repeated evidence in mise en place, station organization, recipe use, measuring and scaling, knife skills, time management, teamwork, kitchen systems, cleanup, and closing.</w:t>
            </w:r>
          </w:p>
        </w:tc>
        <w:tc>
          <w:tcPr>
            <w:tcW w:type="dxa" w:w="3312"/>
            <w:tcMar>
              <w:top w:w="90" w:type="dxa"/>
              <w:start w:w="90" w:type="dxa"/>
              <w:bottom w:w="90" w:type="dxa"/>
              <w:end w:w="90" w:type="dxa"/>
            </w:tcMar>
            <w:vAlign w:val="center"/>
            <w:shd w:fill="FFFFFF"/>
          </w:tcPr>
          <w:p>
            <w:pPr>
              <w:spacing w:after="0"/>
            </w:pPr>
            <w:r/>
            <w:r>
              <w:rPr>
                <w:rFonts w:ascii="Aptos" w:hAnsi="Aptos"/>
                <w:b w:val="0"/>
                <w:sz w:val="16"/>
              </w:rPr>
              <w:t>The student may assume greater responsibility within established kitchen routines.</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3 - Demonstrated Foundational Culinary Competence</w:t>
            </w:r>
          </w:p>
        </w:tc>
        <w:tc>
          <w:tcPr>
            <w:tcW w:type="dxa" w:w="3816"/>
            <w:tcMar>
              <w:top w:w="90" w:type="dxa"/>
              <w:start w:w="90" w:type="dxa"/>
              <w:bottom w:w="90" w:type="dxa"/>
              <w:end w:w="90" w:type="dxa"/>
            </w:tcMar>
            <w:vAlign w:val="center"/>
            <w:shd w:fill="EAF2F8"/>
          </w:tcPr>
          <w:p>
            <w:pPr>
              <w:spacing w:after="0"/>
            </w:pPr>
            <w:r/>
            <w:r>
              <w:rPr>
                <w:rFonts w:ascii="Aptos" w:hAnsi="Aptos"/>
                <w:b w:val="0"/>
                <w:sz w:val="16"/>
              </w:rPr>
              <w:t>Across Culinary 1 and Culinary 2 before transition to Advanced Culinary.</w:t>
            </w:r>
          </w:p>
        </w:tc>
        <w:tc>
          <w:tcPr>
            <w:tcW w:type="dxa" w:w="3312"/>
            <w:tcMar>
              <w:top w:w="90" w:type="dxa"/>
              <w:start w:w="90" w:type="dxa"/>
              <w:bottom w:w="90" w:type="dxa"/>
              <w:end w:w="90" w:type="dxa"/>
            </w:tcMar>
            <w:vAlign w:val="center"/>
            <w:shd w:fill="EAF2F8"/>
          </w:tcPr>
          <w:p>
            <w:pPr>
              <w:spacing w:after="0"/>
            </w:pPr>
            <w:r/>
            <w:r>
              <w:rPr>
                <w:rFonts w:ascii="Aptos" w:hAnsi="Aptos"/>
                <w:b w:val="0"/>
                <w:sz w:val="16"/>
              </w:rPr>
              <w:t>The student is ready to enter Advanced Culinary.</w:t>
            </w:r>
          </w:p>
        </w:tc>
      </w:tr>
    </w:tbl>
    <w:p>
      <w:pPr>
        <w:spacing w:after="0"/>
      </w:pPr>
    </w:p>
    <w:p>
      <w:r>
        <w:t>A student who has not completed Gateway 1 receives instruction and supported practice appropriate to the student's status but is not treated as cleared for kitchen participation. Course completion does not automatically award a Gateway.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8F5F5"/>
            <w:tcMar>
              <w:top w:w="110" w:type="dxa"/>
              <w:start w:w="120" w:type="dxa"/>
              <w:bottom w:w="110" w:type="dxa"/>
              <w:end w:w="120" w:type="dxa"/>
            </w:tcMar>
          </w:tcPr>
          <w:p>
            <w:pPr>
              <w:spacing w:after="28"/>
            </w:pPr>
            <w:r/>
            <w:r>
              <w:rPr>
                <w:b/>
                <w:color w:val="1C8C8C"/>
                <w:sz w:val="19"/>
              </w:rPr>
              <w:t>Provide Clear Direction</w:t>
            </w:r>
          </w:p>
          <w:p>
            <w:pPr>
              <w:spacing w:after="0"/>
            </w:pPr>
            <w:r>
              <w:rPr>
                <w:sz w:val="17"/>
              </w:rPr>
              <w:t>Students know the safety, kitchen-work, and foundational standards before verification.</w:t>
            </w:r>
          </w:p>
        </w:tc>
        <w:tc>
          <w:tcPr>
            <w:tcW w:type="dxa" w:w="5083"/>
            <w:shd w:fill="EAF2F8"/>
            <w:tcMar>
              <w:top w:w="110" w:type="dxa"/>
              <w:start w:w="120" w:type="dxa"/>
              <w:bottom w:w="110" w:type="dxa"/>
              <w:end w:w="120" w:type="dxa"/>
            </w:tcMar>
          </w:tcPr>
          <w:p>
            <w:pPr>
              <w:spacing w:after="28"/>
            </w:pPr>
            <w:r/>
            <w:r>
              <w:rPr>
                <w:b/>
                <w:color w:val="1F4E78"/>
                <w:sz w:val="19"/>
              </w:rPr>
              <w:t>Preparation Before Independence</w:t>
            </w:r>
          </w:p>
          <w:p>
            <w:pPr>
              <w:spacing w:after="0"/>
            </w:pPr>
            <w:r>
              <w:rPr>
                <w:sz w:val="17"/>
              </w:rPr>
              <w:t>Responsibility increases only after the required Gateway is recorded.</w:t>
            </w:r>
          </w:p>
        </w:tc>
      </w:tr>
    </w:tbl>
    <w:p>
      <w:pPr>
        <w:spacing w:after="0"/>
      </w:pPr>
    </w:p>
    <w:p>
      <w:pPr>
        <w:pStyle w:val="Heading1"/>
      </w:pPr>
      <w:r>
        <w:t>Chapter 7: Gateway 4 - Advanced Culinary and The Cottage</w:t>
      </w:r>
    </w:p>
    <w:p>
      <w:r>
        <w:t>Gateway 4 is earned through Advanced Culinary and The Cottage. Participation in an event is not enough. The student demonstrates client-centered culinary performance through planning, production, event execution, quality control, professional service, and closeout.</w:t>
      </w:r>
    </w:p>
    <w:p>
      <w:pPr>
        <w:spacing w:after="40"/>
        <w:ind w:left="259" w:hanging="259"/>
      </w:pPr>
      <w:r>
        <w:t>1. Approve the client request and event plan through the Cottage process.</w:t>
      </w:r>
    </w:p>
    <w:p>
      <w:pPr>
        <w:spacing w:after="40"/>
        <w:ind w:left="259" w:hanging="259"/>
      </w:pPr>
      <w:r>
        <w:t>2. Assign an individual role that creates a genuine opportunity to demonstrate the Gateway 4 criteria.</w:t>
      </w:r>
    </w:p>
    <w:p>
      <w:pPr>
        <w:spacing w:after="40"/>
        <w:ind w:left="259" w:hanging="259"/>
      </w:pPr>
      <w:r>
        <w:t>3. State quality, service, communication, and deadline expectations before production begins.</w:t>
      </w:r>
    </w:p>
    <w:p>
      <w:pPr>
        <w:spacing w:after="40"/>
        <w:ind w:left="259" w:hanging="259"/>
      </w:pPr>
      <w:r>
        <w:t>4. Observe the student during planning, production, service, and closeout.</w:t>
      </w:r>
    </w:p>
    <w:p>
      <w:pPr>
        <w:spacing w:after="40"/>
        <w:ind w:left="259" w:hanging="259"/>
      </w:pPr>
      <w:r>
        <w:t>5. Collect the evidence identified in Book Two, including individual evidence within team production.</w:t>
      </w:r>
    </w:p>
    <w:p>
      <w:pPr>
        <w:spacing w:after="40"/>
        <w:ind w:left="259" w:hanging="259"/>
      </w:pPr>
      <w:r>
        <w:t>6. Record the Gateway decision in the Culinary Passport and provide a later equivalent authentic task when reassessment is required.</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Experiences Provide Evidence. Competencies Determine Progression.</w:t>
            </w:r>
          </w:p>
          <w:p>
            <w:pPr>
              <w:spacing w:after="0"/>
            </w:pPr>
            <w:r>
              <w:rPr>
                <w:sz w:val="18"/>
              </w:rPr>
              <w:t>A successful event does not automatically complete Gateway 4 for every participant. Each student must have sufficient individual evidence.</w:t>
            </w:r>
          </w:p>
        </w:tc>
      </w:tr>
    </w:tbl>
    <w:p>
      <w:pPr>
        <w:spacing w:after="0"/>
      </w:pPr>
    </w:p>
    <w:p>
      <w:pPr>
        <w:pStyle w:val="Heading1"/>
      </w:pPr>
      <w:r>
        <w:t>Chapter 8: Gateway 5 - Kitchen Management and Travel Rights</w:t>
      </w:r>
    </w:p>
    <w:p>
      <w:r>
        <w:t>Gateway 5 represents Professional, Leadership, and Career Readiness. Completion earns External WBL Educational Readiness. The student-facing term is Travel Rights.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Evidence area</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What must be visible</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Leadership and supervision</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Planning, briefing, delegation, monitoring, coaching, accountability, and recognition of limits.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Kitchen management</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Time, resources, inventory, safety, quality, service, communication, problem solving, and closeout.</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Employment preparation</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Resume, cover letter, application materials, interview skills, professional communication, and portfolio readiness.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Career readiness</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Dependability, judgment, response to feedback, self-advocacy, and readiness for workplace responsibility.</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Travel Rights Are Earned</w:t>
            </w:r>
          </w:p>
          <w:p>
            <w:pPr>
              <w:spacing w:after="0"/>
            </w:pPr>
            <w:r>
              <w:rPr>
                <w:sz w:val="18"/>
              </w:rPr>
              <w:t>Gateway 5 confirms educational readiness for the senior External Work-Based Learning course. It does not guarantee a specific employer, schedule, transportation arrangement, or placement. Every external site still requires separate approval.</w:t>
            </w:r>
          </w:p>
        </w:tc>
      </w:tr>
    </w:tbl>
    <w:p>
      <w:pPr>
        <w:spacing w:after="0"/>
      </w:pPr>
    </w:p>
    <w:p>
      <w:pPr>
        <w:pStyle w:val="Heading1"/>
      </w:pPr>
      <w:r>
        <w:t>Chapter 9: Reassessment, Reverification, and Transition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Stage</w:t>
            </w:r>
          </w:p>
        </w:tc>
        <w:tc>
          <w:tcPr>
            <w:tcW w:type="dxa" w:w="7632"/>
            <w:tcMar>
              <w:top w:w="90" w:type="dxa"/>
              <w:start w:w="90" w:type="dxa"/>
              <w:bottom w:w="90" w:type="dxa"/>
              <w:end w:w="90" w:type="dxa"/>
            </w:tcMar>
            <w:vAlign w:val="center"/>
            <w:shd w:fill="1F4E78"/>
          </w:tcPr>
          <w:p>
            <w:pPr>
              <w:spacing w:after="0"/>
            </w:pPr>
            <w:r/>
            <w:r>
              <w:rPr>
                <w:rFonts w:ascii="Aptos" w:hAnsi="Aptos"/>
                <w:b/>
                <w:color w:val="FFFFFF"/>
                <w:sz w:val="17"/>
              </w:rPr>
              <w:t>Required action</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Feedback</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Identify the criterion that has not yet been demonstrated.</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Reflection</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The student explains the gap, contributing conditions, and intended change.</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Practice and remediation</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Provide additional instruction, modeling, guided practice, support, or a new leadership opportunity.</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Equivalent reassessment</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Use a comparable task after learning has occurred. Immediate retesting is not used as a substitute for learning.</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Passport update</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Record the new decision only after the equivalent evidence has been reviewed.</w:t>
            </w:r>
          </w:p>
        </w:tc>
      </w:tr>
    </w:tbl>
    <w:p>
      <w:pPr>
        <w:spacing w:after="0"/>
      </w:pPr>
    </w:p>
    <w:p>
      <w:r>
        <w:t>Critical competencies may be reverified when students enter a more advanced or higher-risk environment. Safety, sanitation, emergency procedures, equipment use, professional conduct, and other critical skills may be checked again before Cottage leadership or External WBL.</w:t>
      </w:r>
    </w:p>
    <w:p>
      <w:pPr>
        <w:pStyle w:val="Heading2"/>
      </w:pPr>
      <w:r>
        <w:t>Grade 11 to Grade 12 Transition</w:t>
      </w:r>
    </w:p>
    <w:p>
      <w:pPr>
        <w:pStyle w:val="ListBullet"/>
        <w:spacing w:after="40"/>
      </w:pPr>
      <w:r>
        <w:t>Identify students projected to complete Gateway 5 during the spring of Grade 11.</w:t>
      </w:r>
    </w:p>
    <w:p>
      <w:pPr>
        <w:pStyle w:val="ListBullet"/>
        <w:spacing w:after="40"/>
      </w:pPr>
      <w:r>
        <w:t>Begin course orientation, career-goal clarification, resume review, interview practice, and partner exploration.</w:t>
      </w:r>
    </w:p>
    <w:p>
      <w:pPr>
        <w:pStyle w:val="ListBullet"/>
        <w:spacing w:after="40"/>
      </w:pPr>
      <w:r>
        <w:t>Address transportation, schedule, working papers, communication, accessibility, and student-support needs before site matching.</w:t>
      </w:r>
    </w:p>
    <w:p>
      <w:pPr>
        <w:pStyle w:val="ListBullet"/>
        <w:spacing w:after="40"/>
      </w:pPr>
      <w:r>
        <w:t>Finalize placement only after Gateway 5 and all site-specific requirements are complete.</w:t>
      </w:r>
    </w:p>
    <w:p>
      <w:pPr>
        <w:pStyle w:val="Heading1"/>
      </w:pPr>
      <w:r>
        <w:t>Chapter 10: SkillsUSA and the Pathway-Wide Capstone</w:t>
      </w:r>
    </w:p>
    <w:p>
      <w:r>
        <w:t>SkillsUSA and a pathway-wide public capstone may extend learning within the existing course and Gateway structure. Neither creates a new Gateway, alternate pathway, or automatic completion route.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tcMar>
              <w:top w:w="90" w:type="dxa"/>
              <w:start w:w="90" w:type="dxa"/>
              <w:bottom w:w="90" w:type="dxa"/>
              <w:end w:w="90" w:type="dxa"/>
            </w:tcMar>
            <w:vAlign w:val="center"/>
            <w:shd w:fill="1F4E78"/>
          </w:tcPr>
          <w:p>
            <w:pPr>
              <w:spacing w:after="0"/>
            </w:pPr>
            <w:r/>
            <w:r>
              <w:rPr>
                <w:rFonts w:ascii="Aptos" w:hAnsi="Aptos"/>
                <w:b/>
                <w:color w:val="FFFFFF"/>
                <w:sz w:val="17"/>
              </w:rPr>
              <w:t>Experience</w:t>
            </w:r>
          </w:p>
        </w:tc>
        <w:tc>
          <w:tcPr>
            <w:tcW w:type="dxa" w:w="5040"/>
            <w:tcMar>
              <w:top w:w="90" w:type="dxa"/>
              <w:start w:w="90" w:type="dxa"/>
              <w:bottom w:w="90" w:type="dxa"/>
              <w:end w:w="90" w:type="dxa"/>
            </w:tcMar>
            <w:vAlign w:val="center"/>
            <w:shd w:fill="1F4E78"/>
          </w:tcPr>
          <w:p>
            <w:pPr>
              <w:spacing w:after="0"/>
            </w:pPr>
            <w:r/>
            <w:r>
              <w:rPr>
                <w:rFonts w:ascii="Aptos" w:hAnsi="Aptos"/>
                <w:b/>
                <w:color w:val="FFFFFF"/>
                <w:sz w:val="17"/>
              </w:rPr>
              <w:t>Operational use</w:t>
            </w:r>
          </w:p>
        </w:tc>
        <w:tc>
          <w:tcPr>
            <w:tcW w:type="dxa" w:w="2736"/>
            <w:tcMar>
              <w:top w:w="90" w:type="dxa"/>
              <w:start w:w="90" w:type="dxa"/>
              <w:bottom w:w="90" w:type="dxa"/>
              <w:end w:w="90" w:type="dxa"/>
            </w:tcMar>
            <w:vAlign w:val="center"/>
            <w:shd w:fill="1F4E78"/>
          </w:tcPr>
          <w:p>
            <w:pPr>
              <w:spacing w:after="0"/>
            </w:pPr>
            <w:r/>
            <w:r>
              <w:rPr>
                <w:rFonts w:ascii="Aptos" w:hAnsi="Aptos"/>
                <w:b/>
                <w:color w:val="FFFFFF"/>
                <w:sz w:val="17"/>
              </w:rPr>
              <w:t>Boundary</w:t>
            </w:r>
          </w:p>
        </w:tc>
      </w:tr>
      <w:tr>
        <w:trPr>
          <w:cantSplit/>
        </w:trPr>
        <w:tc>
          <w:tcPr>
            <w:tcW w:type="dxa" w:w="2304"/>
            <w:tcMar>
              <w:top w:w="90" w:type="dxa"/>
              <w:start w:w="90" w:type="dxa"/>
              <w:bottom w:w="90" w:type="dxa"/>
              <w:end w:w="90" w:type="dxa"/>
            </w:tcMar>
            <w:vAlign w:val="center"/>
            <w:shd w:fill="EAF2F8"/>
          </w:tcPr>
          <w:p>
            <w:pPr>
              <w:spacing w:after="0"/>
            </w:pPr>
            <w:r/>
            <w:r>
              <w:rPr>
                <w:rFonts w:ascii="Aptos" w:hAnsi="Aptos"/>
                <w:b w:val="0"/>
                <w:sz w:val="16"/>
              </w:rPr>
              <w:t>SkillsUSA</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Provide approved leadership, competition, professional communication, technical preparation, and public recognition opportunities. Evidence may support existing course or Gateway criteria when aligned in advance.</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Participation depends on district approval, advisor capacity, student readiness, schedule, funding, transportation, and current SkillsUSA requirements.</w:t>
            </w:r>
          </w:p>
        </w:tc>
      </w:tr>
      <w:tr>
        <w:trPr>
          <w:cantSplit/>
        </w:trPr>
        <w:tc>
          <w:tcPr>
            <w:tcW w:type="dxa" w:w="2304"/>
            <w:tcMar>
              <w:top w:w="90" w:type="dxa"/>
              <w:start w:w="90" w:type="dxa"/>
              <w:bottom w:w="90" w:type="dxa"/>
              <w:end w:w="90" w:type="dxa"/>
            </w:tcMar>
            <w:vAlign w:val="center"/>
            <w:shd w:fill="FFFFFF"/>
          </w:tcPr>
          <w:p>
            <w:pPr>
              <w:spacing w:after="0"/>
            </w:pPr>
            <w:r/>
            <w:r>
              <w:rPr>
                <w:rFonts w:ascii="Aptos" w:hAnsi="Aptos"/>
                <w:b w:val="0"/>
                <w:sz w:val="16"/>
              </w:rPr>
              <w:t>Pathway-wide public capstone</w:t>
            </w:r>
          </w:p>
        </w:tc>
        <w:tc>
          <w:tcPr>
            <w:tcW w:type="dxa" w:w="5040"/>
            <w:tcMar>
              <w:top w:w="90" w:type="dxa"/>
              <w:start w:w="90" w:type="dxa"/>
              <w:bottom w:w="90" w:type="dxa"/>
              <w:end w:w="90" w:type="dxa"/>
            </w:tcMar>
            <w:vAlign w:val="center"/>
            <w:shd w:fill="FFFFFF"/>
          </w:tcPr>
          <w:p>
            <w:pPr>
              <w:spacing w:after="0"/>
            </w:pPr>
            <w:r/>
            <w:r>
              <w:rPr>
                <w:rFonts w:ascii="Aptos" w:hAnsi="Aptos"/>
                <w:b w:val="0"/>
                <w:sz w:val="16"/>
              </w:rPr>
              <w:t>Provide a culminating public demonstration that may involve Culinary 1 and 2 production roles, Advanced Culinary client-centered execution, and Kitchen Management leadership.</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The capstone becomes an operating requirement only after scope, ownership, schedule, resources, safety, assessment, and district approval are confirmed.</w:t>
            </w:r>
          </w:p>
        </w:tc>
      </w:tr>
      <w:tr>
        <w:trPr>
          <w:cantSplit/>
        </w:trPr>
        <w:tc>
          <w:tcPr>
            <w:tcW w:type="dxa" w:w="2304"/>
            <w:tcMar>
              <w:top w:w="90" w:type="dxa"/>
              <w:start w:w="90" w:type="dxa"/>
              <w:bottom w:w="90" w:type="dxa"/>
              <w:end w:w="90" w:type="dxa"/>
            </w:tcMar>
            <w:vAlign w:val="center"/>
            <w:shd w:fill="EAF2F8"/>
          </w:tcPr>
          <w:p>
            <w:pPr>
              <w:spacing w:after="0"/>
            </w:pPr>
            <w:r/>
            <w:r>
              <w:rPr>
                <w:rFonts w:ascii="Aptos" w:hAnsi="Aptos"/>
                <w:b w:val="0"/>
                <w:sz w:val="16"/>
              </w:rPr>
              <w:t>Student leadership</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Allow Kitchen Management students to coordinate approved systems while other students contribute at responsibilities matched to current readiness.</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Students do not replace staff authority or bypass Gateway requirements.</w:t>
            </w:r>
          </w:p>
        </w:tc>
      </w:tr>
    </w:tbl>
    <w:p>
      <w:pPr>
        <w:spacing w:after="0"/>
      </w:pPr>
    </w:p>
    <w:p>
      <w:pPr>
        <w:pStyle w:val="PartTitle"/>
      </w:pPr>
      <w:r>
        <w:t>PART III</w:t>
        <w:br/>
        <w:t>School-Based Professional Practice</w:t>
      </w:r>
    </w:p>
    <w:p>
      <w:pPr>
        <w:pStyle w:val="Heading3"/>
      </w:pPr>
      <w:r>
        <w:t>The Cottage provides authentic client work; Kitchen Management turns that work into supervised leadership practice.</w:t>
      </w:r>
    </w:p>
    <w:p>
      <w:pPr>
        <w:pStyle w:val="Heading1"/>
      </w:pPr>
      <w:r>
        <w:t>Chapter 11: The Cottage Operating Model and Building Alignment</w:t>
      </w:r>
    </w:p>
    <w:p>
      <w:r>
        <w:t>The Cottage is the confirmed School-Based Enterprise catering operation at Arcadia. It provides the primary client-centered setting for Gateway 4 and a supervised leadership setting for Gateway 5.</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Building / setting</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Current operating treatment</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Arcadia - The Cottage</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Operate catering and food-sale work through the approved Cottage request, planning, production, finance, safety, evidence, and closeout procedures.</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Olympia</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Confirm whether and how client-centered or catering work is currently accepted and processed. Align evidence, safety, financial, and closeout standards without assuming an identical Cottage structure.</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Pathway-wide standard</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Students at each building receive meaningful opportunities to demonstrate the canonical Gateway outcomes. Local implementation may differ when approved procedures preserve the same standards.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Implementation Point</w:t>
            </w:r>
          </w:p>
          <w:p>
            <w:pPr>
              <w:spacing w:after="0"/>
            </w:pPr>
            <w:r>
              <w:rPr>
                <w:sz w:val="18"/>
              </w:rPr>
              <w:t>Olympia's current catering process, if any, must be confirmed with the building teacher and district leadership before the final district operations manual is adopted.</w:t>
            </w:r>
          </w:p>
        </w:tc>
      </w:tr>
    </w:tbl>
    <w:p>
      <w:pPr>
        <w:spacing w:after="0"/>
      </w:pPr>
    </w:p>
    <w:p>
      <w:pPr>
        <w:pStyle w:val="Heading1"/>
      </w:pPr>
      <w:r>
        <w:t>Chapter 12: Cottage Request and Approval</w:t>
      </w:r>
    </w:p>
    <w:p>
      <w:r>
        <w:t>Every request is evaluated first for instructional value, then for operational feasibility. Requests should be submitted at least 15 school days before service; larger, off-site, or complex events require additional lead time.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Approval area</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Required decision</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Instructional value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The request provides meaningful Gateway 4 or Gateway 5 learning, not repetitive production alone.</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Capacity</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The calendar, staffing, student readiness, facility, equipment, purchasing, and production time are workable.</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Client scope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Date, audience, location, quantity, menu or service, budget, setup, delivery, cleanup, and contact person are clear.</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Safety and access</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Food safety, allergens, sanitation, transport, supervision, accessibility, and emergency conditions are addressed.</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Financial procedure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Pricing, purchasing, payment, cash handling, reimbursement, and inventory follow current district and SBE procedures.</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Approval</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The designated culinary teacher and required building or district roles approve the event before any commitment is made.</w:t>
            </w:r>
          </w:p>
        </w:tc>
      </w:tr>
    </w:tbl>
    <w:p>
      <w:pPr>
        <w:spacing w:after="0"/>
      </w:pPr>
    </w:p>
    <w:p>
      <w:r>
        <w:t>The designated adult communicates commitments to the client. Students may assist with costing, proposals, and professional communication but do not enter contracts, control funds, or make unapproved purchasing commitments.</w:t>
      </w:r>
    </w:p>
    <w:p>
      <w:pPr>
        <w:pStyle w:val="Heading1"/>
      </w:pPr>
      <w:r>
        <w:t>Chapter 13: Event Planning, Production, Service, and Closeout</w:t>
      </w:r>
    </w:p>
    <w:p>
      <w:pPr>
        <w:pStyle w:val="Heading2"/>
      </w:pPr>
      <w:r>
        <w:t>Planning Standard</w:t>
      </w:r>
    </w:p>
    <w:p>
      <w:pPr>
        <w:pStyle w:val="ListBullet"/>
        <w:spacing w:after="40"/>
      </w:pPr>
      <w:r>
        <w:t>Final menu or product, quantity, recipe and yield plan, allergens, service format, and quality standard.</w:t>
      </w:r>
    </w:p>
    <w:p>
      <w:pPr>
        <w:pStyle w:val="ListBullet"/>
        <w:spacing w:after="40"/>
      </w:pPr>
      <w:r>
        <w:t>Budget, price, purchasing, inventory, receiving, storage, and approved payment method.</w:t>
      </w:r>
    </w:p>
    <w:p>
      <w:pPr>
        <w:pStyle w:val="ListBullet"/>
        <w:spacing w:after="40"/>
      </w:pPr>
      <w:r>
        <w:t>Production schedule, equipment, facility, transport, holding, service, cleanup, and contingency plan.</w:t>
      </w:r>
    </w:p>
    <w:p>
      <w:pPr>
        <w:pStyle w:val="ListBullet"/>
        <w:spacing w:after="40"/>
      </w:pPr>
      <w:r>
        <w:t>Student roles matched to current Gateway status and teacher judgment.</w:t>
      </w:r>
    </w:p>
    <w:p>
      <w:pPr>
        <w:pStyle w:val="ListBullet"/>
        <w:spacing w:after="40"/>
      </w:pPr>
      <w:r>
        <w:t>Kitchen Management leadership assignments under direct teacher supervision.</w:t>
      </w:r>
    </w:p>
    <w:p>
      <w:pPr>
        <w:pStyle w:val="ListBullet"/>
        <w:spacing w:after="40"/>
      </w:pPr>
      <w:r>
        <w:t>Gateway 4 and Gateway 5 evidence points identified before the work begins.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tcMar>
              <w:top w:w="90" w:type="dxa"/>
              <w:start w:w="90" w:type="dxa"/>
              <w:bottom w:w="90" w:type="dxa"/>
              <w:end w:w="90" w:type="dxa"/>
            </w:tcMar>
            <w:vAlign w:val="center"/>
            <w:shd w:fill="1F4E78"/>
          </w:tcPr>
          <w:p>
            <w:pPr>
              <w:spacing w:after="0"/>
            </w:pPr>
            <w:r/>
            <w:r>
              <w:rPr>
                <w:rFonts w:ascii="Aptos" w:hAnsi="Aptos"/>
                <w:b/>
                <w:color w:val="FFFFFF"/>
                <w:sz w:val="17"/>
              </w:rPr>
              <w:t>Stage</w:t>
            </w:r>
          </w:p>
        </w:tc>
        <w:tc>
          <w:tcPr>
            <w:tcW w:type="dxa" w:w="7920"/>
            <w:tcMar>
              <w:top w:w="90" w:type="dxa"/>
              <w:start w:w="90" w:type="dxa"/>
              <w:bottom w:w="90" w:type="dxa"/>
              <w:end w:w="90" w:type="dxa"/>
            </w:tcMar>
            <w:vAlign w:val="center"/>
            <w:shd w:fill="1F4E78"/>
          </w:tcPr>
          <w:p>
            <w:pPr>
              <w:spacing w:after="0"/>
            </w:pPr>
            <w:r/>
            <w:r>
              <w:rPr>
                <w:rFonts w:ascii="Aptos" w:hAnsi="Aptos"/>
                <w:b/>
                <w:color w:val="FFFFFF"/>
                <w:sz w:val="17"/>
              </w:rPr>
              <w:t>Required practice</w:t>
            </w:r>
          </w:p>
        </w:tc>
      </w:tr>
      <w:tr>
        <w:trPr>
          <w:cantSplit/>
        </w:trPr>
        <w:tc>
          <w:tcPr>
            <w:tcW w:type="dxa" w:w="2160"/>
            <w:tcMar>
              <w:top w:w="90" w:type="dxa"/>
              <w:start w:w="90" w:type="dxa"/>
              <w:bottom w:w="90" w:type="dxa"/>
              <w:end w:w="90" w:type="dxa"/>
            </w:tcMar>
            <w:vAlign w:val="center"/>
            <w:shd w:fill="EAF2F8"/>
          </w:tcPr>
          <w:p>
            <w:pPr>
              <w:spacing w:after="0"/>
            </w:pPr>
            <w:r/>
            <w:r>
              <w:rPr>
                <w:rFonts w:ascii="Aptos" w:hAnsi="Aptos"/>
                <w:b w:val="0"/>
                <w:sz w:val="16"/>
              </w:rPr>
              <w:t>Pre-production</w:t>
            </w:r>
          </w:p>
        </w:tc>
        <w:tc>
          <w:tcPr>
            <w:tcW w:type="dxa" w:w="7920"/>
            <w:tcMar>
              <w:top w:w="90" w:type="dxa"/>
              <w:start w:w="90" w:type="dxa"/>
              <w:bottom w:w="90" w:type="dxa"/>
              <w:end w:w="90" w:type="dxa"/>
            </w:tcMar>
            <w:vAlign w:val="center"/>
            <w:shd w:fill="EAF2F8"/>
          </w:tcPr>
          <w:p>
            <w:pPr>
              <w:spacing w:after="0"/>
            </w:pPr>
            <w:r/>
            <w:r>
              <w:rPr>
                <w:rFonts w:ascii="Aptos" w:hAnsi="Aptos"/>
                <w:b w:val="0"/>
                <w:sz w:val="16"/>
              </w:rPr>
              <w:t>Confirm ingredients, equipment, sanitation, station assignments, timeline, client requirements, and communication.</w:t>
            </w:r>
          </w:p>
        </w:tc>
      </w:tr>
      <w:tr>
        <w:trPr>
          <w:cantSplit/>
        </w:trPr>
        <w:tc>
          <w:tcPr>
            <w:tcW w:type="dxa" w:w="2160"/>
            <w:tcMar>
              <w:top w:w="90" w:type="dxa"/>
              <w:start w:w="90" w:type="dxa"/>
              <w:bottom w:w="90" w:type="dxa"/>
              <w:end w:w="90" w:type="dxa"/>
            </w:tcMar>
            <w:vAlign w:val="center"/>
            <w:shd w:fill="FFFFFF"/>
          </w:tcPr>
          <w:p>
            <w:pPr>
              <w:spacing w:after="0"/>
            </w:pPr>
            <w:r/>
            <w:r>
              <w:rPr>
                <w:rFonts w:ascii="Aptos" w:hAnsi="Aptos"/>
                <w:b w:val="0"/>
                <w:sz w:val="16"/>
              </w:rPr>
              <w:t>Production</w:t>
            </w:r>
          </w:p>
        </w:tc>
        <w:tc>
          <w:tcPr>
            <w:tcW w:type="dxa" w:w="7920"/>
            <w:tcMar>
              <w:top w:w="90" w:type="dxa"/>
              <w:start w:w="90" w:type="dxa"/>
              <w:bottom w:w="90" w:type="dxa"/>
              <w:end w:w="90" w:type="dxa"/>
            </w:tcMar>
            <w:vAlign w:val="center"/>
            <w:shd w:fill="FFFFFF"/>
          </w:tcPr>
          <w:p>
            <w:pPr>
              <w:spacing w:after="0"/>
            </w:pPr>
            <w:r/>
            <w:r>
              <w:rPr>
                <w:rFonts w:ascii="Aptos" w:hAnsi="Aptos"/>
                <w:b w:val="0"/>
                <w:sz w:val="16"/>
              </w:rPr>
              <w:t>Use approved methods; protect time and temperature, allergens, station organization, quality, and accurate quantities.</w:t>
            </w:r>
          </w:p>
        </w:tc>
      </w:tr>
      <w:tr>
        <w:trPr>
          <w:cantSplit/>
        </w:trPr>
        <w:tc>
          <w:tcPr>
            <w:tcW w:type="dxa" w:w="2160"/>
            <w:tcMar>
              <w:top w:w="90" w:type="dxa"/>
              <w:start w:w="90" w:type="dxa"/>
              <w:bottom w:w="90" w:type="dxa"/>
              <w:end w:w="90" w:type="dxa"/>
            </w:tcMar>
            <w:vAlign w:val="center"/>
            <w:shd w:fill="EAF2F8"/>
          </w:tcPr>
          <w:p>
            <w:pPr>
              <w:spacing w:after="0"/>
            </w:pPr>
            <w:r/>
            <w:r>
              <w:rPr>
                <w:rFonts w:ascii="Aptos" w:hAnsi="Aptos"/>
                <w:b w:val="0"/>
                <w:sz w:val="16"/>
              </w:rPr>
              <w:t>Quality control</w:t>
            </w:r>
          </w:p>
        </w:tc>
        <w:tc>
          <w:tcPr>
            <w:tcW w:type="dxa" w:w="7920"/>
            <w:tcMar>
              <w:top w:w="90" w:type="dxa"/>
              <w:start w:w="90" w:type="dxa"/>
              <w:bottom w:w="90" w:type="dxa"/>
              <w:end w:w="90" w:type="dxa"/>
            </w:tcMar>
            <w:vAlign w:val="center"/>
            <w:shd w:fill="EAF2F8"/>
          </w:tcPr>
          <w:p>
            <w:pPr>
              <w:spacing w:after="0"/>
            </w:pPr>
            <w:r/>
            <w:r>
              <w:rPr>
                <w:rFonts w:ascii="Aptos" w:hAnsi="Aptos"/>
                <w:b w:val="0"/>
                <w:sz w:val="16"/>
              </w:rPr>
              <w:t>Check product, presentation, yield, holding, transport, service readiness, and client specifications before release.</w:t>
            </w:r>
          </w:p>
        </w:tc>
      </w:tr>
      <w:tr>
        <w:trPr>
          <w:cantSplit/>
        </w:trPr>
        <w:tc>
          <w:tcPr>
            <w:tcW w:type="dxa" w:w="2160"/>
            <w:tcMar>
              <w:top w:w="90" w:type="dxa"/>
              <w:start w:w="90" w:type="dxa"/>
              <w:bottom w:w="90" w:type="dxa"/>
              <w:end w:w="90" w:type="dxa"/>
            </w:tcMar>
            <w:vAlign w:val="center"/>
            <w:shd w:fill="FFFFFF"/>
          </w:tcPr>
          <w:p>
            <w:pPr>
              <w:spacing w:after="0"/>
            </w:pPr>
            <w:r/>
            <w:r>
              <w:rPr>
                <w:rFonts w:ascii="Aptos" w:hAnsi="Aptos"/>
                <w:b w:val="0"/>
                <w:sz w:val="16"/>
              </w:rPr>
              <w:t>Service</w:t>
            </w:r>
          </w:p>
        </w:tc>
        <w:tc>
          <w:tcPr>
            <w:tcW w:type="dxa" w:w="7920"/>
            <w:tcMar>
              <w:top w:w="90" w:type="dxa"/>
              <w:start w:w="90" w:type="dxa"/>
              <w:bottom w:w="90" w:type="dxa"/>
              <w:end w:w="90" w:type="dxa"/>
            </w:tcMar>
            <w:vAlign w:val="center"/>
            <w:shd w:fill="FFFFFF"/>
          </w:tcPr>
          <w:p>
            <w:pPr>
              <w:spacing w:after="0"/>
            </w:pPr>
            <w:r/>
            <w:r>
              <w:rPr>
                <w:rFonts w:ascii="Aptos" w:hAnsi="Aptos"/>
                <w:b w:val="0"/>
                <w:sz w:val="16"/>
              </w:rPr>
              <w:t>Use professional communication, safe service, accurate setup, customer awareness, and assigned supervision.</w:t>
            </w:r>
          </w:p>
        </w:tc>
      </w:tr>
      <w:tr>
        <w:trPr>
          <w:cantSplit/>
        </w:trPr>
        <w:tc>
          <w:tcPr>
            <w:tcW w:type="dxa" w:w="2160"/>
            <w:tcMar>
              <w:top w:w="90" w:type="dxa"/>
              <w:start w:w="90" w:type="dxa"/>
              <w:bottom w:w="90" w:type="dxa"/>
              <w:end w:w="90" w:type="dxa"/>
            </w:tcMar>
            <w:vAlign w:val="center"/>
            <w:shd w:fill="EAF2F8"/>
          </w:tcPr>
          <w:p>
            <w:pPr>
              <w:spacing w:after="0"/>
            </w:pPr>
            <w:r/>
            <w:r>
              <w:rPr>
                <w:rFonts w:ascii="Aptos" w:hAnsi="Aptos"/>
                <w:b w:val="0"/>
                <w:sz w:val="16"/>
              </w:rPr>
              <w:t>Closing</w:t>
            </w:r>
          </w:p>
        </w:tc>
        <w:tc>
          <w:tcPr>
            <w:tcW w:type="dxa" w:w="7920"/>
            <w:tcMar>
              <w:top w:w="90" w:type="dxa"/>
              <w:start w:w="90" w:type="dxa"/>
              <w:bottom w:w="90" w:type="dxa"/>
              <w:end w:w="90" w:type="dxa"/>
            </w:tcMar>
            <w:vAlign w:val="center"/>
            <w:shd w:fill="EAF2F8"/>
          </w:tcPr>
          <w:p>
            <w:pPr>
              <w:spacing w:after="0"/>
            </w:pPr>
            <w:r/>
            <w:r>
              <w:rPr>
                <w:rFonts w:ascii="Aptos" w:hAnsi="Aptos"/>
                <w:b w:val="0"/>
                <w:sz w:val="16"/>
              </w:rPr>
              <w:t>Complete cleanup, storage, waste handling, equipment shutdown, inventory, financial handoff, client follow-up, and variance reporting.</w:t>
            </w:r>
          </w:p>
        </w:tc>
      </w:tr>
    </w:tbl>
    <w:p>
      <w:pPr>
        <w:spacing w:after="0"/>
      </w:pPr>
    </w:p>
    <w:p>
      <w:pPr>
        <w:pStyle w:val="Heading2"/>
      </w:pPr>
      <w:r>
        <w:t>Closeout Standard</w:t>
      </w:r>
    </w:p>
    <w:p>
      <w:pPr>
        <w:spacing w:after="40"/>
        <w:ind w:left="259" w:hanging="259"/>
      </w:pPr>
      <w:r>
        <w:t>1. Confirm the client deliverable and resolve any immediate concern.</w:t>
      </w:r>
    </w:p>
    <w:p>
      <w:pPr>
        <w:spacing w:after="40"/>
        <w:ind w:left="259" w:hanging="259"/>
      </w:pPr>
      <w:r>
        <w:t>2. Complete food-safety, facility, inventory, purchasing, payment, and equipment closeout.</w:t>
      </w:r>
    </w:p>
    <w:p>
      <w:pPr>
        <w:spacing w:after="40"/>
        <w:ind w:left="259" w:hanging="259"/>
      </w:pPr>
      <w:r>
        <w:t>3. Conduct the student debrief within three school days.</w:t>
      </w:r>
    </w:p>
    <w:p>
      <w:pPr>
        <w:spacing w:after="40"/>
        <w:ind w:left="259" w:hanging="259"/>
      </w:pPr>
      <w:r>
        <w:t>4. Collect client feedback when it supports learning or program evaluation.</w:t>
      </w:r>
    </w:p>
    <w:p>
      <w:pPr>
        <w:spacing w:after="40"/>
        <w:ind w:left="259" w:hanging="259"/>
      </w:pPr>
      <w:r>
        <w:t>5. Enter course, Employability Profile, Passport, and portfolio evidence through the assigned process.</w:t>
      </w:r>
    </w:p>
    <w:p>
      <w:pPr>
        <w:spacing w:after="40"/>
        <w:ind w:left="259" w:hanging="259"/>
      </w:pPr>
      <w:r>
        <w:t>6. Record one or more specific improvements before the next similar event.</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Learning Before Labor</w:t>
            </w:r>
          </w:p>
          <w:p>
            <w:pPr>
              <w:spacing w:after="0"/>
            </w:pPr>
            <w:r>
              <w:rPr>
                <w:sz w:val="18"/>
              </w:rPr>
              <w:t>Client satisfaction matters, but production never replaces instruction, individual evidence, safe supervision, feedback, or student development.</w:t>
            </w:r>
          </w:p>
        </w:tc>
      </w:tr>
    </w:tbl>
    <w:p>
      <w:pPr>
        <w:spacing w:after="0"/>
      </w:pPr>
    </w:p>
    <w:p>
      <w:pPr>
        <w:pStyle w:val="Heading1"/>
      </w:pPr>
      <w:r>
        <w:t>Chapter 14: Kitchen Management Leadership Operations</w:t>
      </w:r>
    </w:p>
    <w:p>
      <w:r>
        <w:t>Kitchen Management uses authentic production as the setting for leadership. The evaluated outcome is the student's ability to plan, coordinate, supervise, communicate, protect quality and safety, and improve the work.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tcMar>
              <w:top w:w="90" w:type="dxa"/>
              <w:start w:w="90" w:type="dxa"/>
              <w:bottom w:w="90" w:type="dxa"/>
              <w:end w:w="90" w:type="dxa"/>
            </w:tcMar>
            <w:vAlign w:val="center"/>
            <w:shd w:fill="1F4E78"/>
          </w:tcPr>
          <w:p>
            <w:pPr>
              <w:spacing w:after="0"/>
            </w:pPr>
            <w:r/>
            <w:r>
              <w:rPr>
                <w:rFonts w:ascii="Aptos" w:hAnsi="Aptos"/>
                <w:b/>
                <w:color w:val="FFFFFF"/>
                <w:sz w:val="17"/>
              </w:rPr>
              <w:t>Leadership function</w:t>
            </w:r>
          </w:p>
        </w:tc>
        <w:tc>
          <w:tcPr>
            <w:tcW w:type="dxa" w:w="4032"/>
            <w:tcMar>
              <w:top w:w="90" w:type="dxa"/>
              <w:start w:w="90" w:type="dxa"/>
              <w:bottom w:w="90" w:type="dxa"/>
              <w:end w:w="90" w:type="dxa"/>
            </w:tcMar>
            <w:vAlign w:val="center"/>
            <w:shd w:fill="1F4E78"/>
          </w:tcPr>
          <w:p>
            <w:pPr>
              <w:spacing w:after="0"/>
            </w:pPr>
            <w:r/>
            <w:r>
              <w:rPr>
                <w:rFonts w:ascii="Aptos" w:hAnsi="Aptos"/>
                <w:b/>
                <w:color w:val="FFFFFF"/>
                <w:sz w:val="17"/>
              </w:rPr>
              <w:t>Student responsibility</w:t>
            </w:r>
          </w:p>
        </w:tc>
        <w:tc>
          <w:tcPr>
            <w:tcW w:type="dxa" w:w="4104"/>
            <w:tcMar>
              <w:top w:w="90" w:type="dxa"/>
              <w:start w:w="90" w:type="dxa"/>
              <w:bottom w:w="90" w:type="dxa"/>
              <w:end w:w="90" w:type="dxa"/>
            </w:tcMar>
            <w:vAlign w:val="center"/>
            <w:shd w:fill="1F4E78"/>
          </w:tcPr>
          <w:p>
            <w:pPr>
              <w:spacing w:after="0"/>
            </w:pPr>
            <w:r/>
            <w:r>
              <w:rPr>
                <w:rFonts w:ascii="Aptos" w:hAnsi="Aptos"/>
                <w:b/>
                <w:color w:val="FFFFFF"/>
                <w:sz w:val="17"/>
              </w:rPr>
              <w:t>Teacher responsibility</w:t>
            </w:r>
          </w:p>
        </w:tc>
      </w:tr>
      <w:tr>
        <w:trPr>
          <w:cantSplit/>
        </w:trPr>
        <w:tc>
          <w:tcPr>
            <w:tcW w:type="dxa" w:w="1944"/>
            <w:tcMar>
              <w:top w:w="90" w:type="dxa"/>
              <w:start w:w="90" w:type="dxa"/>
              <w:bottom w:w="90" w:type="dxa"/>
              <w:end w:w="90" w:type="dxa"/>
            </w:tcMar>
            <w:vAlign w:val="center"/>
            <w:shd w:fill="EAF2F8"/>
          </w:tcPr>
          <w:p>
            <w:pPr>
              <w:spacing w:after="0"/>
            </w:pPr>
            <w:r/>
            <w:r>
              <w:rPr>
                <w:rFonts w:ascii="Aptos" w:hAnsi="Aptos"/>
                <w:b w:val="0"/>
                <w:sz w:val="16"/>
              </w:rPr>
              <w:t>Briefing</w:t>
            </w:r>
          </w:p>
        </w:tc>
        <w:tc>
          <w:tcPr>
            <w:tcW w:type="dxa" w:w="4032"/>
            <w:tcMar>
              <w:top w:w="90" w:type="dxa"/>
              <w:start w:w="90" w:type="dxa"/>
              <w:bottom w:w="90" w:type="dxa"/>
              <w:end w:w="90" w:type="dxa"/>
            </w:tcMar>
            <w:vAlign w:val="center"/>
            <w:shd w:fill="EAF2F8"/>
          </w:tcPr>
          <w:p>
            <w:pPr>
              <w:spacing w:after="0"/>
            </w:pPr>
            <w:r/>
            <w:r>
              <w:rPr>
                <w:rFonts w:ascii="Aptos" w:hAnsi="Aptos"/>
                <w:b w:val="0"/>
                <w:sz w:val="16"/>
              </w:rPr>
              <w:t>Explain the plan, roles, standards, timeline, and communication route.</w:t>
            </w:r>
          </w:p>
        </w:tc>
        <w:tc>
          <w:tcPr>
            <w:tcW w:type="dxa" w:w="4104"/>
            <w:tcMar>
              <w:top w:w="90" w:type="dxa"/>
              <w:start w:w="90" w:type="dxa"/>
              <w:bottom w:w="90" w:type="dxa"/>
              <w:end w:w="90" w:type="dxa"/>
            </w:tcMar>
            <w:vAlign w:val="center"/>
            <w:shd w:fill="EAF2F8"/>
          </w:tcPr>
          <w:p>
            <w:pPr>
              <w:spacing w:after="0"/>
            </w:pPr>
            <w:r/>
            <w:r>
              <w:rPr>
                <w:rFonts w:ascii="Aptos" w:hAnsi="Aptos"/>
                <w:b w:val="0"/>
                <w:sz w:val="16"/>
              </w:rPr>
              <w:t>Approve the plan and correct unsafe, inaccurate, or inappropriate direction.</w:t>
            </w:r>
          </w:p>
        </w:tc>
      </w:tr>
      <w:tr>
        <w:trPr>
          <w:cantSplit/>
        </w:trPr>
        <w:tc>
          <w:tcPr>
            <w:tcW w:type="dxa" w:w="1944"/>
            <w:tcMar>
              <w:top w:w="90" w:type="dxa"/>
              <w:start w:w="90" w:type="dxa"/>
              <w:bottom w:w="90" w:type="dxa"/>
              <w:end w:w="90" w:type="dxa"/>
            </w:tcMar>
            <w:vAlign w:val="center"/>
            <w:shd w:fill="FFFFFF"/>
          </w:tcPr>
          <w:p>
            <w:pPr>
              <w:spacing w:after="0"/>
            </w:pPr>
            <w:r/>
            <w:r>
              <w:rPr>
                <w:rFonts w:ascii="Aptos" w:hAnsi="Aptos"/>
                <w:b w:val="0"/>
                <w:sz w:val="16"/>
              </w:rPr>
              <w:t>Delegation</w:t>
            </w:r>
          </w:p>
        </w:tc>
        <w:tc>
          <w:tcPr>
            <w:tcW w:type="dxa" w:w="4032"/>
            <w:tcMar>
              <w:top w:w="90" w:type="dxa"/>
              <w:start w:w="90" w:type="dxa"/>
              <w:bottom w:w="90" w:type="dxa"/>
              <w:end w:w="90" w:type="dxa"/>
            </w:tcMar>
            <w:vAlign w:val="center"/>
            <w:shd w:fill="FFFFFF"/>
          </w:tcPr>
          <w:p>
            <w:pPr>
              <w:spacing w:after="0"/>
            </w:pPr>
            <w:r/>
            <w:r>
              <w:rPr>
                <w:rFonts w:ascii="Aptos" w:hAnsi="Aptos"/>
                <w:b w:val="0"/>
                <w:sz w:val="16"/>
              </w:rPr>
              <w:t>Assign approved tasks and monitor progress.</w:t>
            </w:r>
          </w:p>
        </w:tc>
        <w:tc>
          <w:tcPr>
            <w:tcW w:type="dxa" w:w="4104"/>
            <w:tcMar>
              <w:top w:w="90" w:type="dxa"/>
              <w:start w:w="90" w:type="dxa"/>
              <w:bottom w:w="90" w:type="dxa"/>
              <w:end w:w="90" w:type="dxa"/>
            </w:tcMar>
            <w:vAlign w:val="center"/>
            <w:shd w:fill="FFFFFF"/>
          </w:tcPr>
          <w:p>
            <w:pPr>
              <w:spacing w:after="0"/>
            </w:pPr>
            <w:r/>
            <w:r>
              <w:rPr>
                <w:rFonts w:ascii="Aptos" w:hAnsi="Aptos"/>
                <w:b w:val="0"/>
                <w:sz w:val="16"/>
              </w:rPr>
              <w:t>Retain authority for staffing, safety, discipline, grading, accommodations, and confidential information.</w:t>
            </w:r>
          </w:p>
        </w:tc>
      </w:tr>
      <w:tr>
        <w:trPr>
          <w:cantSplit/>
        </w:trPr>
        <w:tc>
          <w:tcPr>
            <w:tcW w:type="dxa" w:w="1944"/>
            <w:tcMar>
              <w:top w:w="90" w:type="dxa"/>
              <w:start w:w="90" w:type="dxa"/>
              <w:bottom w:w="90" w:type="dxa"/>
              <w:end w:w="90" w:type="dxa"/>
            </w:tcMar>
            <w:vAlign w:val="center"/>
            <w:shd w:fill="EAF2F8"/>
          </w:tcPr>
          <w:p>
            <w:pPr>
              <w:spacing w:after="0"/>
            </w:pPr>
            <w:r/>
            <w:r>
              <w:rPr>
                <w:rFonts w:ascii="Aptos" w:hAnsi="Aptos"/>
                <w:b w:val="0"/>
                <w:sz w:val="16"/>
              </w:rPr>
              <w:t>Coaching</w:t>
            </w:r>
          </w:p>
        </w:tc>
        <w:tc>
          <w:tcPr>
            <w:tcW w:type="dxa" w:w="4032"/>
            <w:tcMar>
              <w:top w:w="90" w:type="dxa"/>
              <w:start w:w="90" w:type="dxa"/>
              <w:bottom w:w="90" w:type="dxa"/>
              <w:end w:w="90" w:type="dxa"/>
            </w:tcMar>
            <w:vAlign w:val="center"/>
            <w:shd w:fill="EAF2F8"/>
          </w:tcPr>
          <w:p>
            <w:pPr>
              <w:spacing w:after="0"/>
            </w:pPr>
            <w:r/>
            <w:r>
              <w:rPr>
                <w:rFonts w:ascii="Aptos" w:hAnsi="Aptos"/>
                <w:b w:val="0"/>
                <w:sz w:val="16"/>
              </w:rPr>
              <w:t>Give specific task feedback and ask for help when limits are reached.</w:t>
            </w:r>
          </w:p>
        </w:tc>
        <w:tc>
          <w:tcPr>
            <w:tcW w:type="dxa" w:w="4104"/>
            <w:tcMar>
              <w:top w:w="90" w:type="dxa"/>
              <w:start w:w="90" w:type="dxa"/>
              <w:bottom w:w="90" w:type="dxa"/>
              <w:end w:w="90" w:type="dxa"/>
            </w:tcMar>
            <w:vAlign w:val="center"/>
            <w:shd w:fill="EAF2F8"/>
          </w:tcPr>
          <w:p>
            <w:pPr>
              <w:spacing w:after="0"/>
            </w:pPr>
            <w:r/>
            <w:r>
              <w:rPr>
                <w:rFonts w:ascii="Aptos" w:hAnsi="Aptos"/>
                <w:b w:val="0"/>
                <w:sz w:val="16"/>
              </w:rPr>
              <w:t>Model professional coaching and intervene when leadership becomes ineffective or disrespectful.</w:t>
            </w:r>
          </w:p>
        </w:tc>
      </w:tr>
      <w:tr>
        <w:trPr>
          <w:cantSplit/>
        </w:trPr>
        <w:tc>
          <w:tcPr>
            <w:tcW w:type="dxa" w:w="1944"/>
            <w:tcMar>
              <w:top w:w="90" w:type="dxa"/>
              <w:start w:w="90" w:type="dxa"/>
              <w:bottom w:w="90" w:type="dxa"/>
              <w:end w:w="90" w:type="dxa"/>
            </w:tcMar>
            <w:vAlign w:val="center"/>
            <w:shd w:fill="FFFFFF"/>
          </w:tcPr>
          <w:p>
            <w:pPr>
              <w:spacing w:after="0"/>
            </w:pPr>
            <w:r/>
            <w:r>
              <w:rPr>
                <w:rFonts w:ascii="Aptos" w:hAnsi="Aptos"/>
                <w:b w:val="0"/>
                <w:sz w:val="16"/>
              </w:rPr>
              <w:t>Resource management</w:t>
            </w:r>
          </w:p>
        </w:tc>
        <w:tc>
          <w:tcPr>
            <w:tcW w:type="dxa" w:w="4032"/>
            <w:tcMar>
              <w:top w:w="90" w:type="dxa"/>
              <w:start w:w="90" w:type="dxa"/>
              <w:bottom w:w="90" w:type="dxa"/>
              <w:end w:w="90" w:type="dxa"/>
            </w:tcMar>
            <w:vAlign w:val="center"/>
            <w:shd w:fill="FFFFFF"/>
          </w:tcPr>
          <w:p>
            <w:pPr>
              <w:spacing w:after="0"/>
            </w:pPr>
            <w:r/>
            <w:r>
              <w:rPr>
                <w:rFonts w:ascii="Aptos" w:hAnsi="Aptos"/>
                <w:b w:val="0"/>
                <w:sz w:val="16"/>
              </w:rPr>
              <w:t>Track time, materials, inventory, waste, workflow, and contingency needs.</w:t>
            </w:r>
          </w:p>
        </w:tc>
        <w:tc>
          <w:tcPr>
            <w:tcW w:type="dxa" w:w="4104"/>
            <w:tcMar>
              <w:top w:w="90" w:type="dxa"/>
              <w:start w:w="90" w:type="dxa"/>
              <w:bottom w:w="90" w:type="dxa"/>
              <w:end w:w="90" w:type="dxa"/>
            </w:tcMar>
            <w:vAlign w:val="center"/>
            <w:shd w:fill="FFFFFF"/>
          </w:tcPr>
          <w:p>
            <w:pPr>
              <w:spacing w:after="0"/>
            </w:pPr>
            <w:r/>
            <w:r>
              <w:rPr>
                <w:rFonts w:ascii="Aptos" w:hAnsi="Aptos"/>
                <w:b w:val="0"/>
                <w:sz w:val="16"/>
              </w:rPr>
              <w:t>Approve purchasing, finance, facility, equipment, and inventory decisions.</w:t>
            </w:r>
          </w:p>
        </w:tc>
      </w:tr>
      <w:tr>
        <w:trPr>
          <w:cantSplit/>
        </w:trPr>
        <w:tc>
          <w:tcPr>
            <w:tcW w:type="dxa" w:w="1944"/>
            <w:tcMar>
              <w:top w:w="90" w:type="dxa"/>
              <w:start w:w="90" w:type="dxa"/>
              <w:bottom w:w="90" w:type="dxa"/>
              <w:end w:w="90" w:type="dxa"/>
            </w:tcMar>
            <w:vAlign w:val="center"/>
            <w:shd w:fill="EAF2F8"/>
          </w:tcPr>
          <w:p>
            <w:pPr>
              <w:spacing w:after="0"/>
            </w:pPr>
            <w:r/>
            <w:r>
              <w:rPr>
                <w:rFonts w:ascii="Aptos" w:hAnsi="Aptos"/>
                <w:b w:val="0"/>
                <w:sz w:val="16"/>
              </w:rPr>
              <w:t>Quality and closeout</w:t>
            </w:r>
          </w:p>
        </w:tc>
        <w:tc>
          <w:tcPr>
            <w:tcW w:type="dxa" w:w="4032"/>
            <w:tcMar>
              <w:top w:w="90" w:type="dxa"/>
              <w:start w:w="90" w:type="dxa"/>
              <w:bottom w:w="90" w:type="dxa"/>
              <w:end w:w="90" w:type="dxa"/>
            </w:tcMar>
            <w:vAlign w:val="center"/>
            <w:shd w:fill="EAF2F8"/>
          </w:tcPr>
          <w:p>
            <w:pPr>
              <w:spacing w:after="0"/>
            </w:pPr>
            <w:r/>
            <w:r>
              <w:rPr>
                <w:rFonts w:ascii="Aptos" w:hAnsi="Aptos"/>
                <w:b w:val="0"/>
                <w:sz w:val="16"/>
              </w:rPr>
              <w:t>Check work against standards and lead reflection.</w:t>
            </w:r>
          </w:p>
        </w:tc>
        <w:tc>
          <w:tcPr>
            <w:tcW w:type="dxa" w:w="4104"/>
            <w:tcMar>
              <w:top w:w="90" w:type="dxa"/>
              <w:start w:w="90" w:type="dxa"/>
              <w:bottom w:w="90" w:type="dxa"/>
              <w:end w:w="90" w:type="dxa"/>
            </w:tcMar>
            <w:vAlign w:val="center"/>
            <w:shd w:fill="EAF2F8"/>
          </w:tcPr>
          <w:p>
            <w:pPr>
              <w:spacing w:after="0"/>
            </w:pPr>
            <w:r/>
            <w:r>
              <w:rPr>
                <w:rFonts w:ascii="Aptos" w:hAnsi="Aptos"/>
                <w:b w:val="0"/>
                <w:sz w:val="16"/>
              </w:rPr>
              <w:t>Verify evidence and make the Gateway 5 assessment decision.</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Student Leadership Boundary</w:t>
            </w:r>
          </w:p>
          <w:p>
            <w:pPr>
              <w:spacing w:after="0"/>
            </w:pPr>
            <w:r>
              <w:rPr>
                <w:sz w:val="18"/>
              </w:rPr>
              <w:t>Students practice leadership; they do not replace staff authority. Students do not make final decisions about safety, discipline, grades, accommodations, legal requirements, confidential information, finances, or emergency response.</w:t>
            </w:r>
          </w:p>
        </w:tc>
      </w:tr>
    </w:tbl>
    <w:p>
      <w:pPr>
        <w:spacing w:after="0"/>
      </w:pPr>
    </w:p>
    <w:p>
      <w:pPr>
        <w:pStyle w:val="Heading1"/>
      </w:pPr>
      <w:r>
        <w:t>Chapter 15: School-Based Enterprise Finance and Records</w:t>
      </w:r>
    </w:p>
    <w:p>
      <w:r>
        <w:t>All Cottage revenue, purchasing, reimbursement, cash handling, inventory, and use of School-Based Enterprise funds follow approved district procedures. This manual does not establish a separate financial system.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Operational point</w:t>
            </w:r>
          </w:p>
        </w:tc>
        <w:tc>
          <w:tcPr>
            <w:tcW w:type="dxa" w:w="7632"/>
            <w:tcMar>
              <w:top w:w="90" w:type="dxa"/>
              <w:start w:w="90" w:type="dxa"/>
              <w:bottom w:w="90" w:type="dxa"/>
              <w:end w:w="90" w:type="dxa"/>
            </w:tcMar>
            <w:vAlign w:val="center"/>
            <w:shd w:fill="1F4E78"/>
          </w:tcPr>
          <w:p>
            <w:pPr>
              <w:spacing w:after="0"/>
            </w:pPr>
            <w:r/>
            <w:r>
              <w:rPr>
                <w:rFonts w:ascii="Aptos" w:hAnsi="Aptos"/>
                <w:b/>
                <w:color w:val="FFFFFF"/>
                <w:sz w:val="17"/>
              </w:rPr>
              <w:t>Required practice</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Quote or price</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Use the approved costing and authorization process before a client commitment.</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Purchasing</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Use district-approved vendors, accounts, authorizations, and receiving procedures.</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Payment and cash handling</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Use only approved district methods and designated adult responsibility.</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Inventory</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Record items and quantities when required for cost, safety, control, or program review.</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Revenue use</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Confirm the authorized account and allowable educational use before funds are committed, including any proposed support for SkillsUSA or student activities.</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Closeout</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Reconcile the event according to district and SBE requirements and preserve the record required for audit and program review.</w:t>
            </w:r>
          </w:p>
        </w:tc>
      </w:tr>
    </w:tbl>
    <w:p>
      <w:pPr>
        <w:spacing w:after="0"/>
      </w:pPr>
    </w:p>
    <w:p>
      <w:r>
        <w:t>The exact Cottage account structure, allowable expenditures, and Olympia catering procedures require confirmation with district leadership and current building practice.</w:t>
      </w:r>
    </w:p>
    <w:p>
      <w:pPr>
        <w:pStyle w:val="PartTitle"/>
      </w:pPr>
      <w:r>
        <w:t>PART IV</w:t>
        <w:br/>
        <w:t>External Work-Based Learning</w:t>
      </w:r>
    </w:p>
    <w:p>
      <w:pPr>
        <w:pStyle w:val="Heading3"/>
      </w:pPr>
      <w:r>
        <w:t>A separate senior course that transfers verified pathway competence into authentic professional practice.</w:t>
      </w:r>
    </w:p>
    <w:p>
      <w:pPr>
        <w:pStyle w:val="Heading1"/>
      </w:pPr>
      <w:r>
        <w:t>Chapter 16: Course Entry and Student Placement</w:t>
      </w:r>
    </w:p>
    <w:p>
      <w:r>
        <w:t>External Work-Based Learning is a separate 1.0-credit Grade 12 course supervised by the credentialed Work-Based Learning Coordinator. A student's ordinary employment becomes part of the course only after the site, duties, supervision, schedule, agreement, training plan, and support conditions are approved.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736"/>
            <w:tcMar>
              <w:top w:w="90" w:type="dxa"/>
              <w:start w:w="90" w:type="dxa"/>
              <w:bottom w:w="90" w:type="dxa"/>
              <w:end w:w="90" w:type="dxa"/>
            </w:tcMar>
            <w:vAlign w:val="center"/>
            <w:shd w:fill="1F4E78"/>
          </w:tcPr>
          <w:p>
            <w:pPr>
              <w:spacing w:after="0"/>
            </w:pPr>
            <w:r/>
            <w:r>
              <w:rPr>
                <w:rFonts w:ascii="Aptos" w:hAnsi="Aptos"/>
                <w:b/>
                <w:color w:val="FFFFFF"/>
                <w:sz w:val="17"/>
              </w:rPr>
              <w:t>Entry condition</w:t>
            </w:r>
          </w:p>
        </w:tc>
        <w:tc>
          <w:tcPr>
            <w:tcW w:type="dxa" w:w="7344"/>
            <w:tcMar>
              <w:top w:w="90" w:type="dxa"/>
              <w:start w:w="90" w:type="dxa"/>
              <w:bottom w:w="90" w:type="dxa"/>
              <w:end w:w="90" w:type="dxa"/>
            </w:tcMar>
            <w:vAlign w:val="center"/>
            <w:shd w:fill="1F4E78"/>
          </w:tcPr>
          <w:p>
            <w:pPr>
              <w:spacing w:after="0"/>
            </w:pPr>
            <w:r/>
            <w:r>
              <w:rPr>
                <w:rFonts w:ascii="Aptos" w:hAnsi="Aptos"/>
                <w:b/>
                <w:color w:val="FFFFFF"/>
                <w:sz w:val="17"/>
              </w:rPr>
              <w:t>Verification</w:t>
            </w:r>
          </w:p>
        </w:tc>
      </w:tr>
      <w:tr>
        <w:trPr>
          <w:cantSplit/>
        </w:trPr>
        <w:tc>
          <w:tcPr>
            <w:tcW w:type="dxa" w:w="2736"/>
            <w:tcMar>
              <w:top w:w="90" w:type="dxa"/>
              <w:start w:w="90" w:type="dxa"/>
              <w:bottom w:w="90" w:type="dxa"/>
              <w:end w:w="90" w:type="dxa"/>
            </w:tcMar>
            <w:vAlign w:val="center"/>
            <w:shd w:fill="EAF2F8"/>
          </w:tcPr>
          <w:p>
            <w:pPr>
              <w:spacing w:after="0"/>
            </w:pPr>
            <w:r/>
            <w:r>
              <w:rPr>
                <w:rFonts w:ascii="Aptos" w:hAnsi="Aptos"/>
                <w:b w:val="0"/>
                <w:sz w:val="16"/>
              </w:rPr>
              <w:t>Course enrollment</w:t>
            </w:r>
          </w:p>
        </w:tc>
        <w:tc>
          <w:tcPr>
            <w:tcW w:type="dxa" w:w="7344"/>
            <w:tcMar>
              <w:top w:w="90" w:type="dxa"/>
              <w:start w:w="90" w:type="dxa"/>
              <w:bottom w:w="90" w:type="dxa"/>
              <w:end w:w="90" w:type="dxa"/>
            </w:tcMar>
            <w:vAlign w:val="center"/>
            <w:shd w:fill="EAF2F8"/>
          </w:tcPr>
          <w:p>
            <w:pPr>
              <w:spacing w:after="0"/>
            </w:pPr>
            <w:r/>
            <w:r>
              <w:rPr>
                <w:rFonts w:ascii="Aptos" w:hAnsi="Aptos"/>
                <w:b w:val="0"/>
                <w:sz w:val="16"/>
              </w:rPr>
              <w:t>The student is scheduled in the approved senior External WBL course.</w:t>
            </w:r>
          </w:p>
        </w:tc>
      </w:tr>
      <w:tr>
        <w:trPr>
          <w:cantSplit/>
        </w:trPr>
        <w:tc>
          <w:tcPr>
            <w:tcW w:type="dxa" w:w="2736"/>
            <w:tcMar>
              <w:top w:w="90" w:type="dxa"/>
              <w:start w:w="90" w:type="dxa"/>
              <w:bottom w:w="90" w:type="dxa"/>
              <w:end w:w="90" w:type="dxa"/>
            </w:tcMar>
            <w:vAlign w:val="center"/>
            <w:shd w:fill="FFFFFF"/>
          </w:tcPr>
          <w:p>
            <w:pPr>
              <w:spacing w:after="0"/>
            </w:pPr>
            <w:r/>
            <w:r>
              <w:rPr>
                <w:rFonts w:ascii="Aptos" w:hAnsi="Aptos"/>
                <w:b w:val="0"/>
                <w:sz w:val="16"/>
              </w:rPr>
              <w:t>Gateway 5</w:t>
            </w:r>
          </w:p>
        </w:tc>
        <w:tc>
          <w:tcPr>
            <w:tcW w:type="dxa" w:w="7344"/>
            <w:tcMar>
              <w:top w:w="90" w:type="dxa"/>
              <w:start w:w="90" w:type="dxa"/>
              <w:bottom w:w="90" w:type="dxa"/>
              <w:end w:w="90" w:type="dxa"/>
            </w:tcMar>
            <w:vAlign w:val="center"/>
            <w:shd w:fill="FFFFFF"/>
          </w:tcPr>
          <w:p>
            <w:pPr>
              <w:spacing w:after="0"/>
            </w:pPr>
            <w:r/>
            <w:r>
              <w:rPr>
                <w:rFonts w:ascii="Aptos" w:hAnsi="Aptos"/>
                <w:b w:val="0"/>
                <w:sz w:val="16"/>
              </w:rPr>
              <w:t>The Culinary Passport shows Completion or Completion with Distinction and Travel Rights.</w:t>
            </w:r>
          </w:p>
        </w:tc>
      </w:tr>
      <w:tr>
        <w:trPr>
          <w:cantSplit/>
        </w:trPr>
        <w:tc>
          <w:tcPr>
            <w:tcW w:type="dxa" w:w="2736"/>
            <w:tcMar>
              <w:top w:w="90" w:type="dxa"/>
              <w:start w:w="90" w:type="dxa"/>
              <w:bottom w:w="90" w:type="dxa"/>
              <w:end w:w="90" w:type="dxa"/>
            </w:tcMar>
            <w:vAlign w:val="center"/>
            <w:shd w:fill="EAF2F8"/>
          </w:tcPr>
          <w:p>
            <w:pPr>
              <w:spacing w:after="0"/>
            </w:pPr>
            <w:r/>
            <w:r>
              <w:rPr>
                <w:rFonts w:ascii="Aptos" w:hAnsi="Aptos"/>
                <w:b w:val="0"/>
                <w:sz w:val="16"/>
              </w:rPr>
              <w:t>Student preparation</w:t>
            </w:r>
          </w:p>
        </w:tc>
        <w:tc>
          <w:tcPr>
            <w:tcW w:type="dxa" w:w="7344"/>
            <w:tcMar>
              <w:top w:w="90" w:type="dxa"/>
              <w:start w:w="90" w:type="dxa"/>
              <w:bottom w:w="90" w:type="dxa"/>
              <w:end w:w="90" w:type="dxa"/>
            </w:tcMar>
            <w:vAlign w:val="center"/>
            <w:shd w:fill="EAF2F8"/>
          </w:tcPr>
          <w:p>
            <w:pPr>
              <w:spacing w:after="0"/>
            </w:pPr>
            <w:r/>
            <w:r>
              <w:rPr>
                <w:rFonts w:ascii="Aptos" w:hAnsi="Aptos"/>
                <w:b w:val="0"/>
                <w:sz w:val="16"/>
              </w:rPr>
              <w:t>Career goal, availability, resume, interview preparation, professional communication, and course orientation are complete.</w:t>
            </w:r>
          </w:p>
        </w:tc>
      </w:tr>
      <w:tr>
        <w:trPr>
          <w:cantSplit/>
        </w:trPr>
        <w:tc>
          <w:tcPr>
            <w:tcW w:type="dxa" w:w="2736"/>
            <w:tcMar>
              <w:top w:w="90" w:type="dxa"/>
              <w:start w:w="90" w:type="dxa"/>
              <w:bottom w:w="90" w:type="dxa"/>
              <w:end w:w="90" w:type="dxa"/>
            </w:tcMar>
            <w:vAlign w:val="center"/>
            <w:shd w:fill="FFFFFF"/>
          </w:tcPr>
          <w:p>
            <w:pPr>
              <w:spacing w:after="0"/>
            </w:pPr>
            <w:r/>
            <w:r>
              <w:rPr>
                <w:rFonts w:ascii="Aptos" w:hAnsi="Aptos"/>
                <w:b w:val="0"/>
                <w:sz w:val="16"/>
              </w:rPr>
              <w:t>Logistics and support</w:t>
            </w:r>
          </w:p>
        </w:tc>
        <w:tc>
          <w:tcPr>
            <w:tcW w:type="dxa" w:w="7344"/>
            <w:tcMar>
              <w:top w:w="90" w:type="dxa"/>
              <w:start w:w="90" w:type="dxa"/>
              <w:bottom w:w="90" w:type="dxa"/>
              <w:end w:w="90" w:type="dxa"/>
            </w:tcMar>
            <w:vAlign w:val="center"/>
            <w:shd w:fill="FFFFFF"/>
          </w:tcPr>
          <w:p>
            <w:pPr>
              <w:spacing w:after="0"/>
            </w:pPr>
            <w:r/>
            <w:r>
              <w:rPr>
                <w:rFonts w:ascii="Aptos" w:hAnsi="Aptos"/>
                <w:b w:val="0"/>
                <w:sz w:val="16"/>
              </w:rPr>
              <w:t>Schedule, transportation, family communication, accessibility, working papers when applicable, emergency contacts, and support plans are resolved.</w:t>
            </w:r>
          </w:p>
        </w:tc>
      </w:tr>
      <w:tr>
        <w:trPr>
          <w:cantSplit/>
        </w:trPr>
        <w:tc>
          <w:tcPr>
            <w:tcW w:type="dxa" w:w="2736"/>
            <w:tcMar>
              <w:top w:w="90" w:type="dxa"/>
              <w:start w:w="90" w:type="dxa"/>
              <w:bottom w:w="90" w:type="dxa"/>
              <w:end w:w="90" w:type="dxa"/>
            </w:tcMar>
            <w:vAlign w:val="center"/>
            <w:shd w:fill="EAF2F8"/>
          </w:tcPr>
          <w:p>
            <w:pPr>
              <w:spacing w:after="0"/>
            </w:pPr>
            <w:r/>
            <w:r>
              <w:rPr>
                <w:rFonts w:ascii="Aptos" w:hAnsi="Aptos"/>
                <w:b w:val="0"/>
                <w:sz w:val="16"/>
              </w:rPr>
              <w:t>Approved training station</w:t>
            </w:r>
          </w:p>
        </w:tc>
        <w:tc>
          <w:tcPr>
            <w:tcW w:type="dxa" w:w="7344"/>
            <w:tcMar>
              <w:top w:w="90" w:type="dxa"/>
              <w:start w:w="90" w:type="dxa"/>
              <w:bottom w:w="90" w:type="dxa"/>
              <w:end w:w="90" w:type="dxa"/>
            </w:tcMar>
            <w:vAlign w:val="center"/>
            <w:shd w:fill="EAF2F8"/>
          </w:tcPr>
          <w:p>
            <w:pPr>
              <w:spacing w:after="0"/>
            </w:pPr>
            <w:r/>
            <w:r>
              <w:rPr>
                <w:rFonts w:ascii="Aptos" w:hAnsi="Aptos"/>
                <w:b w:val="0"/>
                <w:sz w:val="16"/>
              </w:rPr>
              <w:t>Site, mentor, duties, safety, schedule, supervision, communication, and district capacity are approved.</w:t>
            </w:r>
          </w:p>
        </w:tc>
      </w:tr>
      <w:tr>
        <w:trPr>
          <w:cantSplit/>
        </w:trPr>
        <w:tc>
          <w:tcPr>
            <w:tcW w:type="dxa" w:w="2736"/>
            <w:tcMar>
              <w:top w:w="90" w:type="dxa"/>
              <w:start w:w="90" w:type="dxa"/>
              <w:bottom w:w="90" w:type="dxa"/>
              <w:end w:w="90" w:type="dxa"/>
            </w:tcMar>
            <w:vAlign w:val="center"/>
            <w:shd w:fill="FFFFFF"/>
          </w:tcPr>
          <w:p>
            <w:pPr>
              <w:spacing w:after="0"/>
            </w:pPr>
            <w:r/>
            <w:r>
              <w:rPr>
                <w:rFonts w:ascii="Aptos" w:hAnsi="Aptos"/>
                <w:b w:val="0"/>
                <w:sz w:val="16"/>
              </w:rPr>
              <w:t>Agreement and training plan</w:t>
            </w:r>
          </w:p>
        </w:tc>
        <w:tc>
          <w:tcPr>
            <w:tcW w:type="dxa" w:w="7344"/>
            <w:tcMar>
              <w:top w:w="90" w:type="dxa"/>
              <w:start w:w="90" w:type="dxa"/>
              <w:bottom w:w="90" w:type="dxa"/>
              <w:end w:w="90" w:type="dxa"/>
            </w:tcMar>
            <w:vAlign w:val="center"/>
            <w:shd w:fill="FFFFFF"/>
          </w:tcPr>
          <w:p>
            <w:pPr>
              <w:spacing w:after="0"/>
            </w:pPr>
            <w:r/>
            <w:r>
              <w:rPr>
                <w:rFonts w:ascii="Aptos" w:hAnsi="Aptos"/>
                <w:b w:val="0"/>
                <w:sz w:val="16"/>
              </w:rPr>
              <w:t>Required participants complete the current approved records before the first counted hour.</w:t>
            </w:r>
          </w:p>
        </w:tc>
      </w:tr>
    </w:tbl>
    <w:p>
      <w:pPr>
        <w:spacing w:after="0"/>
      </w:pPr>
    </w:p>
    <w:p>
      <w:r>
        <w:t>A student who has completed Gateway 5 but does not yet have an approved site remains eligible for placement support. No hours are counted until the full prelaunch process is complete.</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Preparation Before Independence</w:t>
            </w:r>
          </w:p>
          <w:p>
            <w:pPr>
              <w:spacing w:after="0"/>
            </w:pPr>
            <w:r>
              <w:rPr>
                <w:sz w:val="18"/>
              </w:rPr>
              <w:t>Gateway 5 establishes educational readiness. Enrollment, placement, and counted hours still depend on site approval, support, records, schedule, transportation, and coordinator capacity.</w:t>
            </w:r>
          </w:p>
        </w:tc>
      </w:tr>
    </w:tbl>
    <w:p>
      <w:pPr>
        <w:spacing w:after="0"/>
      </w:pPr>
    </w:p>
    <w:p>
      <w:pPr>
        <w:pStyle w:val="Heading1"/>
      </w:pPr>
      <w:r>
        <w:t>Chapter 17: Training-Station Approval and Mentor Preparation</w:t>
      </w:r>
    </w:p>
    <w:p>
      <w:r>
        <w:t>A willing business is not automatically an approved training station. The coordinator reviews the complete learning arrangement and records approve, approve with conditions, hold for correction, or decline.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Quality area</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Approval question</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Lawful and safe work</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Are duties and hours lawful for the student's age and status, and are hazards controlled?</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Educational value</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Do duties connect to the student's goals and allow progression beyond repetitive entry tasks?</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Mentor</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Is a designated adult available, prepared, authorized, and willing to teach and communicate?</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Supervision</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Will the student receive direct, reliable supervision and backup when the mentor is absent?</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Food and workplace safety</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Are sanitation, allergens, equipment, emergency, injury, harassment, and reporting practices clear?</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Schedule and access</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Are time, transportation, communication, and approved supports workable?</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Feedback and records</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Will the mentor verify hours, provide required feedback, and notify the coordinator of changes?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Program capacity</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Can the coordinator monitor the site and respond to concerns at the required level?</w:t>
            </w:r>
          </w:p>
        </w:tc>
      </w:tr>
    </w:tbl>
    <w:p>
      <w:pPr>
        <w:spacing w:after="0"/>
      </w:pPr>
    </w:p>
    <w:p>
      <w:pPr>
        <w:pStyle w:val="Heading2"/>
      </w:pPr>
      <w:r>
        <w:t>Mentor Orientation</w:t>
      </w:r>
    </w:p>
    <w:p>
      <w:pPr>
        <w:pStyle w:val="ListBullet"/>
        <w:spacing w:after="40"/>
      </w:pPr>
      <w:r>
        <w:t>Purpose of the course and the student's status as a learner.</w:t>
      </w:r>
    </w:p>
    <w:p>
      <w:pPr>
        <w:pStyle w:val="ListBullet"/>
        <w:spacing w:after="40"/>
      </w:pPr>
      <w:r>
        <w:t>Approved duties, restricted duties, schedule, supervision, and progression.</w:t>
      </w:r>
    </w:p>
    <w:p>
      <w:pPr>
        <w:pStyle w:val="ListBullet"/>
        <w:spacing w:after="40"/>
      </w:pPr>
      <w:r>
        <w:t>How to demonstrate, coach, correct, and provide useful feedback.</w:t>
      </w:r>
    </w:p>
    <w:p>
      <w:pPr>
        <w:pStyle w:val="ListBullet"/>
        <w:spacing w:after="40"/>
      </w:pPr>
      <w:r>
        <w:t>Attendance, hour verification, confidentiality, customer contact, and schedule changes.</w:t>
      </w:r>
    </w:p>
    <w:p>
      <w:pPr>
        <w:pStyle w:val="ListBullet"/>
        <w:spacing w:after="40"/>
      </w:pPr>
      <w:r>
        <w:t>Safety, sanitation, emergency response, injury, harassment, discrimination, and stop-work procedures.</w:t>
      </w:r>
    </w:p>
    <w:p>
      <w:pPr>
        <w:pStyle w:val="ListBullet"/>
        <w:spacing w:after="40"/>
      </w:pPr>
      <w:r>
        <w:t>Midpoint and final evaluations, portfolio evidence, coordinator contacts, and change reporting.</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Learning Before Labor</w:t>
            </w:r>
          </w:p>
          <w:p>
            <w:pPr>
              <w:spacing w:after="0"/>
            </w:pPr>
            <w:r>
              <w:rPr>
                <w:sz w:val="18"/>
              </w:rPr>
              <w:t>Gratitude for a partner never replaces training-station quality review. The workplace must remain an instructional laboratory.</w:t>
            </w:r>
          </w:p>
        </w:tc>
      </w:tr>
    </w:tbl>
    <w:p>
      <w:pPr>
        <w:spacing w:after="0"/>
      </w:pPr>
    </w:p>
    <w:p>
      <w:pPr>
        <w:pStyle w:val="Heading1"/>
      </w:pPr>
      <w:r>
        <w:t>Chapter 18: Agreement, Training Plan, Orientation, and Launch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40"/>
            <w:tcMar>
              <w:top w:w="90" w:type="dxa"/>
              <w:start w:w="90" w:type="dxa"/>
              <w:bottom w:w="90" w:type="dxa"/>
              <w:end w:w="90" w:type="dxa"/>
            </w:tcMar>
            <w:vAlign w:val="center"/>
            <w:shd w:fill="1F4E78"/>
          </w:tcPr>
          <w:p>
            <w:pPr>
              <w:spacing w:after="0"/>
            </w:pPr>
            <w:r/>
            <w:r>
              <w:rPr>
                <w:rFonts w:ascii="Aptos" w:hAnsi="Aptos"/>
                <w:b/>
                <w:color w:val="FFFFFF"/>
                <w:sz w:val="17"/>
              </w:rPr>
              <w:t>Agreement establishes</w:t>
            </w:r>
          </w:p>
        </w:tc>
        <w:tc>
          <w:tcPr>
            <w:tcW w:type="dxa" w:w="5040"/>
            <w:tcMar>
              <w:top w:w="90" w:type="dxa"/>
              <w:start w:w="90" w:type="dxa"/>
              <w:bottom w:w="90" w:type="dxa"/>
              <w:end w:w="90" w:type="dxa"/>
            </w:tcMar>
            <w:vAlign w:val="center"/>
            <w:shd w:fill="1F4E78"/>
          </w:tcPr>
          <w:p>
            <w:pPr>
              <w:spacing w:after="0"/>
            </w:pPr>
            <w:r/>
            <w:r>
              <w:rPr>
                <w:rFonts w:ascii="Aptos" w:hAnsi="Aptos"/>
                <w:b/>
                <w:color w:val="FFFFFF"/>
                <w:sz w:val="17"/>
              </w:rPr>
              <w:t>Training plan establishes</w:t>
            </w:r>
          </w:p>
        </w:tc>
      </w:tr>
      <w:tr>
        <w:trPr>
          <w:cantSplit/>
        </w:trPr>
        <w:tc>
          <w:tcPr>
            <w:tcW w:type="dxa" w:w="5040"/>
            <w:tcMar>
              <w:top w:w="90" w:type="dxa"/>
              <w:start w:w="90" w:type="dxa"/>
              <w:bottom w:w="90" w:type="dxa"/>
              <w:end w:w="90" w:type="dxa"/>
            </w:tcMar>
            <w:vAlign w:val="center"/>
            <w:shd w:fill="EAF2F8"/>
          </w:tcPr>
          <w:p>
            <w:pPr>
              <w:spacing w:after="0"/>
            </w:pPr>
            <w:r/>
            <w:r>
              <w:rPr>
                <w:rFonts w:ascii="Aptos" w:hAnsi="Aptos"/>
                <w:b w:val="0"/>
                <w:sz w:val="16"/>
              </w:rPr>
              <w:t>Participants, contacts, location, dates, schedule, paid or unpaid status, transportation responsibility, attendance, safety, emergency response, confidentiality, evaluation, change, termination, and required signatures.</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Student goals, approved and restricted duties, technical and professional objectives, supervision, related instruction, feedback points, portfolio evidence, planned progression, supports, and closeout.</w:t>
            </w:r>
          </w:p>
        </w:tc>
      </w:tr>
    </w:tbl>
    <w:p>
      <w:pPr>
        <w:spacing w:after="0"/>
      </w:pPr>
    </w:p>
    <w:p>
      <w:pPr>
        <w:pStyle w:val="Heading2"/>
      </w:pPr>
      <w:r>
        <w:t>Launch Checklist</w:t>
      </w:r>
    </w:p>
    <w:p>
      <w:pPr>
        <w:spacing w:after="40"/>
        <w:ind w:left="259" w:hanging="259"/>
      </w:pPr>
      <w:r>
        <w:t>1. Confirm all approvals, signatures, contacts, and support arrangements.</w:t>
      </w:r>
    </w:p>
    <w:p>
      <w:pPr>
        <w:spacing w:after="40"/>
        <w:ind w:left="259" w:hanging="259"/>
      </w:pPr>
      <w:r>
        <w:t>2. Confirm first-day date, time, entrance, clothing, mentor, transportation, meal and break expectations, and required materials.</w:t>
      </w:r>
    </w:p>
    <w:p>
      <w:pPr>
        <w:spacing w:after="40"/>
        <w:ind w:left="259" w:hanging="259"/>
      </w:pPr>
      <w:r>
        <w:t>3. Review approved duties, restricted duties, emergency contacts, communication expectations, and stop-work procedure with the student.</w:t>
      </w:r>
    </w:p>
    <w:p>
      <w:pPr>
        <w:spacing w:after="40"/>
        <w:ind w:left="259" w:hanging="259"/>
      </w:pPr>
      <w:r>
        <w:t>4. Confirm the hour-recording method and first portfolio assignment.</w:t>
      </w:r>
    </w:p>
    <w:p>
      <w:pPr>
        <w:spacing w:after="40"/>
        <w:ind w:left="259" w:hanging="259"/>
      </w:pPr>
      <w:r>
        <w:t>5. Complete first-day confirmation and schedule the first student and mentor contacts.</w:t>
      </w:r>
    </w:p>
    <w:p>
      <w:pPr>
        <w:pStyle w:val="Heading1"/>
      </w:pPr>
      <w:r>
        <w:t>Chapter 19: The 300-Hour Requirement and Flexible Scheduling</w:t>
      </w:r>
    </w:p>
    <w:p>
      <w:r>
        <w:t>Gateway 6 requires 300 verified workplace hours. The 300-hour requirement is non-negotiable. A planning benchmark of approximately ten hours across thirty active workweeks may be used, but students are not required to complete exactly ten hours every calendar week.</w:t>
      </w:r>
    </w:p>
    <w:p>
      <w:r>
        <w:t>Hours may fluctuate across the approved full-year course window to accommodate seasonal schedules, school recesses, illness, site closures, transportation, and normal workplace variation, provided all labor-law, school, course, and supervision requirements are met and the student remains on a documented completion plan.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Record practice</w:t>
            </w:r>
          </w:p>
        </w:tc>
        <w:tc>
          <w:tcPr>
            <w:tcW w:type="dxa" w:w="7632"/>
            <w:tcMar>
              <w:top w:w="90" w:type="dxa"/>
              <w:start w:w="90" w:type="dxa"/>
              <w:bottom w:w="90" w:type="dxa"/>
              <w:end w:w="90" w:type="dxa"/>
            </w:tcMar>
            <w:vAlign w:val="center"/>
            <w:shd w:fill="1F4E78"/>
          </w:tcPr>
          <w:p>
            <w:pPr>
              <w:spacing w:after="0"/>
            </w:pPr>
            <w:r/>
            <w:r>
              <w:rPr>
                <w:rFonts w:ascii="Aptos" w:hAnsi="Aptos"/>
                <w:b/>
                <w:color w:val="FFFFFF"/>
                <w:sz w:val="17"/>
              </w:rPr>
              <w:t>Standard</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Student entry</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Record date, start, end, unpaid break when applicable, total hours, site, and brief duty summary.</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Mentor verification</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Verify hours through the approved process at the required frequency.</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Biweekly check-in</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Review the student's hour pace alongside assignments, duties, and concerns.</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Monthly reconciliation</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Student and coordinator compare workplace and school records and document a recovery plan when needed.</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Seasonal variation</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Allow approved heavier and lighter weeks while protecting school attendance, minor-work limits, and the course plan.</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Site change</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Hours already verified remain in the record; the new site completes the full approval and prelaunch process before additional hours count.</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Completion</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The coordinator confirms 300 verified hours before Gateway 6 is awarded.</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Hour Integrity Rule</w:t>
            </w:r>
          </w:p>
          <w:p>
            <w:pPr>
              <w:spacing w:after="0"/>
            </w:pPr>
            <w:r>
              <w:rPr>
                <w:sz w:val="18"/>
              </w:rPr>
              <w:t>Hours prove approved participation. They do not by themselves prove competency. Accurate hours and completed learning evidence are both required.</w:t>
            </w:r>
          </w:p>
        </w:tc>
      </w:tr>
    </w:tbl>
    <w:p>
      <w:pPr>
        <w:spacing w:after="0"/>
      </w:pPr>
    </w:p>
    <w:p>
      <w:pPr>
        <w:pStyle w:val="Heading1"/>
      </w:pPr>
      <w:r>
        <w:t>Chapter 20: Portfolio Assignment Calendar</w:t>
      </w:r>
    </w:p>
    <w:p>
      <w:r>
        <w:t>The portfolio develops across the full placement. The common core provides consistency; individualized evidence reflects the student's actual training plan. Assignment windows may shift to match the placement without changing the required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tcMar>
              <w:top w:w="90" w:type="dxa"/>
              <w:start w:w="90" w:type="dxa"/>
              <w:bottom w:w="90" w:type="dxa"/>
              <w:end w:w="90" w:type="dxa"/>
            </w:tcMar>
            <w:vAlign w:val="center"/>
            <w:shd w:fill="1F4E78"/>
          </w:tcPr>
          <w:p>
            <w:pPr>
              <w:spacing w:after="0"/>
            </w:pPr>
            <w:r/>
            <w:r>
              <w:rPr>
                <w:rFonts w:ascii="Aptos" w:hAnsi="Aptos"/>
                <w:b/>
                <w:color w:val="FFFFFF"/>
                <w:sz w:val="17"/>
              </w:rPr>
              <w:t>Suggested window</w:t>
            </w:r>
          </w:p>
        </w:tc>
        <w:tc>
          <w:tcPr>
            <w:tcW w:type="dxa" w:w="3672"/>
            <w:tcMar>
              <w:top w:w="90" w:type="dxa"/>
              <w:start w:w="90" w:type="dxa"/>
              <w:bottom w:w="90" w:type="dxa"/>
              <w:end w:w="90" w:type="dxa"/>
            </w:tcMar>
            <w:vAlign w:val="center"/>
            <w:shd w:fill="1F4E78"/>
          </w:tcPr>
          <w:p>
            <w:pPr>
              <w:spacing w:after="0"/>
            </w:pPr>
            <w:r/>
            <w:r>
              <w:rPr>
                <w:rFonts w:ascii="Aptos" w:hAnsi="Aptos"/>
                <w:b/>
                <w:color w:val="FFFFFF"/>
                <w:sz w:val="17"/>
              </w:rPr>
              <w:t>Common assignment</w:t>
            </w:r>
          </w:p>
        </w:tc>
        <w:tc>
          <w:tcPr>
            <w:tcW w:type="dxa" w:w="4896"/>
            <w:tcMar>
              <w:top w:w="90" w:type="dxa"/>
              <w:start w:w="90" w:type="dxa"/>
              <w:bottom w:w="90" w:type="dxa"/>
              <w:end w:w="90" w:type="dxa"/>
            </w:tcMar>
            <w:vAlign w:val="center"/>
            <w:shd w:fill="1F4E78"/>
          </w:tcPr>
          <w:p>
            <w:pPr>
              <w:spacing w:after="0"/>
            </w:pPr>
            <w:r/>
            <w:r>
              <w:rPr>
                <w:rFonts w:ascii="Aptos" w:hAnsi="Aptos"/>
                <w:b/>
                <w:color w:val="FFFFFF"/>
                <w:sz w:val="17"/>
              </w:rPr>
              <w:t>Operational evidence</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Launch</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1. Placement and workplace orientation</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Approved placement, expectations, contacts, and personal responsibilities.</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Weeks 2-4</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2. Workplace safety and professional expectations analysis</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Site-specific safety, conduct, reporting, and professional standards.</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Weeks 3-5</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3. Organizational chart and workplace roles</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How authority, communication, and departments function.</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Weeks 4-6</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4. Personal duties and training-plan goals</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Approved responsibilities, objectives, and expected progression.</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Weeks 6-8</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5. Communication and teamwork reflection</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Evidence of professional communication, teamwork, and response to feedback.</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Weeks 8-10</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6. Customer, guest, client, or stakeholder service analysis</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How the organization identifies and meets service expectations.</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Weeks 10-12</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7. Workplace problem-solving case</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A real problem, decision, response, outcome, and lesson.</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Weeks 12-15</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8. Quality-control or performance-standard analysis</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How the site defines, checks, and protects quality.</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Midyear</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9. Supervisor or mentor interview</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Professional pathway, workplace expectations, and industry advice.</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Midyear</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10. Midyear self-evaluation and goal revision</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Progress, evidence, gaps, feedback, and revised goals.</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Second half</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11. Evidence of increasing responsibility</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Approved growth in independence, complexity, leadership, or judgment.</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Second half</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12. Updated resume and professional portfolio</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Current duties, evidence, credentials, and professional presentation.</w:t>
            </w:r>
          </w:p>
        </w:tc>
      </w:tr>
      <w:tr>
        <w:trPr>
          <w:cantSplit/>
        </w:trPr>
        <w:tc>
          <w:tcPr>
            <w:tcW w:type="dxa" w:w="1512"/>
            <w:tcMar>
              <w:top w:w="90" w:type="dxa"/>
              <w:start w:w="90" w:type="dxa"/>
              <w:bottom w:w="90" w:type="dxa"/>
              <w:end w:w="90" w:type="dxa"/>
            </w:tcMar>
            <w:vAlign w:val="center"/>
            <w:shd w:fill="EAF2F8"/>
          </w:tcPr>
          <w:p>
            <w:pPr>
              <w:spacing w:after="0"/>
            </w:pPr>
            <w:r/>
            <w:r>
              <w:rPr>
                <w:rFonts w:ascii="Aptos" w:hAnsi="Aptos"/>
                <w:b w:val="0"/>
                <w:sz w:val="16"/>
              </w:rPr>
              <w:t>Final month</w:t>
            </w:r>
          </w:p>
        </w:tc>
        <w:tc>
          <w:tcPr>
            <w:tcW w:type="dxa" w:w="3672"/>
            <w:tcMar>
              <w:top w:w="90" w:type="dxa"/>
              <w:start w:w="90" w:type="dxa"/>
              <w:bottom w:w="90" w:type="dxa"/>
              <w:end w:w="90" w:type="dxa"/>
            </w:tcMar>
            <w:vAlign w:val="center"/>
            <w:shd w:fill="EAF2F8"/>
          </w:tcPr>
          <w:p>
            <w:pPr>
              <w:spacing w:after="0"/>
            </w:pPr>
            <w:r/>
            <w:r>
              <w:rPr>
                <w:rFonts w:ascii="Aptos" w:hAnsi="Aptos"/>
                <w:b w:val="0"/>
                <w:sz w:val="16"/>
              </w:rPr>
              <w:t>13. Final career-fit reflection</w:t>
            </w:r>
          </w:p>
        </w:tc>
        <w:tc>
          <w:tcPr>
            <w:tcW w:type="dxa" w:w="4896"/>
            <w:tcMar>
              <w:top w:w="90" w:type="dxa"/>
              <w:start w:w="90" w:type="dxa"/>
              <w:bottom w:w="90" w:type="dxa"/>
              <w:end w:w="90" w:type="dxa"/>
            </w:tcMar>
            <w:vAlign w:val="center"/>
            <w:shd w:fill="EAF2F8"/>
          </w:tcPr>
          <w:p>
            <w:pPr>
              <w:spacing w:after="0"/>
            </w:pPr>
            <w:r/>
            <w:r>
              <w:rPr>
                <w:rFonts w:ascii="Aptos" w:hAnsi="Aptos"/>
                <w:b w:val="0"/>
                <w:sz w:val="16"/>
              </w:rPr>
              <w:t>Career fit, continued development, postsecondary or employment direction.</w:t>
            </w:r>
          </w:p>
        </w:tc>
      </w:tr>
      <w:tr>
        <w:trPr>
          <w:cantSplit/>
        </w:trPr>
        <w:tc>
          <w:tcPr>
            <w:tcW w:type="dxa" w:w="1512"/>
            <w:tcMar>
              <w:top w:w="90" w:type="dxa"/>
              <w:start w:w="90" w:type="dxa"/>
              <w:bottom w:w="90" w:type="dxa"/>
              <w:end w:w="90" w:type="dxa"/>
            </w:tcMar>
            <w:vAlign w:val="center"/>
            <w:shd w:fill="FFFFFF"/>
          </w:tcPr>
          <w:p>
            <w:pPr>
              <w:spacing w:after="0"/>
            </w:pPr>
            <w:r/>
            <w:r>
              <w:rPr>
                <w:rFonts w:ascii="Aptos" w:hAnsi="Aptos"/>
                <w:b w:val="0"/>
                <w:sz w:val="16"/>
              </w:rPr>
              <w:t>Closeout</w:t>
            </w:r>
          </w:p>
        </w:tc>
        <w:tc>
          <w:tcPr>
            <w:tcW w:type="dxa" w:w="3672"/>
            <w:tcMar>
              <w:top w:w="90" w:type="dxa"/>
              <w:start w:w="90" w:type="dxa"/>
              <w:bottom w:w="90" w:type="dxa"/>
              <w:end w:w="90" w:type="dxa"/>
            </w:tcMar>
            <w:vAlign w:val="center"/>
            <w:shd w:fill="FFFFFF"/>
          </w:tcPr>
          <w:p>
            <w:pPr>
              <w:spacing w:after="0"/>
            </w:pPr>
            <w:r/>
            <w:r>
              <w:rPr>
                <w:rFonts w:ascii="Aptos" w:hAnsi="Aptos"/>
                <w:b w:val="0"/>
                <w:sz w:val="16"/>
              </w:rPr>
              <w:t>14. Final presentation or exit interview</w:t>
            </w:r>
          </w:p>
        </w:tc>
        <w:tc>
          <w:tcPr>
            <w:tcW w:type="dxa" w:w="4896"/>
            <w:tcMar>
              <w:top w:w="90" w:type="dxa"/>
              <w:start w:w="90" w:type="dxa"/>
              <w:bottom w:w="90" w:type="dxa"/>
              <w:end w:w="90" w:type="dxa"/>
            </w:tcMar>
            <w:vAlign w:val="center"/>
            <w:shd w:fill="FFFFFF"/>
          </w:tcPr>
          <w:p>
            <w:pPr>
              <w:spacing w:after="0"/>
            </w:pPr>
            <w:r/>
            <w:r>
              <w:rPr>
                <w:rFonts w:ascii="Aptos" w:hAnsi="Aptos"/>
                <w:b w:val="0"/>
                <w:sz w:val="16"/>
              </w:rPr>
              <w:t>Synthesis of learning, evidence, feedback, growth, and next steps.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Provide Clear Direction</w:t>
            </w:r>
          </w:p>
          <w:p>
            <w:pPr>
              <w:spacing w:after="0"/>
            </w:pPr>
            <w:r>
              <w:rPr>
                <w:sz w:val="18"/>
              </w:rPr>
              <w:t>At launch, students receive the assignment sequence, standards, submission method, review points, and revision process. The sequence is the accountability structure; separate weekly busywork is not added.</w:t>
            </w:r>
          </w:p>
        </w:tc>
      </w:tr>
    </w:tbl>
    <w:p>
      <w:pPr>
        <w:spacing w:after="0"/>
      </w:pPr>
    </w:p>
    <w:p>
      <w:pPr>
        <w:pStyle w:val="Heading1"/>
      </w:pPr>
      <w:r>
        <w:t>Chapter 21: Check-Ins, Mentor Contact, and Site Visits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Monitoring point</w:t>
            </w:r>
          </w:p>
        </w:tc>
        <w:tc>
          <w:tcPr>
            <w:tcW w:type="dxa" w:w="2088"/>
            <w:tcMar>
              <w:top w:w="90" w:type="dxa"/>
              <w:start w:w="90" w:type="dxa"/>
              <w:bottom w:w="90" w:type="dxa"/>
              <w:end w:w="90" w:type="dxa"/>
            </w:tcMar>
            <w:vAlign w:val="center"/>
            <w:shd w:fill="1F4E78"/>
          </w:tcPr>
          <w:p>
            <w:pPr>
              <w:spacing w:after="0"/>
            </w:pPr>
            <w:r/>
            <w:r>
              <w:rPr>
                <w:rFonts w:ascii="Aptos" w:hAnsi="Aptos"/>
                <w:b/>
                <w:color w:val="FFFFFF"/>
                <w:sz w:val="17"/>
              </w:rPr>
              <w:t>Normal cadence</w:t>
            </w:r>
          </w:p>
        </w:tc>
        <w:tc>
          <w:tcPr>
            <w:tcW w:type="dxa" w:w="5544"/>
            <w:tcMar>
              <w:top w:w="90" w:type="dxa"/>
              <w:start w:w="90" w:type="dxa"/>
              <w:bottom w:w="90" w:type="dxa"/>
              <w:end w:w="90" w:type="dxa"/>
            </w:tcMar>
            <w:vAlign w:val="center"/>
            <w:shd w:fill="1F4E78"/>
          </w:tcPr>
          <w:p>
            <w:pPr>
              <w:spacing w:after="0"/>
            </w:pPr>
            <w:r/>
            <w:r>
              <w:rPr>
                <w:rFonts w:ascii="Aptos" w:hAnsi="Aptos"/>
                <w:b/>
                <w:color w:val="FFFFFF"/>
                <w:sz w:val="17"/>
              </w:rPr>
              <w:t>Required focus</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Student check-in</w:t>
            </w:r>
          </w:p>
        </w:tc>
        <w:tc>
          <w:tcPr>
            <w:tcW w:type="dxa" w:w="2088"/>
            <w:tcMar>
              <w:top w:w="90" w:type="dxa"/>
              <w:start w:w="90" w:type="dxa"/>
              <w:bottom w:w="90" w:type="dxa"/>
              <w:end w:w="90" w:type="dxa"/>
            </w:tcMar>
            <w:vAlign w:val="center"/>
            <w:shd w:fill="EAF2F8"/>
          </w:tcPr>
          <w:p>
            <w:pPr>
              <w:spacing w:after="0"/>
            </w:pPr>
            <w:r/>
            <w:r>
              <w:rPr>
                <w:rFonts w:ascii="Aptos" w:hAnsi="Aptos"/>
                <w:b w:val="0"/>
                <w:sz w:val="16"/>
              </w:rPr>
              <w:t>Biweekly</w:t>
            </w:r>
          </w:p>
        </w:tc>
        <w:tc>
          <w:tcPr>
            <w:tcW w:type="dxa" w:w="5544"/>
            <w:tcMar>
              <w:top w:w="90" w:type="dxa"/>
              <w:start w:w="90" w:type="dxa"/>
              <w:bottom w:w="90" w:type="dxa"/>
              <w:end w:w="90" w:type="dxa"/>
            </w:tcMar>
            <w:vAlign w:val="center"/>
            <w:shd w:fill="EAF2F8"/>
          </w:tcPr>
          <w:p>
            <w:pPr>
              <w:spacing w:after="0"/>
            </w:pPr>
            <w:r/>
            <w:r>
              <w:rPr>
                <w:rFonts w:ascii="Aptos" w:hAnsi="Aptos"/>
                <w:b w:val="0"/>
                <w:sz w:val="16"/>
              </w:rPr>
              <w:t>Hours, attendance, duties, learning, feedback, assignment progress, concerns, and next goal.</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Increased student contact</w:t>
            </w:r>
          </w:p>
        </w:tc>
        <w:tc>
          <w:tcPr>
            <w:tcW w:type="dxa" w:w="2088"/>
            <w:tcMar>
              <w:top w:w="90" w:type="dxa"/>
              <w:start w:w="90" w:type="dxa"/>
              <w:bottom w:w="90" w:type="dxa"/>
              <w:end w:w="90" w:type="dxa"/>
            </w:tcMar>
            <w:vAlign w:val="center"/>
            <w:shd w:fill="FFFFFF"/>
          </w:tcPr>
          <w:p>
            <w:pPr>
              <w:spacing w:after="0"/>
            </w:pPr>
            <w:r/>
            <w:r>
              <w:rPr>
                <w:rFonts w:ascii="Aptos" w:hAnsi="Aptos"/>
                <w:b w:val="0"/>
                <w:sz w:val="16"/>
              </w:rPr>
              <w:t>Weekly when needed</w:t>
            </w:r>
          </w:p>
        </w:tc>
        <w:tc>
          <w:tcPr>
            <w:tcW w:type="dxa" w:w="5544"/>
            <w:tcMar>
              <w:top w:w="90" w:type="dxa"/>
              <w:start w:w="90" w:type="dxa"/>
              <w:bottom w:w="90" w:type="dxa"/>
              <w:end w:w="90" w:type="dxa"/>
            </w:tcMar>
            <w:vAlign w:val="center"/>
            <w:shd w:fill="FFFFFF"/>
          </w:tcPr>
          <w:p>
            <w:pPr>
              <w:spacing w:after="0"/>
            </w:pPr>
            <w:r/>
            <w:r>
              <w:rPr>
                <w:rFonts w:ascii="Aptos" w:hAnsi="Aptos"/>
                <w:b w:val="0"/>
                <w:sz w:val="16"/>
              </w:rPr>
              <w:t>Onboarding, placement change, attendance issue, safety concern, support plan, or corrective action.</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Formal student progress review</w:t>
            </w:r>
          </w:p>
        </w:tc>
        <w:tc>
          <w:tcPr>
            <w:tcW w:type="dxa" w:w="2088"/>
            <w:tcMar>
              <w:top w:w="90" w:type="dxa"/>
              <w:start w:w="90" w:type="dxa"/>
              <w:bottom w:w="90" w:type="dxa"/>
              <w:end w:w="90" w:type="dxa"/>
            </w:tcMar>
            <w:vAlign w:val="center"/>
            <w:shd w:fill="EAF2F8"/>
          </w:tcPr>
          <w:p>
            <w:pPr>
              <w:spacing w:after="0"/>
            </w:pPr>
            <w:r/>
            <w:r>
              <w:rPr>
                <w:rFonts w:ascii="Aptos" w:hAnsi="Aptos"/>
                <w:b w:val="0"/>
                <w:sz w:val="16"/>
              </w:rPr>
              <w:t>Monthly</w:t>
            </w:r>
          </w:p>
        </w:tc>
        <w:tc>
          <w:tcPr>
            <w:tcW w:type="dxa" w:w="5544"/>
            <w:tcMar>
              <w:top w:w="90" w:type="dxa"/>
              <w:start w:w="90" w:type="dxa"/>
              <w:bottom w:w="90" w:type="dxa"/>
              <w:end w:w="90" w:type="dxa"/>
            </w:tcMar>
            <w:vAlign w:val="center"/>
            <w:shd w:fill="EAF2F8"/>
          </w:tcPr>
          <w:p>
            <w:pPr>
              <w:spacing w:after="0"/>
            </w:pPr>
            <w:r/>
            <w:r>
              <w:rPr>
                <w:rFonts w:ascii="Aptos" w:hAnsi="Aptos"/>
                <w:b w:val="0"/>
                <w:sz w:val="16"/>
              </w:rPr>
              <w:t>Verified hours, training-plan goals, portfolio evidence, employer feedback, and required next steps.</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Mentor contact</w:t>
            </w:r>
          </w:p>
        </w:tc>
        <w:tc>
          <w:tcPr>
            <w:tcW w:type="dxa" w:w="2088"/>
            <w:tcMar>
              <w:top w:w="90" w:type="dxa"/>
              <w:start w:w="90" w:type="dxa"/>
              <w:bottom w:w="90" w:type="dxa"/>
              <w:end w:w="90" w:type="dxa"/>
            </w:tcMar>
            <w:vAlign w:val="center"/>
            <w:shd w:fill="FFFFFF"/>
          </w:tcPr>
          <w:p>
            <w:pPr>
              <w:spacing w:after="0"/>
            </w:pPr>
            <w:r/>
            <w:r>
              <w:rPr>
                <w:rFonts w:ascii="Aptos" w:hAnsi="Aptos"/>
                <w:b w:val="0"/>
                <w:sz w:val="16"/>
              </w:rPr>
              <w:t>At least monthly and whenever conditions change</w:t>
            </w:r>
          </w:p>
        </w:tc>
        <w:tc>
          <w:tcPr>
            <w:tcW w:type="dxa" w:w="5544"/>
            <w:tcMar>
              <w:top w:w="90" w:type="dxa"/>
              <w:start w:w="90" w:type="dxa"/>
              <w:bottom w:w="90" w:type="dxa"/>
              <w:end w:w="90" w:type="dxa"/>
            </w:tcMar>
            <w:vAlign w:val="center"/>
            <w:shd w:fill="FFFFFF"/>
          </w:tcPr>
          <w:p>
            <w:pPr>
              <w:spacing w:after="0"/>
            </w:pPr>
            <w:r/>
            <w:r>
              <w:rPr>
                <w:rFonts w:ascii="Aptos" w:hAnsi="Aptos"/>
                <w:b w:val="0"/>
                <w:sz w:val="16"/>
              </w:rPr>
              <w:t>Attendance, communication, supervision, duties, progress, support, changes, and upcoming evaluation.</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Site visit</w:t>
            </w:r>
          </w:p>
        </w:tc>
        <w:tc>
          <w:tcPr>
            <w:tcW w:type="dxa" w:w="2088"/>
            <w:tcMar>
              <w:top w:w="90" w:type="dxa"/>
              <w:start w:w="90" w:type="dxa"/>
              <w:bottom w:w="90" w:type="dxa"/>
              <w:end w:w="90" w:type="dxa"/>
            </w:tcMar>
            <w:vAlign w:val="center"/>
            <w:shd w:fill="EAF2F8"/>
          </w:tcPr>
          <w:p>
            <w:pPr>
              <w:spacing w:after="0"/>
            </w:pPr>
            <w:r/>
            <w:r>
              <w:rPr>
                <w:rFonts w:ascii="Aptos" w:hAnsi="Aptos"/>
                <w:b w:val="0"/>
                <w:sz w:val="16"/>
              </w:rPr>
              <w:t>Early, midpoint, final, and as needed</w:t>
            </w:r>
          </w:p>
        </w:tc>
        <w:tc>
          <w:tcPr>
            <w:tcW w:type="dxa" w:w="5544"/>
            <w:tcMar>
              <w:top w:w="90" w:type="dxa"/>
              <w:start w:w="90" w:type="dxa"/>
              <w:bottom w:w="90" w:type="dxa"/>
              <w:end w:w="90" w:type="dxa"/>
            </w:tcMar>
            <w:vAlign w:val="center"/>
            <w:shd w:fill="EAF2F8"/>
          </w:tcPr>
          <w:p>
            <w:pPr>
              <w:spacing w:after="0"/>
            </w:pPr>
            <w:r/>
            <w:r>
              <w:rPr>
                <w:rFonts w:ascii="Aptos" w:hAnsi="Aptos"/>
                <w:b w:val="0"/>
                <w:sz w:val="16"/>
              </w:rPr>
              <w:t>Student presence, supervision, safety, approved duties, pace, equipment, access, learning, and follow-up.</w:t>
            </w:r>
          </w:p>
        </w:tc>
      </w:tr>
      <w:tr>
        <w:trPr>
          <w:cantSplit/>
        </w:trPr>
        <w:tc>
          <w:tcPr>
            <w:tcW w:type="dxa" w:w="2448"/>
            <w:tcMar>
              <w:top w:w="90" w:type="dxa"/>
              <w:start w:w="90" w:type="dxa"/>
              <w:bottom w:w="90" w:type="dxa"/>
              <w:end w:w="90" w:type="dxa"/>
            </w:tcMar>
            <w:vAlign w:val="center"/>
            <w:shd w:fill="FFFFFF"/>
          </w:tcPr>
          <w:p>
            <w:pPr>
              <w:spacing w:after="0"/>
            </w:pPr>
            <w:r/>
            <w:r>
              <w:rPr>
                <w:rFonts w:ascii="Aptos" w:hAnsi="Aptos"/>
                <w:b w:val="0"/>
                <w:sz w:val="16"/>
              </w:rPr>
              <w:t>Portfolio review</w:t>
            </w:r>
          </w:p>
        </w:tc>
        <w:tc>
          <w:tcPr>
            <w:tcW w:type="dxa" w:w="2088"/>
            <w:tcMar>
              <w:top w:w="90" w:type="dxa"/>
              <w:start w:w="90" w:type="dxa"/>
              <w:bottom w:w="90" w:type="dxa"/>
              <w:end w:w="90" w:type="dxa"/>
            </w:tcMar>
            <w:vAlign w:val="center"/>
            <w:shd w:fill="FFFFFF"/>
          </w:tcPr>
          <w:p>
            <w:pPr>
              <w:spacing w:after="0"/>
            </w:pPr>
            <w:r/>
            <w:r>
              <w:rPr>
                <w:rFonts w:ascii="Aptos" w:hAnsi="Aptos"/>
                <w:b w:val="0"/>
                <w:sz w:val="16"/>
              </w:rPr>
              <w:t>Aligned to assignment windows and monthly review</w:t>
            </w:r>
          </w:p>
        </w:tc>
        <w:tc>
          <w:tcPr>
            <w:tcW w:type="dxa" w:w="5544"/>
            <w:tcMar>
              <w:top w:w="90" w:type="dxa"/>
              <w:start w:w="90" w:type="dxa"/>
              <w:bottom w:w="90" w:type="dxa"/>
              <w:end w:w="90" w:type="dxa"/>
            </w:tcMar>
            <w:vAlign w:val="center"/>
            <w:shd w:fill="FFFFFF"/>
          </w:tcPr>
          <w:p>
            <w:pPr>
              <w:spacing w:after="0"/>
            </w:pPr>
            <w:r/>
            <w:r>
              <w:rPr>
                <w:rFonts w:ascii="Aptos" w:hAnsi="Aptos"/>
                <w:b w:val="0"/>
                <w:sz w:val="16"/>
              </w:rPr>
              <w:t>Accuracy, authenticity, growth, alignment, feedback, and missing evidence.</w:t>
            </w:r>
          </w:p>
        </w:tc>
      </w:tr>
      <w:tr>
        <w:trPr>
          <w:cantSplit/>
        </w:trPr>
        <w:tc>
          <w:tcPr>
            <w:tcW w:type="dxa" w:w="2448"/>
            <w:tcMar>
              <w:top w:w="90" w:type="dxa"/>
              <w:start w:w="90" w:type="dxa"/>
              <w:bottom w:w="90" w:type="dxa"/>
              <w:end w:w="90" w:type="dxa"/>
            </w:tcMar>
            <w:vAlign w:val="center"/>
            <w:shd w:fill="EAF2F8"/>
          </w:tcPr>
          <w:p>
            <w:pPr>
              <w:spacing w:after="0"/>
            </w:pPr>
            <w:r/>
            <w:r>
              <w:rPr>
                <w:rFonts w:ascii="Aptos" w:hAnsi="Aptos"/>
                <w:b w:val="0"/>
                <w:sz w:val="16"/>
              </w:rPr>
              <w:t>Follow-up</w:t>
            </w:r>
          </w:p>
        </w:tc>
        <w:tc>
          <w:tcPr>
            <w:tcW w:type="dxa" w:w="2088"/>
            <w:tcMar>
              <w:top w:w="90" w:type="dxa"/>
              <w:start w:w="90" w:type="dxa"/>
              <w:bottom w:w="90" w:type="dxa"/>
              <w:end w:w="90" w:type="dxa"/>
            </w:tcMar>
            <w:vAlign w:val="center"/>
            <w:shd w:fill="EAF2F8"/>
          </w:tcPr>
          <w:p>
            <w:pPr>
              <w:spacing w:after="0"/>
            </w:pPr>
            <w:r/>
            <w:r>
              <w:rPr>
                <w:rFonts w:ascii="Aptos" w:hAnsi="Aptos"/>
                <w:b w:val="0"/>
                <w:sz w:val="16"/>
              </w:rPr>
              <w:t>By the assigned date</w:t>
            </w:r>
          </w:p>
        </w:tc>
        <w:tc>
          <w:tcPr>
            <w:tcW w:type="dxa" w:w="5544"/>
            <w:tcMar>
              <w:top w:w="90" w:type="dxa"/>
              <w:start w:w="90" w:type="dxa"/>
              <w:bottom w:w="90" w:type="dxa"/>
              <w:end w:w="90" w:type="dxa"/>
            </w:tcMar>
            <w:vAlign w:val="center"/>
            <w:shd w:fill="EAF2F8"/>
          </w:tcPr>
          <w:p>
            <w:pPr>
              <w:spacing w:after="0"/>
            </w:pPr>
            <w:r/>
            <w:r>
              <w:rPr>
                <w:rFonts w:ascii="Aptos" w:hAnsi="Aptos"/>
                <w:b w:val="0"/>
                <w:sz w:val="16"/>
              </w:rPr>
              <w:t>Owner, action, deadline, completion evidence, and decision.</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Inspect What You Expect</w:t>
            </w:r>
          </w:p>
          <w:p>
            <w:pPr>
              <w:spacing w:after="0"/>
            </w:pPr>
            <w:r>
              <w:rPr>
                <w:sz w:val="18"/>
              </w:rPr>
              <w:t>A contact or visit is complete when the observation, conversations, decision, follow-up, and record are sufficient for the purpose - not merely when contact occurs.</w:t>
            </w:r>
          </w:p>
        </w:tc>
      </w:tr>
    </w:tbl>
    <w:p>
      <w:pPr>
        <w:spacing w:after="0"/>
      </w:pPr>
    </w:p>
    <w:p>
      <w:pPr>
        <w:pStyle w:val="Heading1"/>
      </w:pPr>
      <w:r>
        <w:t>Chapter 22: Midpoint, Final Evaluation, and Gateway 6</w:t>
      </w:r>
    </w:p>
    <w:p>
      <w:r>
        <w:t>Employer feedback is important evidence. The credentialed WBL Coordinator remains solely responsible for the final standards-based course evaluation and Gateway 6 decision. Book Two controls the assessment strands, weightings, critical thresholds, and scoring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Evidence source</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Operational use</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Workplace performance</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Demonstrates technical transfer, professional conduct, reliability, communication, problem solving, and safe practice.</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Portfolio</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Documents the common assignments, individualized evidence, feedback, and reflection.</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Employer evaluation</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Provides direct workplace observation and feedback.</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Coordinator evaluation</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Integrates visits, check-ins, records, portfolio, and standards.</w:t>
            </w:r>
          </w:p>
        </w:tc>
      </w:tr>
      <w:tr>
        <w:trPr>
          <w:cantSplit/>
        </w:trPr>
        <w:tc>
          <w:tcPr>
            <w:tcW w:type="dxa" w:w="2592"/>
            <w:tcMar>
              <w:top w:w="90" w:type="dxa"/>
              <w:start w:w="90" w:type="dxa"/>
              <w:bottom w:w="90" w:type="dxa"/>
              <w:end w:w="90" w:type="dxa"/>
            </w:tcMar>
            <w:vAlign w:val="center"/>
            <w:shd w:fill="EAF2F8"/>
          </w:tcPr>
          <w:p>
            <w:pPr>
              <w:spacing w:after="0"/>
            </w:pPr>
            <w:r/>
            <w:r>
              <w:rPr>
                <w:rFonts w:ascii="Aptos" w:hAnsi="Aptos"/>
                <w:b w:val="0"/>
                <w:sz w:val="16"/>
              </w:rPr>
              <w:t>Student self-evaluation</w:t>
            </w:r>
          </w:p>
        </w:tc>
        <w:tc>
          <w:tcPr>
            <w:tcW w:type="dxa" w:w="7488"/>
            <w:tcMar>
              <w:top w:w="90" w:type="dxa"/>
              <w:start w:w="90" w:type="dxa"/>
              <w:bottom w:w="90" w:type="dxa"/>
              <w:end w:w="90" w:type="dxa"/>
            </w:tcMar>
            <w:vAlign w:val="center"/>
            <w:shd w:fill="EAF2F8"/>
          </w:tcPr>
          <w:p>
            <w:pPr>
              <w:spacing w:after="0"/>
            </w:pPr>
            <w:r/>
            <w:r>
              <w:rPr>
                <w:rFonts w:ascii="Aptos" w:hAnsi="Aptos"/>
                <w:b w:val="0"/>
                <w:sz w:val="16"/>
              </w:rPr>
              <w:t>Explains learning, response to feedback, growth, and next steps.</w:t>
            </w:r>
          </w:p>
        </w:tc>
      </w:tr>
      <w:tr>
        <w:trPr>
          <w:cantSplit/>
        </w:trPr>
        <w:tc>
          <w:tcPr>
            <w:tcW w:type="dxa" w:w="2592"/>
            <w:tcMar>
              <w:top w:w="90" w:type="dxa"/>
              <w:start w:w="90" w:type="dxa"/>
              <w:bottom w:w="90" w:type="dxa"/>
              <w:end w:w="90" w:type="dxa"/>
            </w:tcMar>
            <w:vAlign w:val="center"/>
            <w:shd w:fill="FFFFFF"/>
          </w:tcPr>
          <w:p>
            <w:pPr>
              <w:spacing w:after="0"/>
            </w:pPr>
            <w:r/>
            <w:r>
              <w:rPr>
                <w:rFonts w:ascii="Aptos" w:hAnsi="Aptos"/>
                <w:b w:val="0"/>
                <w:sz w:val="16"/>
              </w:rPr>
              <w:t>Final presentation or exit interview</w:t>
            </w:r>
          </w:p>
        </w:tc>
        <w:tc>
          <w:tcPr>
            <w:tcW w:type="dxa" w:w="7488"/>
            <w:tcMar>
              <w:top w:w="90" w:type="dxa"/>
              <w:start w:w="90" w:type="dxa"/>
              <w:bottom w:w="90" w:type="dxa"/>
              <w:end w:w="90" w:type="dxa"/>
            </w:tcMar>
            <w:vAlign w:val="center"/>
            <w:shd w:fill="FFFFFF"/>
          </w:tcPr>
          <w:p>
            <w:pPr>
              <w:spacing w:after="0"/>
            </w:pPr>
            <w:r/>
            <w:r>
              <w:rPr>
                <w:rFonts w:ascii="Aptos" w:hAnsi="Aptos"/>
                <w:b w:val="0"/>
                <w:sz w:val="16"/>
              </w:rPr>
              <w:t>Demonstrates professional communication and synthesis of the experience.</w:t>
            </w:r>
          </w:p>
        </w:tc>
      </w:tr>
    </w:tbl>
    <w:p>
      <w:pPr>
        <w:spacing w:after="0"/>
      </w:pPr>
    </w:p>
    <w:p>
      <w:pPr>
        <w:pStyle w:val="Heading2"/>
      </w:pPr>
      <w:r>
        <w:t>Gateway 6 Completion Check</w:t>
      </w:r>
    </w:p>
    <w:p>
      <w:pPr>
        <w:pStyle w:val="ListBullet"/>
        <w:spacing w:after="40"/>
      </w:pPr>
      <w:r>
        <w:t>300 verified workplace hours are complete.</w:t>
      </w:r>
    </w:p>
    <w:p>
      <w:pPr>
        <w:pStyle w:val="ListBullet"/>
        <w:spacing w:after="40"/>
      </w:pPr>
      <w:r>
        <w:t>The required portfolio is complete and acceptable.</w:t>
      </w:r>
    </w:p>
    <w:p>
      <w:pPr>
        <w:pStyle w:val="ListBullet"/>
        <w:spacing w:after="40"/>
      </w:pPr>
      <w:r>
        <w:t>The employer evaluation is received or the authorized alternate documentation process is complete.</w:t>
      </w:r>
    </w:p>
    <w:p>
      <w:pPr>
        <w:pStyle w:val="ListBullet"/>
        <w:spacing w:after="40"/>
      </w:pPr>
      <w:r>
        <w:t>The coordinator evaluation is complete.</w:t>
      </w:r>
    </w:p>
    <w:p>
      <w:pPr>
        <w:pStyle w:val="ListBullet"/>
        <w:spacing w:after="40"/>
      </w:pPr>
      <w:r>
        <w:t>The final presentation or exit interview is complete.</w:t>
      </w:r>
    </w:p>
    <w:p>
      <w:pPr>
        <w:pStyle w:val="ListBullet"/>
        <w:spacing w:after="40"/>
      </w:pPr>
      <w:r>
        <w:t>Critical safety, professional conduct, integrity, and program conditions are resolved.</w:t>
      </w:r>
    </w:p>
    <w:p>
      <w:pPr>
        <w:pStyle w:val="ListBullet"/>
        <w:spacing w:after="40"/>
      </w:pPr>
      <w:r>
        <w:t>The coordinator records Gateway 6 in the Culinary Passport.</w:t>
      </w:r>
    </w:p>
    <w:p>
      <w:pPr>
        <w:pStyle w:val="PartTitle"/>
      </w:pPr>
      <w:r>
        <w:t>PART V</w:t>
        <w:br/>
        <w:t>Safety, Records, and Stewardship</w:t>
      </w:r>
    </w:p>
    <w:p>
      <w:pPr>
        <w:pStyle w:val="Heading3"/>
      </w:pPr>
      <w:r>
        <w:t>Protect people first, communicate early, maintain one authoritative record, and improve the operation each year.</w:t>
      </w:r>
    </w:p>
    <w:p>
      <w:pPr>
        <w:pStyle w:val="Heading1"/>
      </w:pPr>
      <w:r>
        <w:t>Chapter 23: Stop-Work and Immediate Safety Response</w:t>
      </w:r>
    </w:p>
    <w:p>
      <w:r>
        <w:t>Students have the authority and responsibility to stop an unsafe, prohibited, unapproved, unsupported, or seriously concerning task and seek help. A good-faith stop-work decision is a safety action, not insubordination.</w:t>
      </w:r>
    </w:p>
    <w:p>
      <w:pPr>
        <w:spacing w:after="40"/>
        <w:ind w:left="259" w:hanging="259"/>
      </w:pPr>
      <w:r>
        <w:t>1. Move away from immediate danger and obtain emergency assistance according to site and district procedure.</w:t>
      </w:r>
    </w:p>
    <w:p>
      <w:pPr>
        <w:spacing w:after="40"/>
        <w:ind w:left="259" w:hanging="259"/>
      </w:pPr>
      <w:r>
        <w:t>2. Notify the mentor or nearest responsible adult unless doing so would increase risk.</w:t>
      </w:r>
    </w:p>
    <w:p>
      <w:pPr>
        <w:spacing w:after="40"/>
        <w:ind w:left="259" w:hanging="259"/>
      </w:pPr>
      <w:r>
        <w:t>3. Contact the Work-Based Learning Coordinator or designated district backup as soon as possible.</w:t>
      </w:r>
    </w:p>
    <w:p>
      <w:pPr>
        <w:spacing w:after="40"/>
        <w:ind w:left="259" w:hanging="259"/>
      </w:pPr>
      <w:r>
        <w:t>4. Notify administration, family, nurse, emergency services, risk management, law enforcement, or other authorized roles as required.</w:t>
      </w:r>
    </w:p>
    <w:p>
      <w:pPr>
        <w:spacing w:after="40"/>
        <w:ind w:left="259" w:hanging="259"/>
      </w:pPr>
      <w:r>
        <w:t>5. Preserve facts and records; do not require the student to investigate the concern.</w:t>
      </w:r>
    </w:p>
    <w:p>
      <w:pPr>
        <w:spacing w:after="40"/>
        <w:ind w:left="259" w:hanging="259"/>
      </w:pPr>
      <w:r>
        <w:t>6. Resume only after an authorized review confirms the conditions for continuation.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No Retaliation</w:t>
            </w:r>
          </w:p>
          <w:p>
            <w:pPr>
              <w:spacing w:after="0"/>
            </w:pPr>
            <w:r>
              <w:rPr>
                <w:sz w:val="18"/>
              </w:rPr>
              <w:t>Students may report injury, unsafe work, harassment, discrimination, prohibited duties, missing supervision, or serious concerns without retaliation.</w:t>
            </w:r>
          </w:p>
        </w:tc>
      </w:tr>
    </w:tbl>
    <w:p>
      <w:pPr>
        <w:spacing w:after="0"/>
      </w:pPr>
    </w:p>
    <w:p>
      <w:pPr>
        <w:pStyle w:val="Heading1"/>
      </w:pPr>
      <w:r>
        <w:t>Chapter 24: Concerns, Corrective Action, and Placement Change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Decision</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Operational use</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Continue</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Approved conditions remain in place.</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Continue with monitoring</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The experience remains active with stated action, support, and a review date.</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Modify</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Duties, schedule, supervision, support, or training plan changes before continuation.</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Pause</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Participation stops temporarily until stated conditions are corrected and verified.</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Reassign</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The current match ends and another approved site is pursued when appropriate.</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End</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The experience closes because continuation is unsafe, unlawful, unsupported, educationally weak, unavailable, or otherwise not approved.</w:t>
            </w:r>
          </w:p>
        </w:tc>
      </w:tr>
    </w:tbl>
    <w:p>
      <w:pPr>
        <w:spacing w:after="0"/>
      </w:pPr>
    </w:p>
    <w:p>
      <w:r>
        <w:t>A weak training station is not recorded as student failure. Student performance and site quality remain separate decisions even when the same event produces evidence for both.</w:t>
      </w:r>
    </w:p>
    <w:p>
      <w:pPr>
        <w:pStyle w:val="Heading1"/>
      </w:pPr>
      <w:r>
        <w:t>Chapter 25: Communication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Audience</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Required communication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Student</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Purpose, status, next step, duties, schedule, feedback, concern process, changes, and closeout.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Family</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Purpose, schedule, transportation, contacts, permission or acknowledgment, supports, changes, concerns, and closeout as appropriate.</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Employer mentor</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Duties, restrictions, supervision, schedule, feedback, safety, communication, changes, visits, evaluations, and closeout.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Culinary teacher</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Gateway status, curriculum connection, student evidence, support, Cottage or WBL schedule, and transition.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Support staff</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Only the information required to provide the approved support.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Administration</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Capacity, unresolved approval, significant concern, safety or legal escalation, records gap, and operational summary.</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Client or public audience</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Only approved and verified program information that protects student privacy and district interests.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Provide Clear Direction</w:t>
            </w:r>
          </w:p>
          <w:p>
            <w:pPr>
              <w:spacing w:after="0"/>
            </w:pPr>
            <w:r>
              <w:rPr>
                <w:sz w:val="18"/>
              </w:rPr>
              <w:t>Every consequential communication states the purpose, current status, responsible person, required action, due date, and next review point.</w:t>
            </w:r>
          </w:p>
        </w:tc>
      </w:tr>
    </w:tbl>
    <w:p>
      <w:pPr>
        <w:spacing w:after="0"/>
      </w:pPr>
    </w:p>
    <w:p>
      <w:pPr>
        <w:pStyle w:val="Heading1"/>
      </w:pPr>
      <w:r>
        <w:t>Chapter 26: Record Hierarchy and Privacy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tcMar>
              <w:top w:w="90" w:type="dxa"/>
              <w:start w:w="90" w:type="dxa"/>
              <w:bottom w:w="90" w:type="dxa"/>
              <w:end w:w="90" w:type="dxa"/>
            </w:tcMar>
            <w:vAlign w:val="center"/>
            <w:shd w:fill="1F4E78"/>
          </w:tcPr>
          <w:p>
            <w:pPr>
              <w:spacing w:after="0"/>
            </w:pPr>
            <w:r/>
            <w:r>
              <w:rPr>
                <w:rFonts w:ascii="Aptos" w:hAnsi="Aptos"/>
                <w:b/>
                <w:color w:val="FFFFFF"/>
                <w:sz w:val="17"/>
              </w:rPr>
              <w:t>Record</w:t>
            </w:r>
          </w:p>
        </w:tc>
        <w:tc>
          <w:tcPr>
            <w:tcW w:type="dxa" w:w="4680"/>
            <w:tcMar>
              <w:top w:w="90" w:type="dxa"/>
              <w:start w:w="90" w:type="dxa"/>
              <w:bottom w:w="90" w:type="dxa"/>
              <w:end w:w="90" w:type="dxa"/>
            </w:tcMar>
            <w:vAlign w:val="center"/>
            <w:shd w:fill="1F4E78"/>
          </w:tcPr>
          <w:p>
            <w:pPr>
              <w:spacing w:after="0"/>
            </w:pPr>
            <w:r/>
            <w:r>
              <w:rPr>
                <w:rFonts w:ascii="Aptos" w:hAnsi="Aptos"/>
                <w:b/>
                <w:color w:val="FFFFFF"/>
                <w:sz w:val="17"/>
              </w:rPr>
              <w:t>Primary purpose</w:t>
            </w:r>
          </w:p>
        </w:tc>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Owner</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Course gradebook</w:t>
            </w:r>
          </w:p>
        </w:tc>
        <w:tc>
          <w:tcPr>
            <w:tcW w:type="dxa" w:w="4680"/>
            <w:tcMar>
              <w:top w:w="90" w:type="dxa"/>
              <w:start w:w="90" w:type="dxa"/>
              <w:bottom w:w="90" w:type="dxa"/>
              <w:end w:w="90" w:type="dxa"/>
            </w:tcMar>
            <w:vAlign w:val="center"/>
            <w:shd w:fill="EAF2F8"/>
          </w:tcPr>
          <w:p>
            <w:pPr>
              <w:spacing w:after="0"/>
            </w:pPr>
            <w:r/>
            <w:r>
              <w:rPr>
                <w:rFonts w:ascii="Aptos" w:hAnsi="Aptos"/>
                <w:b w:val="0"/>
                <w:sz w:val="16"/>
              </w:rPr>
              <w:t>Report course achievement.</w:t>
            </w:r>
          </w:p>
        </w:tc>
        <w:tc>
          <w:tcPr>
            <w:tcW w:type="dxa" w:w="2448"/>
            <w:tcMar>
              <w:top w:w="90" w:type="dxa"/>
              <w:start w:w="90" w:type="dxa"/>
              <w:bottom w:w="90" w:type="dxa"/>
              <w:end w:w="90" w:type="dxa"/>
            </w:tcMar>
            <w:vAlign w:val="center"/>
            <w:shd w:fill="EAF2F8"/>
          </w:tcPr>
          <w:p>
            <w:pPr>
              <w:spacing w:after="0"/>
            </w:pPr>
            <w:r/>
            <w:r>
              <w:rPr>
                <w:rFonts w:ascii="Aptos" w:hAnsi="Aptos"/>
                <w:b w:val="0"/>
                <w:sz w:val="16"/>
              </w:rPr>
              <w:t>Assigned teacher or coordinator.</w:t>
            </w:r>
          </w:p>
        </w:tc>
      </w:tr>
      <w:tr>
        <w:trPr>
          <w:cantSplit/>
        </w:trPr>
        <w:tc>
          <w:tcPr>
            <w:tcW w:type="dxa" w:w="2952"/>
            <w:tcMar>
              <w:top w:w="90" w:type="dxa"/>
              <w:start w:w="90" w:type="dxa"/>
              <w:bottom w:w="90" w:type="dxa"/>
              <w:end w:w="90" w:type="dxa"/>
            </w:tcMar>
            <w:vAlign w:val="center"/>
            <w:shd w:fill="FFFFFF"/>
          </w:tcPr>
          <w:p>
            <w:pPr>
              <w:spacing w:after="0"/>
            </w:pPr>
            <w:r/>
            <w:r>
              <w:rPr>
                <w:rFonts w:ascii="Aptos" w:hAnsi="Aptos"/>
                <w:b w:val="0"/>
                <w:sz w:val="16"/>
              </w:rPr>
              <w:t>Culinary Employability Profile</w:t>
            </w:r>
          </w:p>
        </w:tc>
        <w:tc>
          <w:tcPr>
            <w:tcW w:type="dxa" w:w="4680"/>
            <w:tcMar>
              <w:top w:w="90" w:type="dxa"/>
              <w:start w:w="90" w:type="dxa"/>
              <w:bottom w:w="90" w:type="dxa"/>
              <w:end w:w="90" w:type="dxa"/>
            </w:tcMar>
            <w:vAlign w:val="center"/>
            <w:shd w:fill="FFFFFF"/>
          </w:tcPr>
          <w:p>
            <w:pPr>
              <w:spacing w:after="0"/>
            </w:pPr>
            <w:r/>
            <w:r>
              <w:rPr>
                <w:rFonts w:ascii="Aptos" w:hAnsi="Aptos"/>
                <w:b w:val="0"/>
                <w:sz w:val="16"/>
              </w:rPr>
              <w:t>Record longitudinal technical and professional development.</w:t>
            </w:r>
          </w:p>
        </w:tc>
        <w:tc>
          <w:tcPr>
            <w:tcW w:type="dxa" w:w="2448"/>
            <w:tcMar>
              <w:top w:w="90" w:type="dxa"/>
              <w:start w:w="90" w:type="dxa"/>
              <w:bottom w:w="90" w:type="dxa"/>
              <w:end w:w="90" w:type="dxa"/>
            </w:tcMar>
            <w:vAlign w:val="center"/>
            <w:shd w:fill="FFFFFF"/>
          </w:tcPr>
          <w:p>
            <w:pPr>
              <w:spacing w:after="0"/>
            </w:pPr>
            <w:r/>
            <w:r>
              <w:rPr>
                <w:rFonts w:ascii="Aptos" w:hAnsi="Aptos"/>
                <w:b w:val="0"/>
                <w:sz w:val="16"/>
              </w:rPr>
              <w:t>Assigned teacher or evaluator.</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Culinary Passport</w:t>
            </w:r>
          </w:p>
        </w:tc>
        <w:tc>
          <w:tcPr>
            <w:tcW w:type="dxa" w:w="4680"/>
            <w:tcMar>
              <w:top w:w="90" w:type="dxa"/>
              <w:start w:w="90" w:type="dxa"/>
              <w:bottom w:w="90" w:type="dxa"/>
              <w:end w:w="90" w:type="dxa"/>
            </w:tcMar>
            <w:vAlign w:val="center"/>
            <w:shd w:fill="EAF2F8"/>
          </w:tcPr>
          <w:p>
            <w:pPr>
              <w:spacing w:after="0"/>
            </w:pPr>
            <w:r/>
            <w:r>
              <w:rPr>
                <w:rFonts w:ascii="Aptos" w:hAnsi="Aptos"/>
                <w:b w:val="0"/>
                <w:sz w:val="16"/>
              </w:rPr>
              <w:t>Record verified Gateway status and progression.</w:t>
            </w:r>
          </w:p>
        </w:tc>
        <w:tc>
          <w:tcPr>
            <w:tcW w:type="dxa" w:w="2448"/>
            <w:tcMar>
              <w:top w:w="90" w:type="dxa"/>
              <w:start w:w="90" w:type="dxa"/>
              <w:bottom w:w="90" w:type="dxa"/>
              <w:end w:w="90" w:type="dxa"/>
            </w:tcMar>
            <w:vAlign w:val="center"/>
            <w:shd w:fill="EAF2F8"/>
          </w:tcPr>
          <w:p>
            <w:pPr>
              <w:spacing w:after="0"/>
            </w:pPr>
            <w:r/>
            <w:r>
              <w:rPr>
                <w:rFonts w:ascii="Aptos" w:hAnsi="Aptos"/>
                <w:b w:val="0"/>
                <w:sz w:val="16"/>
              </w:rPr>
              <w:t>Assigned Gateway verifier.</w:t>
            </w:r>
          </w:p>
        </w:tc>
      </w:tr>
      <w:tr>
        <w:trPr>
          <w:cantSplit/>
        </w:trPr>
        <w:tc>
          <w:tcPr>
            <w:tcW w:type="dxa" w:w="2952"/>
            <w:tcMar>
              <w:top w:w="90" w:type="dxa"/>
              <w:start w:w="90" w:type="dxa"/>
              <w:bottom w:w="90" w:type="dxa"/>
              <w:end w:w="90" w:type="dxa"/>
            </w:tcMar>
            <w:vAlign w:val="center"/>
            <w:shd w:fill="FFFFFF"/>
          </w:tcPr>
          <w:p>
            <w:pPr>
              <w:spacing w:after="0"/>
            </w:pPr>
            <w:r/>
            <w:r>
              <w:rPr>
                <w:rFonts w:ascii="Aptos" w:hAnsi="Aptos"/>
                <w:b w:val="0"/>
                <w:sz w:val="16"/>
              </w:rPr>
              <w:t>Cottage event record</w:t>
            </w:r>
          </w:p>
        </w:tc>
        <w:tc>
          <w:tcPr>
            <w:tcW w:type="dxa" w:w="4680"/>
            <w:tcMar>
              <w:top w:w="90" w:type="dxa"/>
              <w:start w:w="90" w:type="dxa"/>
              <w:bottom w:w="90" w:type="dxa"/>
              <w:end w:w="90" w:type="dxa"/>
            </w:tcMar>
            <w:vAlign w:val="center"/>
            <w:shd w:fill="FFFFFF"/>
          </w:tcPr>
          <w:p>
            <w:pPr>
              <w:spacing w:after="0"/>
            </w:pPr>
            <w:r/>
            <w:r>
              <w:rPr>
                <w:rFonts w:ascii="Aptos" w:hAnsi="Aptos"/>
                <w:b w:val="0"/>
                <w:sz w:val="16"/>
              </w:rPr>
              <w:t>Document request, approval, plan, safety, finance, evidence, feedback, and closeout.</w:t>
            </w:r>
          </w:p>
        </w:tc>
        <w:tc>
          <w:tcPr>
            <w:tcW w:type="dxa" w:w="2448"/>
            <w:tcMar>
              <w:top w:w="90" w:type="dxa"/>
              <w:start w:w="90" w:type="dxa"/>
              <w:bottom w:w="90" w:type="dxa"/>
              <w:end w:w="90" w:type="dxa"/>
            </w:tcMar>
            <w:vAlign w:val="center"/>
            <w:shd w:fill="FFFFFF"/>
          </w:tcPr>
          <w:p>
            <w:pPr>
              <w:spacing w:after="0"/>
            </w:pPr>
            <w:r/>
            <w:r>
              <w:rPr>
                <w:rFonts w:ascii="Aptos" w:hAnsi="Aptos"/>
                <w:b w:val="0"/>
                <w:sz w:val="16"/>
              </w:rPr>
              <w:t>Assigned culinary teacher.</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External WBL agreement and training plan</w:t>
            </w:r>
          </w:p>
        </w:tc>
        <w:tc>
          <w:tcPr>
            <w:tcW w:type="dxa" w:w="4680"/>
            <w:tcMar>
              <w:top w:w="90" w:type="dxa"/>
              <w:start w:w="90" w:type="dxa"/>
              <w:bottom w:w="90" w:type="dxa"/>
              <w:end w:w="90" w:type="dxa"/>
            </w:tcMar>
            <w:vAlign w:val="center"/>
            <w:shd w:fill="EAF2F8"/>
          </w:tcPr>
          <w:p>
            <w:pPr>
              <w:spacing w:after="0"/>
            </w:pPr>
            <w:r/>
            <w:r>
              <w:rPr>
                <w:rFonts w:ascii="Aptos" w:hAnsi="Aptos"/>
                <w:b w:val="0"/>
                <w:sz w:val="16"/>
              </w:rPr>
              <w:t>Define the approved workplace learning arrangement.</w:t>
            </w:r>
          </w:p>
        </w:tc>
        <w:tc>
          <w:tcPr>
            <w:tcW w:type="dxa" w:w="2448"/>
            <w:tcMar>
              <w:top w:w="90" w:type="dxa"/>
              <w:start w:w="90" w:type="dxa"/>
              <w:bottom w:w="90" w:type="dxa"/>
              <w:end w:w="90" w:type="dxa"/>
            </w:tcMar>
            <w:vAlign w:val="center"/>
            <w:shd w:fill="EAF2F8"/>
          </w:tcPr>
          <w:p>
            <w:pPr>
              <w:spacing w:after="0"/>
            </w:pPr>
            <w:r/>
            <w:r>
              <w:rPr>
                <w:rFonts w:ascii="Aptos" w:hAnsi="Aptos"/>
                <w:b w:val="0"/>
                <w:sz w:val="16"/>
              </w:rPr>
              <w:t>Credentialed WBL Coordinator.</w:t>
            </w:r>
          </w:p>
        </w:tc>
      </w:tr>
      <w:tr>
        <w:trPr>
          <w:cantSplit/>
        </w:trPr>
        <w:tc>
          <w:tcPr>
            <w:tcW w:type="dxa" w:w="2952"/>
            <w:tcMar>
              <w:top w:w="90" w:type="dxa"/>
              <w:start w:w="90" w:type="dxa"/>
              <w:bottom w:w="90" w:type="dxa"/>
              <w:end w:w="90" w:type="dxa"/>
            </w:tcMar>
            <w:vAlign w:val="center"/>
            <w:shd w:fill="FFFFFF"/>
          </w:tcPr>
          <w:p>
            <w:pPr>
              <w:spacing w:after="0"/>
            </w:pPr>
            <w:r/>
            <w:r>
              <w:rPr>
                <w:rFonts w:ascii="Aptos" w:hAnsi="Aptos"/>
                <w:b w:val="0"/>
                <w:sz w:val="16"/>
              </w:rPr>
              <w:t>Hour record</w:t>
            </w:r>
          </w:p>
        </w:tc>
        <w:tc>
          <w:tcPr>
            <w:tcW w:type="dxa" w:w="4680"/>
            <w:tcMar>
              <w:top w:w="90" w:type="dxa"/>
              <w:start w:w="90" w:type="dxa"/>
              <w:bottom w:w="90" w:type="dxa"/>
              <w:end w:w="90" w:type="dxa"/>
            </w:tcMar>
            <w:vAlign w:val="center"/>
            <w:shd w:fill="FFFFFF"/>
          </w:tcPr>
          <w:p>
            <w:pPr>
              <w:spacing w:after="0"/>
            </w:pPr>
            <w:r/>
            <w:r>
              <w:rPr>
                <w:rFonts w:ascii="Aptos" w:hAnsi="Aptos"/>
                <w:b w:val="0"/>
                <w:sz w:val="16"/>
              </w:rPr>
              <w:t>Document verified approved workplace participation.</w:t>
            </w:r>
          </w:p>
        </w:tc>
        <w:tc>
          <w:tcPr>
            <w:tcW w:type="dxa" w:w="2448"/>
            <w:tcMar>
              <w:top w:w="90" w:type="dxa"/>
              <w:start w:w="90" w:type="dxa"/>
              <w:bottom w:w="90" w:type="dxa"/>
              <w:end w:w="90" w:type="dxa"/>
            </w:tcMar>
            <w:vAlign w:val="center"/>
            <w:shd w:fill="FFFFFF"/>
          </w:tcPr>
          <w:p>
            <w:pPr>
              <w:spacing w:after="0"/>
            </w:pPr>
            <w:r/>
            <w:r>
              <w:rPr>
                <w:rFonts w:ascii="Aptos" w:hAnsi="Aptos"/>
                <w:b w:val="0"/>
                <w:sz w:val="16"/>
              </w:rPr>
              <w:t>Student and mentor; coordinator reconciles.</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Portfolio</w:t>
            </w:r>
          </w:p>
        </w:tc>
        <w:tc>
          <w:tcPr>
            <w:tcW w:type="dxa" w:w="4680"/>
            <w:tcMar>
              <w:top w:w="90" w:type="dxa"/>
              <w:start w:w="90" w:type="dxa"/>
              <w:bottom w:w="90" w:type="dxa"/>
              <w:end w:w="90" w:type="dxa"/>
            </w:tcMar>
            <w:vAlign w:val="center"/>
            <w:shd w:fill="EAF2F8"/>
          </w:tcPr>
          <w:p>
            <w:pPr>
              <w:spacing w:after="0"/>
            </w:pPr>
            <w:r/>
            <w:r>
              <w:rPr>
                <w:rFonts w:ascii="Aptos" w:hAnsi="Aptos"/>
                <w:b w:val="0"/>
                <w:sz w:val="16"/>
              </w:rPr>
              <w:t>Document common and individualized learning evidence.</w:t>
            </w:r>
          </w:p>
        </w:tc>
        <w:tc>
          <w:tcPr>
            <w:tcW w:type="dxa" w:w="2448"/>
            <w:tcMar>
              <w:top w:w="90" w:type="dxa"/>
              <w:start w:w="90" w:type="dxa"/>
              <w:bottom w:w="90" w:type="dxa"/>
              <w:end w:w="90" w:type="dxa"/>
            </w:tcMar>
            <w:vAlign w:val="center"/>
            <w:shd w:fill="EAF2F8"/>
          </w:tcPr>
          <w:p>
            <w:pPr>
              <w:spacing w:after="0"/>
            </w:pPr>
            <w:r/>
            <w:r>
              <w:rPr>
                <w:rFonts w:ascii="Aptos" w:hAnsi="Aptos"/>
                <w:b w:val="0"/>
                <w:sz w:val="16"/>
              </w:rPr>
              <w:t>Student; coordinator evaluates.</w:t>
            </w:r>
          </w:p>
        </w:tc>
      </w:tr>
      <w:tr>
        <w:trPr>
          <w:cantSplit/>
        </w:trPr>
        <w:tc>
          <w:tcPr>
            <w:tcW w:type="dxa" w:w="2952"/>
            <w:tcMar>
              <w:top w:w="90" w:type="dxa"/>
              <w:start w:w="90" w:type="dxa"/>
              <w:bottom w:w="90" w:type="dxa"/>
              <w:end w:w="90" w:type="dxa"/>
            </w:tcMar>
            <w:vAlign w:val="center"/>
            <w:shd w:fill="FFFFFF"/>
          </w:tcPr>
          <w:p>
            <w:pPr>
              <w:spacing w:after="0"/>
            </w:pPr>
            <w:r/>
            <w:r>
              <w:rPr>
                <w:rFonts w:ascii="Aptos" w:hAnsi="Aptos"/>
                <w:b w:val="0"/>
                <w:sz w:val="16"/>
              </w:rPr>
              <w:t>Monitoring and evaluation records</w:t>
            </w:r>
          </w:p>
        </w:tc>
        <w:tc>
          <w:tcPr>
            <w:tcW w:type="dxa" w:w="4680"/>
            <w:tcMar>
              <w:top w:w="90" w:type="dxa"/>
              <w:start w:w="90" w:type="dxa"/>
              <w:bottom w:w="90" w:type="dxa"/>
              <w:end w:w="90" w:type="dxa"/>
            </w:tcMar>
            <w:vAlign w:val="center"/>
            <w:shd w:fill="FFFFFF"/>
          </w:tcPr>
          <w:p>
            <w:pPr>
              <w:spacing w:after="0"/>
            </w:pPr>
            <w:r/>
            <w:r>
              <w:rPr>
                <w:rFonts w:ascii="Aptos" w:hAnsi="Aptos"/>
                <w:b w:val="0"/>
                <w:sz w:val="16"/>
              </w:rPr>
              <w:t>Document contacts, visits, decisions, feedback, follow-up, and final evaluation.</w:t>
            </w:r>
          </w:p>
        </w:tc>
        <w:tc>
          <w:tcPr>
            <w:tcW w:type="dxa" w:w="2448"/>
            <w:tcMar>
              <w:top w:w="90" w:type="dxa"/>
              <w:start w:w="90" w:type="dxa"/>
              <w:bottom w:w="90" w:type="dxa"/>
              <w:end w:w="90" w:type="dxa"/>
            </w:tcMar>
            <w:vAlign w:val="center"/>
            <w:shd w:fill="FFFFFF"/>
          </w:tcPr>
          <w:p>
            <w:pPr>
              <w:spacing w:after="0"/>
            </w:pPr>
            <w:r/>
            <w:r>
              <w:rPr>
                <w:rFonts w:ascii="Aptos" w:hAnsi="Aptos"/>
                <w:b w:val="0"/>
                <w:sz w:val="16"/>
              </w:rPr>
              <w:t>Credentialed WBL Coordinator.</w:t>
            </w:r>
          </w:p>
        </w:tc>
      </w:tr>
      <w:tr>
        <w:trPr>
          <w:cantSplit/>
        </w:trPr>
        <w:tc>
          <w:tcPr>
            <w:tcW w:type="dxa" w:w="2952"/>
            <w:tcMar>
              <w:top w:w="90" w:type="dxa"/>
              <w:start w:w="90" w:type="dxa"/>
              <w:bottom w:w="90" w:type="dxa"/>
              <w:end w:w="90" w:type="dxa"/>
            </w:tcMar>
            <w:vAlign w:val="center"/>
            <w:shd w:fill="EAF2F8"/>
          </w:tcPr>
          <w:p>
            <w:pPr>
              <w:spacing w:after="0"/>
            </w:pPr>
            <w:r/>
            <w:r>
              <w:rPr>
                <w:rFonts w:ascii="Aptos" w:hAnsi="Aptos"/>
                <w:b w:val="0"/>
                <w:sz w:val="16"/>
              </w:rPr>
              <w:t>Program evaluation record</w:t>
            </w:r>
          </w:p>
        </w:tc>
        <w:tc>
          <w:tcPr>
            <w:tcW w:type="dxa" w:w="4680"/>
            <w:tcMar>
              <w:top w:w="90" w:type="dxa"/>
              <w:start w:w="90" w:type="dxa"/>
              <w:bottom w:w="90" w:type="dxa"/>
              <w:end w:w="90" w:type="dxa"/>
            </w:tcMar>
            <w:vAlign w:val="center"/>
            <w:shd w:fill="EAF2F8"/>
          </w:tcPr>
          <w:p>
            <w:pPr>
              <w:spacing w:after="0"/>
            </w:pPr>
            <w:r/>
            <w:r>
              <w:rPr>
                <w:rFonts w:ascii="Aptos" w:hAnsi="Aptos"/>
                <w:b w:val="0"/>
                <w:sz w:val="16"/>
              </w:rPr>
              <w:t>Support Book Two annual review and improvement.</w:t>
            </w:r>
          </w:p>
        </w:tc>
        <w:tc>
          <w:tcPr>
            <w:tcW w:type="dxa" w:w="2448"/>
            <w:tcMar>
              <w:top w:w="90" w:type="dxa"/>
              <w:start w:w="90" w:type="dxa"/>
              <w:bottom w:w="90" w:type="dxa"/>
              <w:end w:w="90" w:type="dxa"/>
            </w:tcMar>
            <w:vAlign w:val="center"/>
            <w:shd w:fill="EAF2F8"/>
          </w:tcPr>
          <w:p>
            <w:pPr>
              <w:spacing w:after="0"/>
            </w:pPr>
            <w:r/>
            <w:r>
              <w:rPr>
                <w:rFonts w:ascii="Aptos" w:hAnsi="Aptos"/>
                <w:b w:val="0"/>
                <w:sz w:val="16"/>
              </w:rPr>
              <w:t>Assigned program-evaluation owner.</w:t>
            </w:r>
          </w:p>
        </w:tc>
      </w:tr>
    </w:tbl>
    <w:p>
      <w:pPr>
        <w:spacing w:after="0"/>
      </w:pPr>
    </w:p>
    <w:p>
      <w:r>
        <w:t>Records are stored, accessed, corrected, retained, archived, and destroyed according to district policy. Confidential support, health, incident, discipline, and personnel information remains in the authorized system rather than the Passport or student-facing portfolio.</w:t>
      </w:r>
    </w:p>
    <w:p>
      <w:pPr>
        <w:pStyle w:val="Heading1"/>
      </w:pPr>
      <w:r>
        <w:t>Chapter 27: Annual Closeout and Handoff to Book Two</w:t>
      </w:r>
    </w:p>
    <w:p>
      <w:pPr>
        <w:pStyle w:val="ListBullet"/>
        <w:spacing w:after="40"/>
      </w:pPr>
      <w:r>
        <w:t>Complete open Passport entries and corrections.</w:t>
      </w:r>
    </w:p>
    <w:p>
      <w:pPr>
        <w:pStyle w:val="ListBullet"/>
        <w:spacing w:after="40"/>
      </w:pPr>
      <w:r>
        <w:t>Verify Cottage client, safety, facility, financial, inventory, and instructional closeout.</w:t>
      </w:r>
    </w:p>
    <w:p>
      <w:pPr>
        <w:pStyle w:val="ListBullet"/>
        <w:spacing w:after="40"/>
      </w:pPr>
      <w:r>
        <w:t>Complete External WBL hours, portfolio, evaluations, presentations, site decisions, and records disposition.</w:t>
      </w:r>
    </w:p>
    <w:p>
      <w:pPr>
        <w:pStyle w:val="ListBullet"/>
        <w:spacing w:after="40"/>
      </w:pPr>
      <w:r>
        <w:t>Identify incomplete student requirements and the authorized next step.</w:t>
      </w:r>
    </w:p>
    <w:p>
      <w:pPr>
        <w:pStyle w:val="ListBullet"/>
        <w:spacing w:after="40"/>
      </w:pPr>
      <w:r>
        <w:t>Transfer student, site, access, capacity, partner, and operational evidence to Book Two's annual evaluation process.</w:t>
      </w:r>
    </w:p>
    <w:p>
      <w:pPr>
        <w:pStyle w:val="ListBullet"/>
        <w:spacing w:after="40"/>
      </w:pPr>
      <w:r>
        <w:t>Archive superseded forms and issue only the next approved version.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Book Two decision</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Book Three action</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Preserve a strength</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Keep the procedure and identify what must remain consistent.</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Clarify a standard</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Update instructions, training, communication, or form language after approval.</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Improve a site</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Add conditions, mentor support, monitoring, or a corrective-action plan.</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Reduce a burden</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Remove or consolidate a record that does not support a real decision.</w:t>
            </w:r>
          </w:p>
        </w:tc>
      </w:tr>
      <w:tr>
        <w:trPr>
          <w:cantSplit/>
        </w:trPr>
        <w:tc>
          <w:tcPr>
            <w:tcW w:type="dxa" w:w="2376"/>
            <w:tcMar>
              <w:top w:w="90" w:type="dxa"/>
              <w:start w:w="90" w:type="dxa"/>
              <w:bottom w:w="90" w:type="dxa"/>
              <w:end w:w="90" w:type="dxa"/>
            </w:tcMar>
            <w:vAlign w:val="center"/>
            <w:shd w:fill="EAF2F8"/>
          </w:tcPr>
          <w:p>
            <w:pPr>
              <w:spacing w:after="0"/>
            </w:pPr>
            <w:r/>
            <w:r>
              <w:rPr>
                <w:rFonts w:ascii="Aptos" w:hAnsi="Aptos"/>
                <w:b w:val="0"/>
                <w:sz w:val="16"/>
              </w:rPr>
              <w:t>Address an access gap</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Assign operational responsibility for scheduling, transportation, communication, equipment, or support.</w:t>
            </w:r>
          </w:p>
        </w:tc>
      </w:tr>
      <w:tr>
        <w:trPr>
          <w:cantSplit/>
        </w:trPr>
        <w:tc>
          <w:tcPr>
            <w:tcW w:type="dxa" w:w="2376"/>
            <w:tcMar>
              <w:top w:w="90" w:type="dxa"/>
              <w:start w:w="90" w:type="dxa"/>
              <w:bottom w:w="90" w:type="dxa"/>
              <w:end w:w="90" w:type="dxa"/>
            </w:tcMar>
            <w:vAlign w:val="center"/>
            <w:shd w:fill="FFFFFF"/>
          </w:tcPr>
          <w:p>
            <w:pPr>
              <w:spacing w:after="0"/>
            </w:pPr>
            <w:r/>
            <w:r>
              <w:rPr>
                <w:rFonts w:ascii="Aptos" w:hAnsi="Aptos"/>
                <w:b w:val="0"/>
                <w:sz w:val="16"/>
              </w:rPr>
              <w:t>Change scope</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Refer staffing, authorization, resource, or Board implications to Book Four and district leadership.</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Inspect What You Expect</w:t>
            </w:r>
          </w:p>
          <w:p>
            <w:pPr>
              <w:spacing w:after="0"/>
            </w:pPr>
            <w:r>
              <w:rPr>
                <w:sz w:val="18"/>
              </w:rPr>
              <w:t>A finding is not an improvement. An owner completes the action, and later evidence shows whether the condition improved.</w:t>
            </w:r>
          </w:p>
        </w:tc>
      </w:tr>
    </w:tbl>
    <w:p>
      <w:pPr>
        <w:spacing w:after="0"/>
      </w:pPr>
    </w:p>
    <w:p>
      <w:pPr>
        <w:pStyle w:val="Heading1"/>
      </w:pPr>
      <w:r>
        <w:t>Chapter 28: Version Control and Form Maintenance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Version-control item</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Required entry</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Document or form name</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Official title and book, appendix, or form identifier.</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Version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Major and minor version number.</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Status</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Draft, review draft, approved, superseded, or archived.</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Effective and review date</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Date used and next required review.</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Owner</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Role responsible for maintenance.</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Change summary</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What changed and why.</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Approval</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Required district reviewer or approval path.</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Superseded version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Archive location and confirmation that the prior version was removed from active use.</w:t>
            </w:r>
          </w:p>
        </w:tc>
      </w:tr>
    </w:tbl>
    <w:p>
      <w:pPr>
        <w:spacing w:after="0"/>
      </w:pPr>
    </w:p>
    <w:p>
      <w:r>
        <w:t>At annual closeout, staff identify unclear, duplicated, ignored, or unworkable procedures; records that supported real decisions; communication gaps; and changes required by Book Two. Only the approved next version becomes authoritative.</w:t>
      </w:r>
    </w:p>
    <w:tbl>
      <w:tblPr>
        <w:tblStyle w:val="TableGrid"/>
        <w:tblW w:type="auto" w:w="0"/>
        <w:jc w:val="center"/>
        <w:tblLook w:firstColumn="1" w:firstRow="1" w:lastColumn="0" w:lastRow="0" w:noHBand="0" w:noVBand="1" w:val="04A0"/>
      </w:tblPr>
      <w:tblGrid>
        <w:gridCol w:w="10166"/>
      </w:tblGrid>
      <w:tr>
        <w:trPr>
          <w:cantSplit/>
        </w:trPr>
        <w:tc>
          <w:tcPr>
            <w:tcW w:type="dxa" w:w="10166"/>
            <w:shd w:fill="E8F5F5"/>
            <w:tcMar>
              <w:top w:w="115" w:type="dxa"/>
              <w:start w:w="130" w:type="dxa"/>
              <w:bottom w:w="115" w:type="dxa"/>
              <w:end w:w="130" w:type="dxa"/>
            </w:tcMar>
          </w:tcPr>
          <w:p>
            <w:pPr>
              <w:spacing w:after="30"/>
            </w:pPr>
            <w:r/>
            <w:r>
              <w:rPr>
                <w:b/>
                <w:color w:val="1C8C8C"/>
                <w:sz w:val="20"/>
              </w:rPr>
              <w:t>Maintenance Boundary</w:t>
            </w:r>
          </w:p>
          <w:p>
            <w:pPr>
              <w:spacing w:after="0"/>
            </w:pPr>
            <w:r>
              <w:rPr>
                <w:sz w:val="18"/>
              </w:rPr>
              <w:t>Book Three may update procedures after an approved evaluation decision. It may not independently change the Canon, Operating Principles, Gateway meaning, course sequence, or completion requirements.</w:t>
            </w:r>
          </w:p>
        </w:tc>
      </w:tr>
    </w:tbl>
    <w:p>
      <w:pPr>
        <w:spacing w:after="0"/>
      </w:pPr>
    </w:p>
    <w:p>
      <w:pPr>
        <w:pStyle w:val="PartTitle"/>
      </w:pPr>
      <w:r>
        <w:t>APPENDICES</w:t>
      </w:r>
    </w:p>
    <w:p>
      <w:pPr>
        <w:pStyle w:val="Heading3"/>
      </w:pPr>
      <w:r>
        <w:t>Quick-reference tools for implementation and district review.</w:t>
      </w:r>
    </w:p>
    <w:p>
      <w:pPr>
        <w:pStyle w:val="Heading1"/>
      </w:pPr>
      <w:r>
        <w:t>Appendix A: Operations at a Glance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Year / stage</w:t>
            </w:r>
          </w:p>
        </w:tc>
        <w:tc>
          <w:tcPr>
            <w:tcW w:type="dxa" w:w="5040"/>
            <w:tcMar>
              <w:top w:w="90" w:type="dxa"/>
              <w:start w:w="90" w:type="dxa"/>
              <w:bottom w:w="90" w:type="dxa"/>
              <w:end w:w="90" w:type="dxa"/>
            </w:tcMar>
            <w:vAlign w:val="center"/>
            <w:shd w:fill="1F4E78"/>
          </w:tcPr>
          <w:p>
            <w:pPr>
              <w:spacing w:after="0"/>
            </w:pPr>
            <w:r/>
            <w:r>
              <w:rPr>
                <w:rFonts w:ascii="Aptos" w:hAnsi="Aptos"/>
                <w:b/>
                <w:color w:val="FFFFFF"/>
                <w:sz w:val="17"/>
              </w:rPr>
              <w:t>Core operation</w:t>
            </w:r>
          </w:p>
        </w:tc>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Primary record</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Grade 10</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Teach, assess, reassess, and verify Gateways 1-3 in Culinary 1 and 2.</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Course evidence, Employability Profile, Culinary Passport.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Grade 11 - Advanced Culinary</w:t>
            </w:r>
          </w:p>
        </w:tc>
        <w:tc>
          <w:tcPr>
            <w:tcW w:type="dxa" w:w="5040"/>
            <w:tcMar>
              <w:top w:w="90" w:type="dxa"/>
              <w:start w:w="90" w:type="dxa"/>
              <w:bottom w:w="90" w:type="dxa"/>
              <w:end w:w="90" w:type="dxa"/>
            </w:tcMar>
            <w:vAlign w:val="center"/>
            <w:shd w:fill="FFFFFF"/>
          </w:tcPr>
          <w:p>
            <w:pPr>
              <w:spacing w:after="0"/>
            </w:pPr>
            <w:r/>
            <w:r>
              <w:rPr>
                <w:rFonts w:ascii="Aptos" w:hAnsi="Aptos"/>
                <w:b w:val="0"/>
                <w:sz w:val="16"/>
              </w:rPr>
              <w:t>Plan and execute client-centered work through The Cottage or approved equivalent; verify Gateway 4.</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Event plan, evidence, Passport.</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Grade 11 - Kitchen Management</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Provide supervised leadership and career-readiness practice; verify Gateway 5 and Travel Rights.</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Leadership and career-readiness evidence, Passport.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Grade 12 - Prelaunch</w:t>
            </w:r>
          </w:p>
        </w:tc>
        <w:tc>
          <w:tcPr>
            <w:tcW w:type="dxa" w:w="5040"/>
            <w:tcMar>
              <w:top w:w="90" w:type="dxa"/>
              <w:start w:w="90" w:type="dxa"/>
              <w:bottom w:w="90" w:type="dxa"/>
              <w:end w:w="90" w:type="dxa"/>
            </w:tcMar>
            <w:vAlign w:val="center"/>
            <w:shd w:fill="FFFFFF"/>
          </w:tcPr>
          <w:p>
            <w:pPr>
              <w:spacing w:after="0"/>
            </w:pPr>
            <w:r/>
            <w:r>
              <w:rPr>
                <w:rFonts w:ascii="Aptos" w:hAnsi="Aptos"/>
                <w:b w:val="0"/>
                <w:sz w:val="16"/>
              </w:rPr>
              <w:t>Verify Gateway 5, enroll in the 1.0-credit course, approve the training station, complete the agreement, plan, and orientation.</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Prelaunch checklist, agreement, training plan.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Grade 12 - Ongoing</w:t>
            </w:r>
          </w:p>
        </w:tc>
        <w:tc>
          <w:tcPr>
            <w:tcW w:type="dxa" w:w="5040"/>
            <w:tcMar>
              <w:top w:w="90" w:type="dxa"/>
              <w:start w:w="90" w:type="dxa"/>
              <w:bottom w:w="90" w:type="dxa"/>
              <w:end w:w="90" w:type="dxa"/>
            </w:tcMar>
            <w:vAlign w:val="center"/>
            <w:shd w:fill="EAF2F8"/>
          </w:tcPr>
          <w:p>
            <w:pPr>
              <w:spacing w:after="0"/>
            </w:pPr>
            <w:r/>
            <w:r>
              <w:rPr>
                <w:rFonts w:ascii="Aptos" w:hAnsi="Aptos"/>
                <w:b w:val="0"/>
                <w:sz w:val="16"/>
              </w:rPr>
              <w:t>Accumulate 300 verified hours, complete assignments, related instruction, check-ins, visits, evaluation, and corrective action.</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Hour logs, portfolio, check-in and visit records, evaluations.</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Grade 12 - Closeout</w:t>
            </w:r>
          </w:p>
        </w:tc>
        <w:tc>
          <w:tcPr>
            <w:tcW w:type="dxa" w:w="5040"/>
            <w:tcMar>
              <w:top w:w="90" w:type="dxa"/>
              <w:start w:w="90" w:type="dxa"/>
              <w:bottom w:w="90" w:type="dxa"/>
              <w:end w:w="90" w:type="dxa"/>
            </w:tcMar>
            <w:vAlign w:val="center"/>
            <w:shd w:fill="FFFFFF"/>
          </w:tcPr>
          <w:p>
            <w:pPr>
              <w:spacing w:after="0"/>
            </w:pPr>
            <w:r/>
            <w:r>
              <w:rPr>
                <w:rFonts w:ascii="Aptos" w:hAnsi="Aptos"/>
                <w:b w:val="0"/>
                <w:sz w:val="16"/>
              </w:rPr>
              <w:t>Complete employer and coordinator evaluations, final presentation, Gateway 6, transition, and partner closeout.</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Final evaluation, Passport, course and partner closeout.</w:t>
            </w:r>
          </w:p>
        </w:tc>
      </w:tr>
    </w:tbl>
    <w:p>
      <w:pPr>
        <w:spacing w:after="0"/>
      </w:pPr>
    </w:p>
    <w:p>
      <w:pPr>
        <w:pStyle w:val="Heading1"/>
      </w:pPr>
      <w:r>
        <w:t>Appendix B: Responsibility and 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Operation</w:t>
            </w:r>
          </w:p>
        </w:tc>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Responsible</w:t>
            </w:r>
          </w:p>
        </w:tc>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Accountable / approval</w:t>
            </w:r>
          </w:p>
        </w:tc>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Consulted or informed</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5"/>
              </w:rPr>
              <w:t>Gateways 1-3 instruction and evidence</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Assigned culinary teacher</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Course and curriculum authority</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Student, support staff, family as appropriate.</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5"/>
              </w:rPr>
              <w:t>Gateway 4 and Cottage operations</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Assigned culinary teacher(s)</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Pathway and building authority as required</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Students, client, Kitchen Management, support roles.</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5"/>
              </w:rPr>
              <w:t>Gateway 5 and Travel Rights</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Kitchen Management teacher</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Course and curriculum authority</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WBL Coordinator, student, support staff.</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5"/>
              </w:rPr>
              <w:t>External WBL course and Gateway 6</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Credentialed WBL Coordinator</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Assigned district or program authority</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Student, teacher, mentor, family, support staff.</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5"/>
              </w:rPr>
              <w:t>Training-station approval</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Credentialed WBL Coordinator</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Authorized district authority</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Risk, legal, insurance, building roles as required.</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5"/>
              </w:rPr>
              <w:t>Incident response</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Site and school roles by procedure</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Authorized district authority</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Family, nurse, emergency, risk, legal, others as required.</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5"/>
              </w:rPr>
              <w:t>Annual program evaluation</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Book Two process owner</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District and pathway leadership</w:t>
            </w:r>
          </w:p>
        </w:tc>
        <w:tc>
          <w:tcPr>
            <w:tcW w:type="dxa" w:w="2520"/>
            <w:tcMar>
              <w:top w:w="90" w:type="dxa"/>
              <w:start w:w="90" w:type="dxa"/>
              <w:bottom w:w="90" w:type="dxa"/>
              <w:end w:w="90" w:type="dxa"/>
            </w:tcMar>
            <w:vAlign w:val="center"/>
            <w:shd w:fill="EAF2F8"/>
          </w:tcPr>
          <w:p>
            <w:pPr>
              <w:spacing w:after="0"/>
            </w:pPr>
            <w:r/>
            <w:r>
              <w:rPr>
                <w:rFonts w:ascii="Aptos" w:hAnsi="Aptos"/>
                <w:b w:val="0"/>
                <w:sz w:val="15"/>
              </w:rPr>
              <w:t>Teachers, coordinator, students, partners, support staff.</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5"/>
              </w:rPr>
              <w:t>Version control</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Assigned manual or form owner</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District approval authority</w:t>
            </w:r>
          </w:p>
        </w:tc>
        <w:tc>
          <w:tcPr>
            <w:tcW w:type="dxa" w:w="2520"/>
            <w:tcMar>
              <w:top w:w="90" w:type="dxa"/>
              <w:start w:w="90" w:type="dxa"/>
              <w:bottom w:w="90" w:type="dxa"/>
              <w:end w:w="90" w:type="dxa"/>
            </w:tcMar>
            <w:vAlign w:val="center"/>
            <w:shd w:fill="FFFFFF"/>
          </w:tcPr>
          <w:p>
            <w:pPr>
              <w:spacing w:after="0"/>
            </w:pPr>
            <w:r/>
            <w:r>
              <w:rPr>
                <w:rFonts w:ascii="Aptos" w:hAnsi="Aptos"/>
                <w:b w:val="0"/>
                <w:sz w:val="15"/>
              </w:rPr>
              <w:t>All active users.</w:t>
            </w:r>
          </w:p>
        </w:tc>
      </w:tr>
    </w:tbl>
    <w:p>
      <w:pPr>
        <w:spacing w:after="0"/>
      </w:pPr>
    </w:p>
    <w:p>
      <w:pPr>
        <w:pStyle w:val="Heading1"/>
      </w:pPr>
      <w:r>
        <w:t>Appendix C: Standard Operating Procedure Template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Field</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Entry</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Procedure title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Official name and version.</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Purpose</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The decision or work the procedure supports.</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Trigger</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What begins the procedure.</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Owner</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Role responsible.</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Required action</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Ordered steps.</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Required record</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Authoritative documentation.</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Completion check</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Evidence that the procedure is complete.</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Escalation</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Authorized response when requirements are not met.</w:t>
            </w:r>
          </w:p>
        </w:tc>
      </w:tr>
      <w:tr>
        <w:trPr>
          <w:cantSplit/>
        </w:trPr>
        <w:tc>
          <w:tcPr>
            <w:tcW w:type="dxa" w:w="2520"/>
            <w:tcMar>
              <w:top w:w="90" w:type="dxa"/>
              <w:start w:w="90" w:type="dxa"/>
              <w:bottom w:w="90" w:type="dxa"/>
              <w:end w:w="90" w:type="dxa"/>
            </w:tcMar>
            <w:vAlign w:val="center"/>
            <w:shd w:fill="EAF2F8"/>
          </w:tcPr>
          <w:p>
            <w:pPr>
              <w:spacing w:after="0"/>
            </w:pPr>
            <w:r/>
            <w:r>
              <w:rPr>
                <w:rFonts w:ascii="Aptos" w:hAnsi="Aptos"/>
                <w:b w:val="0"/>
                <w:sz w:val="16"/>
              </w:rPr>
              <w:t>Communication</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Who receives what information and when.</w:t>
            </w:r>
          </w:p>
        </w:tc>
      </w:tr>
      <w:tr>
        <w:trPr>
          <w:cantSplit/>
        </w:trPr>
        <w:tc>
          <w:tcPr>
            <w:tcW w:type="dxa" w:w="2520"/>
            <w:tcMar>
              <w:top w:w="90" w:type="dxa"/>
              <w:start w:w="90" w:type="dxa"/>
              <w:bottom w:w="90" w:type="dxa"/>
              <w:end w:w="90" w:type="dxa"/>
            </w:tcMar>
            <w:vAlign w:val="center"/>
            <w:shd w:fill="FFFFFF"/>
          </w:tcPr>
          <w:p>
            <w:pPr>
              <w:spacing w:after="0"/>
            </w:pPr>
            <w:r/>
            <w:r>
              <w:rPr>
                <w:rFonts w:ascii="Aptos" w:hAnsi="Aptos"/>
                <w:b w:val="0"/>
                <w:sz w:val="16"/>
              </w:rPr>
              <w:t>Review date</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Next required review and owner.</w:t>
            </w:r>
          </w:p>
        </w:tc>
      </w:tr>
    </w:tbl>
    <w:p>
      <w:pPr>
        <w:spacing w:after="0"/>
      </w:pPr>
    </w:p>
    <w:p>
      <w:pPr>
        <w:pStyle w:val="Heading1"/>
      </w:pPr>
      <w:r>
        <w:t>Appendix D: Cottage Request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Check</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Required confirmation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Instructional value</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Meaningful Gateway 4 or 5 opportunity.</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Client scope</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Date, contact, quantity, menu or service, location, budget, setup, delivery, cleanup.</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Capacity</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Calendar, staffing, student readiness, facility, equipment, time.</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Safety and access</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Food safety, allergens, transport, supervision, accessibility, emergency.</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Finance</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Costing, purchasing, payment, cash handling, inventory, account.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Evidence</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Individual student roles and evidence points.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Approval</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Required teacher, building, and district approvals complete.</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Closeout</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Client, facility, inventory, finance, evidence, feedback, and improvement complete.</w:t>
            </w:r>
          </w:p>
        </w:tc>
      </w:tr>
    </w:tbl>
    <w:p>
      <w:pPr>
        <w:spacing w:after="0"/>
      </w:pPr>
    </w:p>
    <w:p>
      <w:pPr>
        <w:pStyle w:val="Heading1"/>
      </w:pPr>
      <w:r>
        <w:t>Appendix E: External WBL Prelaunch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Area</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Required confirmation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Student</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Course enrollment, Gateway 5, goals, resume, interview preparation, orientation.</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Site</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Approved training station, mentor, supervision, lawful duties, safety, schedule.</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Plan</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Agreement, training plan, restricted duties, progression, evidence, feedback.</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Access</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Transportation, schedule, working papers, communication, accommodations and supports.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Emergency</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Contacts, injury, harassment, discrimination, stop-work, escalation.</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Records</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Hour method, portfolio platform, check-in and visit schedule, evaluation dates.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Launch</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First-day details, mentor and backup present, coordinator confirmation complete.</w:t>
            </w:r>
          </w:p>
        </w:tc>
      </w:tr>
    </w:tbl>
    <w:p>
      <w:pPr>
        <w:spacing w:after="0"/>
      </w:pPr>
    </w:p>
    <w:p>
      <w:pPr>
        <w:pStyle w:val="Heading1"/>
      </w:pPr>
      <w:r>
        <w:t>Appendix F: Senior Portfolio Calendar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Window</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Assignment</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Launch</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1. Placement and workplace orientation</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Weeks 2-4</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2. Workplace safety and professional expectations analysis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Weeks 3-5</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3. Organizational chart and workplace roles</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Weeks 4-6</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4. Personal duties and training-plan goals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Weeks 6-8</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5. Communication and teamwork reflection</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Weeks 8-10</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6. Customer, guest, client, or stakeholder service analysis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Weeks 10-12</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7. Workplace problem-solving case</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Weeks 12-15</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8. Quality-control or performance-standard analysis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Midyear</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9. Supervisor or mentor interview</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Midyear</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10. Midyear self-evaluation and goal revision</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Second half</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11. Evidence of increasing responsibility</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Second half</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12. Updated resume and professional portfolio</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Final month</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13. Final career-fit reflection</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Closeout</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14. Final presentation or exit interview</w:t>
            </w:r>
          </w:p>
        </w:tc>
      </w:tr>
    </w:tbl>
    <w:p>
      <w:pPr>
        <w:spacing w:after="0"/>
      </w:pPr>
    </w:p>
    <w:p>
      <w:pPr>
        <w:pStyle w:val="Heading1"/>
      </w:pPr>
      <w:r>
        <w:t>Appendix G: Check-In and Site-Visit Prompts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Contact</w:t>
            </w:r>
          </w:p>
        </w:tc>
        <w:tc>
          <w:tcPr>
            <w:tcW w:type="dxa" w:w="7848"/>
            <w:tcMar>
              <w:top w:w="90" w:type="dxa"/>
              <w:start w:w="90" w:type="dxa"/>
              <w:bottom w:w="90" w:type="dxa"/>
              <w:end w:w="90" w:type="dxa"/>
            </w:tcMar>
            <w:vAlign w:val="center"/>
            <w:shd w:fill="1F4E78"/>
          </w:tcPr>
          <w:p>
            <w:pPr>
              <w:spacing w:after="0"/>
            </w:pPr>
            <w:r/>
            <w:r>
              <w:rPr>
                <w:rFonts w:ascii="Aptos" w:hAnsi="Aptos"/>
                <w:b/>
                <w:color w:val="FFFFFF"/>
                <w:sz w:val="17"/>
              </w:rPr>
              <w:t>Core prompts</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Student check-in</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What are you doing and learning? Are duties and supervision consistent with the plan? What is going well? What is unsafe, unclear, or unsupported? Which assignment or goal is next?</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Mentor contact</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Is the student attending and communicating? Are duties appropriate? What progress, feedback, support, or change should the coordinator know?</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Site visit</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Is the student present, supervised, safe, and performing approved duties? Do pace, equipment, communication, access, and learning match approval?</w:t>
            </w:r>
          </w:p>
        </w:tc>
      </w:tr>
      <w:tr>
        <w:trPr>
          <w:cantSplit/>
        </w:trPr>
        <w:tc>
          <w:tcPr>
            <w:tcW w:type="dxa" w:w="2232"/>
            <w:tcMar>
              <w:top w:w="90" w:type="dxa"/>
              <w:start w:w="90" w:type="dxa"/>
              <w:bottom w:w="90" w:type="dxa"/>
              <w:end w:w="90" w:type="dxa"/>
            </w:tcMar>
            <w:vAlign w:val="center"/>
            <w:shd w:fill="FFFFFF"/>
          </w:tcPr>
          <w:p>
            <w:pPr>
              <w:spacing w:after="0"/>
            </w:pPr>
            <w:r/>
            <w:r>
              <w:rPr>
                <w:rFonts w:ascii="Aptos" w:hAnsi="Aptos"/>
                <w:b w:val="0"/>
                <w:sz w:val="16"/>
              </w:rPr>
              <w:t>Monthly review</w:t>
            </w:r>
          </w:p>
        </w:tc>
        <w:tc>
          <w:tcPr>
            <w:tcW w:type="dxa" w:w="7848"/>
            <w:tcMar>
              <w:top w:w="90" w:type="dxa"/>
              <w:start w:w="90" w:type="dxa"/>
              <w:bottom w:w="90" w:type="dxa"/>
              <w:end w:w="90" w:type="dxa"/>
            </w:tcMar>
            <w:vAlign w:val="center"/>
            <w:shd w:fill="FFFFFF"/>
          </w:tcPr>
          <w:p>
            <w:pPr>
              <w:spacing w:after="0"/>
            </w:pPr>
            <w:r/>
            <w:r>
              <w:rPr>
                <w:rFonts w:ascii="Aptos" w:hAnsi="Aptos"/>
                <w:b w:val="0"/>
                <w:sz w:val="16"/>
              </w:rPr>
              <w:t>Are verified hours on pace? Are training-plan goals and portfolio assignments current? What evidence, support, or corrective action is required?</w:t>
            </w:r>
          </w:p>
        </w:tc>
      </w:tr>
      <w:tr>
        <w:trPr>
          <w:cantSplit/>
        </w:trPr>
        <w:tc>
          <w:tcPr>
            <w:tcW w:type="dxa" w:w="2232"/>
            <w:tcMar>
              <w:top w:w="90" w:type="dxa"/>
              <w:start w:w="90" w:type="dxa"/>
              <w:bottom w:w="90" w:type="dxa"/>
              <w:end w:w="90" w:type="dxa"/>
            </w:tcMar>
            <w:vAlign w:val="center"/>
            <w:shd w:fill="EAF2F8"/>
          </w:tcPr>
          <w:p>
            <w:pPr>
              <w:spacing w:after="0"/>
            </w:pPr>
            <w:r/>
            <w:r>
              <w:rPr>
                <w:rFonts w:ascii="Aptos" w:hAnsi="Aptos"/>
                <w:b w:val="0"/>
                <w:sz w:val="16"/>
              </w:rPr>
              <w:t>Follow-up</w:t>
            </w:r>
          </w:p>
        </w:tc>
        <w:tc>
          <w:tcPr>
            <w:tcW w:type="dxa" w:w="7848"/>
            <w:tcMar>
              <w:top w:w="90" w:type="dxa"/>
              <w:start w:w="90" w:type="dxa"/>
              <w:bottom w:w="90" w:type="dxa"/>
              <w:end w:w="90" w:type="dxa"/>
            </w:tcMar>
            <w:vAlign w:val="center"/>
            <w:shd w:fill="EAF2F8"/>
          </w:tcPr>
          <w:p>
            <w:pPr>
              <w:spacing w:after="0"/>
            </w:pPr>
            <w:r/>
            <w:r>
              <w:rPr>
                <w:rFonts w:ascii="Aptos" w:hAnsi="Aptos"/>
                <w:b w:val="0"/>
                <w:sz w:val="16"/>
              </w:rPr>
              <w:t>Who owns the next action, by when, and what evidence will verify completion?</w:t>
            </w:r>
          </w:p>
        </w:tc>
      </w:tr>
    </w:tbl>
    <w:p>
      <w:pPr>
        <w:spacing w:after="0"/>
      </w:pPr>
    </w:p>
    <w:p>
      <w:pPr>
        <w:pStyle w:val="Heading1"/>
      </w:pPr>
      <w:r>
        <w:t>Appendix H: Implementation Decisions Requiring Confirmation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tcMar>
              <w:top w:w="90" w:type="dxa"/>
              <w:start w:w="90" w:type="dxa"/>
              <w:bottom w:w="90" w:type="dxa"/>
              <w:end w:w="90" w:type="dxa"/>
            </w:tcMar>
            <w:vAlign w:val="center"/>
            <w:shd w:fill="1F4E78"/>
          </w:tcPr>
          <w:p>
            <w:pPr>
              <w:spacing w:after="0"/>
            </w:pPr>
            <w:r/>
            <w:r>
              <w:rPr>
                <w:rFonts w:ascii="Aptos" w:hAnsi="Aptos"/>
                <w:b/>
                <w:color w:val="FFFFFF"/>
                <w:sz w:val="17"/>
              </w:rPr>
              <w:t>Decision</w:t>
            </w:r>
          </w:p>
        </w:tc>
        <w:tc>
          <w:tcPr>
            <w:tcW w:type="dxa" w:w="6768"/>
            <w:tcMar>
              <w:top w:w="90" w:type="dxa"/>
              <w:start w:w="90" w:type="dxa"/>
              <w:bottom w:w="90" w:type="dxa"/>
              <w:end w:w="90" w:type="dxa"/>
            </w:tcMar>
            <w:vAlign w:val="center"/>
            <w:shd w:fill="1F4E78"/>
          </w:tcPr>
          <w:p>
            <w:pPr>
              <w:spacing w:after="0"/>
            </w:pPr>
            <w:r/>
            <w:r>
              <w:rPr>
                <w:rFonts w:ascii="Aptos" w:hAnsi="Aptos"/>
                <w:b/>
                <w:color w:val="FFFFFF"/>
                <w:sz w:val="17"/>
              </w:rPr>
              <w:t>Why confirmation is required</w:t>
            </w:r>
          </w:p>
        </w:tc>
      </w:tr>
      <w:tr>
        <w:trPr>
          <w:cantSplit/>
        </w:trPr>
        <w:tc>
          <w:tcPr>
            <w:tcW w:type="dxa" w:w="3312"/>
            <w:tcMar>
              <w:top w:w="90" w:type="dxa"/>
              <w:start w:w="90" w:type="dxa"/>
              <w:bottom w:w="90" w:type="dxa"/>
              <w:end w:w="90" w:type="dxa"/>
            </w:tcMar>
            <w:vAlign w:val="center"/>
            <w:shd w:fill="EAF2F8"/>
          </w:tcPr>
          <w:p>
            <w:pPr>
              <w:spacing w:after="0"/>
            </w:pPr>
            <w:r/>
            <w:r>
              <w:rPr>
                <w:rFonts w:ascii="Aptos" w:hAnsi="Aptos"/>
                <w:b w:val="0"/>
                <w:sz w:val="16"/>
              </w:rPr>
              <w:t>Credentialed WBL Coordinator assignment and protected time</w:t>
            </w:r>
          </w:p>
        </w:tc>
        <w:tc>
          <w:tcPr>
            <w:tcW w:type="dxa" w:w="6768"/>
            <w:tcMar>
              <w:top w:w="90" w:type="dxa"/>
              <w:start w:w="90" w:type="dxa"/>
              <w:bottom w:w="90" w:type="dxa"/>
              <w:end w:w="90" w:type="dxa"/>
            </w:tcMar>
            <w:vAlign w:val="center"/>
            <w:shd w:fill="EAF2F8"/>
          </w:tcPr>
          <w:p>
            <w:pPr>
              <w:spacing w:after="0"/>
            </w:pPr>
            <w:r/>
            <w:r>
              <w:rPr>
                <w:rFonts w:ascii="Aptos" w:hAnsi="Aptos"/>
                <w:b w:val="0"/>
                <w:sz w:val="16"/>
              </w:rPr>
              <w:t>Determines caseload, site visits, monitoring, records, and safety response.</w:t>
            </w:r>
          </w:p>
        </w:tc>
      </w:tr>
      <w:tr>
        <w:trPr>
          <w:cantSplit/>
        </w:trPr>
        <w:tc>
          <w:tcPr>
            <w:tcW w:type="dxa" w:w="3312"/>
            <w:tcMar>
              <w:top w:w="90" w:type="dxa"/>
              <w:start w:w="90" w:type="dxa"/>
              <w:bottom w:w="90" w:type="dxa"/>
              <w:end w:w="90" w:type="dxa"/>
            </w:tcMar>
            <w:vAlign w:val="center"/>
            <w:shd w:fill="FFFFFF"/>
          </w:tcPr>
          <w:p>
            <w:pPr>
              <w:spacing w:after="0"/>
            </w:pPr>
            <w:r/>
            <w:r>
              <w:rPr>
                <w:rFonts w:ascii="Aptos" w:hAnsi="Aptos"/>
                <w:b w:val="0"/>
                <w:sz w:val="16"/>
              </w:rPr>
              <w:t>Senior course code, schedule, attendance, and related instruction</w:t>
            </w:r>
          </w:p>
        </w:tc>
        <w:tc>
          <w:tcPr>
            <w:tcW w:type="dxa" w:w="6768"/>
            <w:tcMar>
              <w:top w:w="90" w:type="dxa"/>
              <w:start w:w="90" w:type="dxa"/>
              <w:bottom w:w="90" w:type="dxa"/>
              <w:end w:w="90" w:type="dxa"/>
            </w:tcMar>
            <w:vAlign w:val="center"/>
            <w:shd w:fill="FFFFFF"/>
          </w:tcPr>
          <w:p>
            <w:pPr>
              <w:spacing w:after="0"/>
            </w:pPr>
            <w:r/>
            <w:r>
              <w:rPr>
                <w:rFonts w:ascii="Aptos" w:hAnsi="Aptos"/>
                <w:b w:val="0"/>
                <w:sz w:val="16"/>
              </w:rPr>
              <w:t>Determines official implementation and student scheduling.</w:t>
            </w:r>
          </w:p>
        </w:tc>
      </w:tr>
      <w:tr>
        <w:trPr>
          <w:cantSplit/>
        </w:trPr>
        <w:tc>
          <w:tcPr>
            <w:tcW w:type="dxa" w:w="3312"/>
            <w:tcMar>
              <w:top w:w="90" w:type="dxa"/>
              <w:start w:w="90" w:type="dxa"/>
              <w:bottom w:w="90" w:type="dxa"/>
              <w:end w:w="90" w:type="dxa"/>
            </w:tcMar>
            <w:vAlign w:val="center"/>
            <w:shd w:fill="EAF2F8"/>
          </w:tcPr>
          <w:p>
            <w:pPr>
              <w:spacing w:after="0"/>
            </w:pPr>
            <w:r/>
            <w:r>
              <w:rPr>
                <w:rFonts w:ascii="Aptos" w:hAnsi="Aptos"/>
                <w:b w:val="0"/>
                <w:sz w:val="16"/>
              </w:rPr>
              <w:t>Transportation model</w:t>
            </w:r>
          </w:p>
        </w:tc>
        <w:tc>
          <w:tcPr>
            <w:tcW w:type="dxa" w:w="6768"/>
            <w:tcMar>
              <w:top w:w="90" w:type="dxa"/>
              <w:start w:w="90" w:type="dxa"/>
              <w:bottom w:w="90" w:type="dxa"/>
              <w:end w:w="90" w:type="dxa"/>
            </w:tcMar>
            <w:vAlign w:val="center"/>
            <w:shd w:fill="EAF2F8"/>
          </w:tcPr>
          <w:p>
            <w:pPr>
              <w:spacing w:after="0"/>
            </w:pPr>
            <w:r/>
            <w:r>
              <w:rPr>
                <w:rFonts w:ascii="Aptos" w:hAnsi="Aptos"/>
                <w:b w:val="0"/>
                <w:sz w:val="16"/>
              </w:rPr>
              <w:t>Determines equitable access and attendance feasibility.</w:t>
            </w:r>
          </w:p>
        </w:tc>
      </w:tr>
      <w:tr>
        <w:trPr>
          <w:cantSplit/>
        </w:trPr>
        <w:tc>
          <w:tcPr>
            <w:tcW w:type="dxa" w:w="3312"/>
            <w:tcMar>
              <w:top w:w="90" w:type="dxa"/>
              <w:start w:w="90" w:type="dxa"/>
              <w:bottom w:w="90" w:type="dxa"/>
              <w:end w:w="90" w:type="dxa"/>
            </w:tcMar>
            <w:vAlign w:val="center"/>
            <w:shd w:fill="FFFFFF"/>
          </w:tcPr>
          <w:p>
            <w:pPr>
              <w:spacing w:after="0"/>
            </w:pPr>
            <w:r/>
            <w:r>
              <w:rPr>
                <w:rFonts w:ascii="Aptos" w:hAnsi="Aptos"/>
                <w:b w:val="0"/>
                <w:sz w:val="16"/>
              </w:rPr>
              <w:t>Insurance, legal, labor, and risk review</w:t>
            </w:r>
          </w:p>
        </w:tc>
        <w:tc>
          <w:tcPr>
            <w:tcW w:type="dxa" w:w="6768"/>
            <w:tcMar>
              <w:top w:w="90" w:type="dxa"/>
              <w:start w:w="90" w:type="dxa"/>
              <w:bottom w:w="90" w:type="dxa"/>
              <w:end w:w="90" w:type="dxa"/>
            </w:tcMar>
            <w:vAlign w:val="center"/>
            <w:shd w:fill="FFFFFF"/>
          </w:tcPr>
          <w:p>
            <w:pPr>
              <w:spacing w:after="0"/>
            </w:pPr>
            <w:r/>
            <w:r>
              <w:rPr>
                <w:rFonts w:ascii="Aptos" w:hAnsi="Aptos"/>
                <w:b w:val="0"/>
                <w:sz w:val="16"/>
              </w:rPr>
              <w:t>Required before external placement.</w:t>
            </w:r>
          </w:p>
        </w:tc>
      </w:tr>
      <w:tr>
        <w:trPr>
          <w:cantSplit/>
        </w:trPr>
        <w:tc>
          <w:tcPr>
            <w:tcW w:type="dxa" w:w="3312"/>
            <w:tcMar>
              <w:top w:w="90" w:type="dxa"/>
              <w:start w:w="90" w:type="dxa"/>
              <w:bottom w:w="90" w:type="dxa"/>
              <w:end w:w="90" w:type="dxa"/>
            </w:tcMar>
            <w:vAlign w:val="center"/>
            <w:shd w:fill="EAF2F8"/>
          </w:tcPr>
          <w:p>
            <w:pPr>
              <w:spacing w:after="0"/>
            </w:pPr>
            <w:r/>
            <w:r>
              <w:rPr>
                <w:rFonts w:ascii="Aptos" w:hAnsi="Aptos"/>
                <w:b w:val="0"/>
                <w:sz w:val="16"/>
              </w:rPr>
              <w:t>Record platform and retention rules</w:t>
            </w:r>
          </w:p>
        </w:tc>
        <w:tc>
          <w:tcPr>
            <w:tcW w:type="dxa" w:w="6768"/>
            <w:tcMar>
              <w:top w:w="90" w:type="dxa"/>
              <w:start w:w="90" w:type="dxa"/>
              <w:bottom w:w="90" w:type="dxa"/>
              <w:end w:w="90" w:type="dxa"/>
            </w:tcMar>
            <w:vAlign w:val="center"/>
            <w:shd w:fill="EAF2F8"/>
          </w:tcPr>
          <w:p>
            <w:pPr>
              <w:spacing w:after="0"/>
            </w:pPr>
            <w:r/>
            <w:r>
              <w:rPr>
                <w:rFonts w:ascii="Aptos" w:hAnsi="Aptos"/>
                <w:b w:val="0"/>
                <w:sz w:val="16"/>
              </w:rPr>
              <w:t>Determines authoritative records, access, privacy, and continuity.</w:t>
            </w:r>
          </w:p>
        </w:tc>
      </w:tr>
      <w:tr>
        <w:trPr>
          <w:cantSplit/>
        </w:trPr>
        <w:tc>
          <w:tcPr>
            <w:tcW w:type="dxa" w:w="3312"/>
            <w:tcMar>
              <w:top w:w="90" w:type="dxa"/>
              <w:start w:w="90" w:type="dxa"/>
              <w:bottom w:w="90" w:type="dxa"/>
              <w:end w:w="90" w:type="dxa"/>
            </w:tcMar>
            <w:vAlign w:val="center"/>
            <w:shd w:fill="FFFFFF"/>
          </w:tcPr>
          <w:p>
            <w:pPr>
              <w:spacing w:after="0"/>
            </w:pPr>
            <w:r/>
            <w:r>
              <w:rPr>
                <w:rFonts w:ascii="Aptos" w:hAnsi="Aptos"/>
                <w:b w:val="0"/>
                <w:sz w:val="16"/>
              </w:rPr>
              <w:t>Cottage financial and purchasing procedures</w:t>
            </w:r>
          </w:p>
        </w:tc>
        <w:tc>
          <w:tcPr>
            <w:tcW w:type="dxa" w:w="6768"/>
            <w:tcMar>
              <w:top w:w="90" w:type="dxa"/>
              <w:start w:w="90" w:type="dxa"/>
              <w:bottom w:w="90" w:type="dxa"/>
              <w:end w:w="90" w:type="dxa"/>
            </w:tcMar>
            <w:vAlign w:val="center"/>
            <w:shd w:fill="FFFFFF"/>
          </w:tcPr>
          <w:p>
            <w:pPr>
              <w:spacing w:after="0"/>
            </w:pPr>
            <w:r/>
            <w:r>
              <w:rPr>
                <w:rFonts w:ascii="Aptos" w:hAnsi="Aptos"/>
                <w:b w:val="0"/>
                <w:sz w:val="16"/>
              </w:rPr>
              <w:t>Clarifies account, revenue, allowable expenditures, pricing, and closeout.</w:t>
            </w:r>
          </w:p>
        </w:tc>
      </w:tr>
      <w:tr>
        <w:trPr>
          <w:cantSplit/>
        </w:trPr>
        <w:tc>
          <w:tcPr>
            <w:tcW w:type="dxa" w:w="3312"/>
            <w:tcMar>
              <w:top w:w="90" w:type="dxa"/>
              <w:start w:w="90" w:type="dxa"/>
              <w:bottom w:w="90" w:type="dxa"/>
              <w:end w:w="90" w:type="dxa"/>
            </w:tcMar>
            <w:vAlign w:val="center"/>
            <w:shd w:fill="EAF2F8"/>
          </w:tcPr>
          <w:p>
            <w:pPr>
              <w:spacing w:after="0"/>
            </w:pPr>
            <w:r/>
            <w:r>
              <w:rPr>
                <w:rFonts w:ascii="Aptos" w:hAnsi="Aptos"/>
                <w:b w:val="0"/>
                <w:sz w:val="16"/>
              </w:rPr>
              <w:t>Olympia client-centered learning or catering model</w:t>
            </w:r>
          </w:p>
        </w:tc>
        <w:tc>
          <w:tcPr>
            <w:tcW w:type="dxa" w:w="6768"/>
            <w:tcMar>
              <w:top w:w="90" w:type="dxa"/>
              <w:start w:w="90" w:type="dxa"/>
              <w:bottom w:w="90" w:type="dxa"/>
              <w:end w:w="90" w:type="dxa"/>
            </w:tcMar>
            <w:vAlign w:val="center"/>
            <w:shd w:fill="EAF2F8"/>
          </w:tcPr>
          <w:p>
            <w:pPr>
              <w:spacing w:after="0"/>
            </w:pPr>
            <w:r/>
            <w:r>
              <w:rPr>
                <w:rFonts w:ascii="Aptos" w:hAnsi="Aptos"/>
                <w:b w:val="0"/>
                <w:sz w:val="16"/>
              </w:rPr>
              <w:t>Ensures coherent Gateway 4 access without assuming identical operations.</w:t>
            </w:r>
          </w:p>
        </w:tc>
      </w:tr>
      <w:tr>
        <w:trPr>
          <w:cantSplit/>
        </w:trPr>
        <w:tc>
          <w:tcPr>
            <w:tcW w:type="dxa" w:w="3312"/>
            <w:tcMar>
              <w:top w:w="90" w:type="dxa"/>
              <w:start w:w="90" w:type="dxa"/>
              <w:bottom w:w="90" w:type="dxa"/>
              <w:end w:w="90" w:type="dxa"/>
            </w:tcMar>
            <w:vAlign w:val="center"/>
            <w:shd w:fill="FFFFFF"/>
          </w:tcPr>
          <w:p>
            <w:pPr>
              <w:spacing w:after="0"/>
            </w:pPr>
            <w:r/>
            <w:r>
              <w:rPr>
                <w:rFonts w:ascii="Aptos" w:hAnsi="Aptos"/>
                <w:b w:val="0"/>
                <w:sz w:val="16"/>
              </w:rPr>
              <w:t>SkillsUSA support and funding</w:t>
            </w:r>
          </w:p>
        </w:tc>
        <w:tc>
          <w:tcPr>
            <w:tcW w:type="dxa" w:w="6768"/>
            <w:tcMar>
              <w:top w:w="90" w:type="dxa"/>
              <w:start w:w="90" w:type="dxa"/>
              <w:bottom w:w="90" w:type="dxa"/>
              <w:end w:w="90" w:type="dxa"/>
            </w:tcMar>
            <w:vAlign w:val="center"/>
            <w:shd w:fill="FFFFFF"/>
          </w:tcPr>
          <w:p>
            <w:pPr>
              <w:spacing w:after="0"/>
            </w:pPr>
            <w:r/>
            <w:r>
              <w:rPr>
                <w:rFonts w:ascii="Aptos" w:hAnsi="Aptos"/>
                <w:b w:val="0"/>
                <w:sz w:val="16"/>
              </w:rPr>
              <w:t>Determines advisor capacity, student access, transportation, competition, and allowable funding.</w:t>
            </w:r>
          </w:p>
        </w:tc>
      </w:tr>
      <w:tr>
        <w:trPr>
          <w:cantSplit/>
        </w:trPr>
        <w:tc>
          <w:tcPr>
            <w:tcW w:type="dxa" w:w="3312"/>
            <w:tcMar>
              <w:top w:w="90" w:type="dxa"/>
              <w:start w:w="90" w:type="dxa"/>
              <w:bottom w:w="90" w:type="dxa"/>
              <w:end w:w="90" w:type="dxa"/>
            </w:tcMar>
            <w:vAlign w:val="center"/>
            <w:shd w:fill="EAF2F8"/>
          </w:tcPr>
          <w:p>
            <w:pPr>
              <w:spacing w:after="0"/>
            </w:pPr>
            <w:r/>
            <w:r>
              <w:rPr>
                <w:rFonts w:ascii="Aptos" w:hAnsi="Aptos"/>
                <w:b w:val="0"/>
                <w:sz w:val="16"/>
              </w:rPr>
              <w:t>Pathway-wide capstone ownership and schedule</w:t>
            </w:r>
          </w:p>
        </w:tc>
        <w:tc>
          <w:tcPr>
            <w:tcW w:type="dxa" w:w="6768"/>
            <w:tcMar>
              <w:top w:w="90" w:type="dxa"/>
              <w:start w:w="90" w:type="dxa"/>
              <w:bottom w:w="90" w:type="dxa"/>
              <w:end w:w="90" w:type="dxa"/>
            </w:tcMar>
            <w:vAlign w:val="center"/>
            <w:shd w:fill="EAF2F8"/>
          </w:tcPr>
          <w:p>
            <w:pPr>
              <w:spacing w:after="0"/>
            </w:pPr>
            <w:r/>
            <w:r>
              <w:rPr>
                <w:rFonts w:ascii="Aptos" w:hAnsi="Aptos"/>
                <w:b w:val="0"/>
                <w:sz w:val="16"/>
              </w:rPr>
              <w:t>Determines whether and when the culminating public experience operates.</w:t>
            </w:r>
          </w:p>
        </w:tc>
      </w:tr>
      <w:tr>
        <w:trPr>
          <w:cantSplit/>
        </w:trPr>
        <w:tc>
          <w:tcPr>
            <w:tcW w:type="dxa" w:w="3312"/>
            <w:tcMar>
              <w:top w:w="90" w:type="dxa"/>
              <w:start w:w="90" w:type="dxa"/>
              <w:bottom w:w="90" w:type="dxa"/>
              <w:end w:w="90" w:type="dxa"/>
            </w:tcMar>
            <w:vAlign w:val="center"/>
            <w:shd w:fill="FFFFFF"/>
          </w:tcPr>
          <w:p>
            <w:pPr>
              <w:spacing w:after="0"/>
            </w:pPr>
            <w:r/>
            <w:r>
              <w:rPr>
                <w:rFonts w:ascii="Aptos" w:hAnsi="Aptos"/>
                <w:b w:val="0"/>
                <w:sz w:val="16"/>
              </w:rPr>
              <w:t>Employer-development capacity</w:t>
            </w:r>
          </w:p>
        </w:tc>
        <w:tc>
          <w:tcPr>
            <w:tcW w:type="dxa" w:w="6768"/>
            <w:tcMar>
              <w:top w:w="90" w:type="dxa"/>
              <w:start w:w="90" w:type="dxa"/>
              <w:bottom w:w="90" w:type="dxa"/>
              <w:end w:w="90" w:type="dxa"/>
            </w:tcMar>
            <w:vAlign w:val="center"/>
            <w:shd w:fill="FFFFFF"/>
          </w:tcPr>
          <w:p>
            <w:pPr>
              <w:spacing w:after="0"/>
            </w:pPr>
            <w:r/>
            <w:r>
              <w:rPr>
                <w:rFonts w:ascii="Aptos" w:hAnsi="Aptos"/>
                <w:b w:val="0"/>
                <w:sz w:val="16"/>
              </w:rPr>
              <w:t>Determines initial cohort size and responsible growth.</w:t>
            </w:r>
          </w:p>
        </w:tc>
      </w:tr>
    </w:tbl>
    <w:p>
      <w:pPr>
        <w:spacing w:after="0"/>
      </w:pPr>
    </w:p>
    <w:p>
      <w:pPr>
        <w:pStyle w:val="Heading1"/>
      </w:pPr>
      <w:r>
        <w:t>Appendix I: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Term</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Working definition</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Culinary Passport</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The student's official competency and progression record.</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Gateway</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A verified level of competency that authorizes or records the next level of responsibility.</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The Cottage</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The confirmed Arcadia Culinary Pathway School-Based Enterprise catering operation.</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Kitchen Management</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The leadership bridge between culinary production and professional employment.</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External WBL Educational Readiness</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The Gateway 5 result; student-facing term: Travel Rights.</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External Work-Based Learning</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The separate 1.0-credit senior course requiring 300 verified workplace hours and the other required completion evidence.</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Training station</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An approved workplace used as an instructional laboratory.</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Training plan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The written learning plan for approved duties, goals, progression, restrictions, supervision, evidence, and support.</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Completion with Distinction</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The student exceeds pathway expectations.</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Completion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The student meets pathway expectations.</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Not Yet Completed</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Additional instruction and reassessment are required before the Gateway or pathway completion is awarded.</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Reassessment</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A later equivalent assessment completed after feedback, reflection, additional practice, and remediation.</w:t>
            </w:r>
          </w:p>
        </w:tc>
      </w:tr>
      <w:tr>
        <w:trPr>
          <w:cantSplit/>
        </w:trPr>
        <w:tc>
          <w:tcPr>
            <w:tcW w:type="dxa" w:w="2880"/>
            <w:tcMar>
              <w:top w:w="90" w:type="dxa"/>
              <w:start w:w="90" w:type="dxa"/>
              <w:bottom w:w="90" w:type="dxa"/>
              <w:end w:w="90" w:type="dxa"/>
            </w:tcMar>
            <w:vAlign w:val="center"/>
            <w:shd w:fill="EAF2F8"/>
          </w:tcPr>
          <w:p>
            <w:pPr>
              <w:spacing w:after="0"/>
            </w:pPr>
            <w:r/>
            <w:r>
              <w:rPr>
                <w:rFonts w:ascii="Aptos" w:hAnsi="Aptos"/>
                <w:b w:val="0"/>
                <w:sz w:val="16"/>
              </w:rPr>
              <w:t>Reverification</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A later check of a critical competency when the student enters a more advanced environment.</w:t>
            </w:r>
          </w:p>
        </w:tc>
      </w:tr>
      <w:tr>
        <w:trPr>
          <w:cantSplit/>
        </w:trPr>
        <w:tc>
          <w:tcPr>
            <w:tcW w:type="dxa" w:w="2880"/>
            <w:tcMar>
              <w:top w:w="90" w:type="dxa"/>
              <w:start w:w="90" w:type="dxa"/>
              <w:bottom w:w="90" w:type="dxa"/>
              <w:end w:w="90" w:type="dxa"/>
            </w:tcMar>
            <w:vAlign w:val="center"/>
            <w:shd w:fill="FFFFFF"/>
          </w:tcPr>
          <w:p>
            <w:pPr>
              <w:spacing w:after="0"/>
            </w:pPr>
            <w:r/>
            <w:r>
              <w:rPr>
                <w:rFonts w:ascii="Aptos" w:hAnsi="Aptos"/>
                <w:b w:val="0"/>
                <w:sz w:val="16"/>
              </w:rPr>
              <w:t>Stop-work</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The student's authority and responsibility to stop an unsafe, prohibited, unapproved, unsupported, or seriously concerning task and seek help.</w:t>
            </w:r>
          </w:p>
        </w:tc>
      </w:tr>
    </w:tbl>
    <w:p>
      <w:pPr>
        <w:spacing w:after="0"/>
      </w:pPr>
    </w:p>
    <w:p>
      <w:r>
        <w:br w:type="page"/>
      </w:r>
    </w:p>
    <w:p>
      <w:pPr>
        <w:pStyle w:val="Heading1"/>
      </w:pPr>
      <w:r>
        <w:t>Appendix J: Companion Document Map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112"/>
            <w:tcMar>
              <w:top w:w="90" w:type="dxa"/>
              <w:start w:w="90" w:type="dxa"/>
              <w:bottom w:w="90" w:type="dxa"/>
              <w:end w:w="90" w:type="dxa"/>
            </w:tcMar>
            <w:vAlign w:val="center"/>
            <w:shd w:fill="1F4E78"/>
          </w:tcPr>
          <w:p>
            <w:pPr>
              <w:spacing w:after="0"/>
            </w:pPr>
            <w:r/>
            <w:r>
              <w:rPr>
                <w:rFonts w:ascii="Aptos" w:hAnsi="Aptos"/>
                <w:b/>
                <w:color w:val="FFFFFF"/>
                <w:sz w:val="17"/>
              </w:rPr>
              <w:t>Question</w:t>
            </w:r>
          </w:p>
        </w:tc>
        <w:tc>
          <w:tcPr>
            <w:tcW w:type="dxa" w:w="4968"/>
            <w:tcMar>
              <w:top w:w="90" w:type="dxa"/>
              <w:start w:w="90" w:type="dxa"/>
              <w:bottom w:w="90" w:type="dxa"/>
              <w:end w:w="90" w:type="dxa"/>
            </w:tcMar>
            <w:vAlign w:val="center"/>
            <w:shd w:fill="1F4E78"/>
          </w:tcPr>
          <w:p>
            <w:pPr>
              <w:spacing w:after="0"/>
            </w:pPr>
            <w:r/>
            <w:r>
              <w:rPr>
                <w:rFonts w:ascii="Aptos" w:hAnsi="Aptos"/>
                <w:b/>
                <w:color w:val="FFFFFF"/>
                <w:sz w:val="17"/>
              </w:rPr>
              <w:t>Primary source</w:t>
            </w:r>
          </w:p>
        </w:tc>
      </w:tr>
      <w:tr>
        <w:trPr>
          <w:cantSplit/>
        </w:trPr>
        <w:tc>
          <w:tcPr>
            <w:tcW w:type="dxa" w:w="5112"/>
            <w:tcMar>
              <w:top w:w="90" w:type="dxa"/>
              <w:start w:w="90" w:type="dxa"/>
              <w:bottom w:w="90" w:type="dxa"/>
              <w:end w:w="90" w:type="dxa"/>
            </w:tcMar>
            <w:vAlign w:val="center"/>
            <w:shd w:fill="EAF2F8"/>
          </w:tcPr>
          <w:p>
            <w:pPr>
              <w:spacing w:after="0"/>
            </w:pPr>
            <w:r/>
            <w:r>
              <w:rPr>
                <w:rFonts w:ascii="Aptos" w:hAnsi="Aptos"/>
                <w:b w:val="0"/>
                <w:sz w:val="16"/>
              </w:rPr>
              <w:t>What is the pathway, how do students progress, and which architecture controls?</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Book One: Program Blueprint</w:t>
            </w:r>
          </w:p>
        </w:tc>
      </w:tr>
      <w:tr>
        <w:trPr>
          <w:cantSplit/>
        </w:trPr>
        <w:tc>
          <w:tcPr>
            <w:tcW w:type="dxa" w:w="5112"/>
            <w:tcMar>
              <w:top w:w="90" w:type="dxa"/>
              <w:start w:w="90" w:type="dxa"/>
              <w:bottom w:w="90" w:type="dxa"/>
              <w:end w:w="90" w:type="dxa"/>
            </w:tcMar>
            <w:vAlign w:val="center"/>
            <w:shd w:fill="FFFFFF"/>
          </w:tcPr>
          <w:p>
            <w:pPr>
              <w:spacing w:after="0"/>
            </w:pPr>
            <w:r/>
            <w:r>
              <w:rPr>
                <w:rFonts w:ascii="Aptos" w:hAnsi="Aptos"/>
                <w:b w:val="0"/>
                <w:sz w:val="16"/>
              </w:rPr>
              <w:t>What evidence is used, how is competency judged, and how are students, sites, and the pathway evaluated?</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Book Two: Assessment, Evaluation &amp; Continuous Improvement</w:t>
            </w:r>
          </w:p>
        </w:tc>
      </w:tr>
      <w:tr>
        <w:trPr>
          <w:cantSplit/>
        </w:trPr>
        <w:tc>
          <w:tcPr>
            <w:tcW w:type="dxa" w:w="5112"/>
            <w:tcMar>
              <w:top w:w="90" w:type="dxa"/>
              <w:start w:w="90" w:type="dxa"/>
              <w:bottom w:w="90" w:type="dxa"/>
              <w:end w:w="90" w:type="dxa"/>
            </w:tcMar>
            <w:vAlign w:val="center"/>
            <w:shd w:fill="EAF2F8"/>
          </w:tcPr>
          <w:p>
            <w:pPr>
              <w:spacing w:after="0"/>
            </w:pPr>
            <w:r/>
            <w:r>
              <w:rPr>
                <w:rFonts w:ascii="Aptos" w:hAnsi="Aptos"/>
                <w:b w:val="0"/>
                <w:sz w:val="16"/>
              </w:rPr>
              <w:t>Who completes the next step, when, using which approved procedure or record?</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Book Three: Operations Manual</w:t>
            </w:r>
          </w:p>
        </w:tc>
      </w:tr>
      <w:tr>
        <w:trPr>
          <w:cantSplit/>
        </w:trPr>
        <w:tc>
          <w:tcPr>
            <w:tcW w:type="dxa" w:w="5112"/>
            <w:tcMar>
              <w:top w:w="90" w:type="dxa"/>
              <w:start w:w="90" w:type="dxa"/>
              <w:bottom w:w="90" w:type="dxa"/>
              <w:end w:w="90" w:type="dxa"/>
            </w:tcMar>
            <w:vAlign w:val="center"/>
            <w:shd w:fill="FFFFFF"/>
          </w:tcPr>
          <w:p>
            <w:pPr>
              <w:spacing w:after="0"/>
            </w:pPr>
            <w:r/>
            <w:r>
              <w:rPr>
                <w:rFonts w:ascii="Aptos" w:hAnsi="Aptos"/>
                <w:b w:val="0"/>
                <w:sz w:val="16"/>
              </w:rPr>
              <w:t>What must the Board and district authorize, staff, fund, phase, communicate, or review?</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Book Four: Board Proposal &amp; Implementation Plan</w:t>
            </w:r>
          </w:p>
        </w:tc>
      </w:tr>
      <w:tr>
        <w:trPr>
          <w:cantSplit/>
        </w:trPr>
        <w:tc>
          <w:tcPr>
            <w:tcW w:type="dxa" w:w="5112"/>
            <w:tcMar>
              <w:top w:w="90" w:type="dxa"/>
              <w:start w:w="90" w:type="dxa"/>
              <w:bottom w:w="90" w:type="dxa"/>
              <w:end w:w="90" w:type="dxa"/>
            </w:tcMar>
            <w:vAlign w:val="center"/>
            <w:shd w:fill="EAF2F8"/>
          </w:tcPr>
          <w:p>
            <w:pPr>
              <w:spacing w:after="0"/>
            </w:pPr>
            <w:r/>
            <w:r>
              <w:rPr>
                <w:rFonts w:ascii="Aptos" w:hAnsi="Aptos"/>
                <w:b w:val="0"/>
                <w:sz w:val="16"/>
              </w:rPr>
              <w:t>Which terms, Gateways, course roles, and philosophies are authoritative?</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Culinary Pathway Canon, Version 3.0</w:t>
            </w:r>
          </w:p>
        </w:tc>
      </w:tr>
      <w:tr>
        <w:trPr>
          <w:cantSplit/>
        </w:trPr>
        <w:tc>
          <w:tcPr>
            <w:tcW w:type="dxa" w:w="5112"/>
            <w:tcMar>
              <w:top w:w="90" w:type="dxa"/>
              <w:start w:w="90" w:type="dxa"/>
              <w:bottom w:w="90" w:type="dxa"/>
              <w:end w:w="90" w:type="dxa"/>
            </w:tcMar>
            <w:vAlign w:val="center"/>
            <w:shd w:fill="FFFFFF"/>
          </w:tcPr>
          <w:p>
            <w:pPr>
              <w:spacing w:after="0"/>
            </w:pPr>
            <w:r/>
            <w:r>
              <w:rPr>
                <w:rFonts w:ascii="Aptos" w:hAnsi="Aptos"/>
                <w:b w:val="0"/>
                <w:sz w:val="16"/>
              </w:rPr>
              <w:t>Which cultural commitments guide judgment and behavior?</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Culinary Pathway Operating Principles, Version 1.0</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4F8FA"/>
            <w:tcMar>
              <w:top w:w="115" w:type="dxa"/>
              <w:start w:w="130" w:type="dxa"/>
              <w:bottom w:w="115" w:type="dxa"/>
              <w:end w:w="130" w:type="dxa"/>
            </w:tcMar>
          </w:tcPr>
          <w:p>
            <w:pPr>
              <w:spacing w:after="30"/>
            </w:pPr>
            <w:r/>
            <w:r>
              <w:rPr>
                <w:b/>
                <w:color w:val="1C8C8C"/>
                <w:sz w:val="20"/>
              </w:rPr>
              <w:t>Final Operating Standard</w:t>
            </w:r>
          </w:p>
          <w:p>
            <w:pPr>
              <w:spacing w:after="0"/>
            </w:pPr>
            <w:r>
              <w:rPr>
                <w:sz w:val="18"/>
              </w:rPr>
              <w:t>Provide clear direction. Prepare before independence. Inspect what you expect. Document the decision. Maintain one authoritative record. Improve only through approved review.</w:t>
            </w:r>
          </w:p>
        </w:tc>
      </w:tr>
    </w:tbl>
    <w:p>
      <w:pPr>
        <w:spacing w:after="0"/>
      </w:pP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Version 4.0 Refined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8"/>
        <w:sz w:val="17"/>
      </w:rPr>
      <w:t>GCSD CULINARY PATHWAY  |  BOOK THREE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Theme="majorHAnsi" w:eastAsiaTheme="majorEastAsia" w:hAnsiTheme="majorHAnsi" w:cstheme="majorBidi" w:ascii="Aptos" w:hAnsi="Apto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90"/>
      <w:outlineLvl w:val="2"/>
    </w:pPr>
    <w:rPr>
      <w:rFonts w:asciiTheme="majorHAnsi" w:eastAsiaTheme="majorEastAsia" w:hAnsiTheme="majorHAnsi" w:cstheme="majorBidi" w:ascii="Aptos" w:hAnsi="Aptos"/>
      <w:b/>
      <w:bCs/>
      <w:color w:val="1C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90" w:line="240" w:lineRule="auto" w:before="18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pageBreakBefore/>
      <w:spacing w:after="160"/>
    </w:pPr>
    <w:rPr>
      <w:rFonts w:ascii="Aptos Display" w:hAnsi="Aptos Display"/>
      <w:b/>
      <w:color w:val="1F4E78"/>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