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GREECE CENTRAL SCHOOL DISTRICT</w:t>
      </w:r>
    </w:p>
    <w:p>
      <w:pPr>
        <w:spacing w:after="400"/>
      </w:pPr>
    </w:p>
    <w:p>
      <w:pPr>
        <w:jc w:val="center"/>
      </w:pPr>
      <w:r>
        <w:rPr>
          <w:b/>
          <w:color w:val="1C8C8C"/>
          <w:sz w:val="36"/>
        </w:rPr>
        <w:t>BOOK FOUR</w:t>
      </w:r>
    </w:p>
    <w:p>
      <w:pPr>
        <w:pStyle w:val="Title"/>
        <w:jc w:val="center"/>
      </w:pPr>
      <w:r>
        <w:t>CULINARY PATHWAY</w:t>
        <w:br/>
        <w:t>BOARD PROPOSAL &amp;</w:t>
        <w:br/>
        <w:t>IMPLEMENTATION PLAN</w:t>
      </w:r>
    </w:p>
    <w:p>
      <w:pPr>
        <w:jc w:val="center"/>
      </w:pPr>
      <w:r>
        <w:rPr>
          <w:color w:val="666666"/>
          <w:sz w:val="23"/>
        </w:rPr>
        <w:t>The public case, implementation sequence, and staged Board action</w:t>
        <w:br/>
        <w:t>for the three-year competency continuum</w:t>
      </w:r>
    </w:p>
    <w:p>
      <w:pPr>
        <w:spacing w:after="360"/>
      </w:pPr>
    </w:p>
    <w:tbl>
      <w:tblPr>
        <w:tblStyle w:val="TableGrid"/>
        <w:tblW w:type="auto" w:w="0"/>
        <w:jc w:val="center"/>
        <w:tblLook w:firstColumn="1" w:firstRow="1" w:lastColumn="0" w:lastRow="0" w:noHBand="0" w:noVBand="1" w:val="04A0"/>
      </w:tblPr>
      <w:tblGrid>
        <w:gridCol w:w="5083"/>
        <w:gridCol w:w="5083"/>
      </w:tblGrid>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VERSION</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4.0 - Refined Editorial Edition</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PREPARED BY</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Kevin McCann</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DATE</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July 2026</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STATUS</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Planning document; not adopted district policy</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GOVERNING SOURCES</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Culinary Pathway Canon v3.0 and Operating Principles v1.0</w:t>
            </w:r>
          </w:p>
        </w:tc>
      </w:tr>
      <w:tr>
        <w:tc>
          <w:tcPr>
            <w:tcW w:type="dxa" w:w="5083"/>
            <w:tcMar>
              <w:top w:w="90" w:type="dxa"/>
              <w:start w:w="90" w:type="dxa"/>
              <w:bottom w:w="90" w:type="dxa"/>
              <w:end w:w="90" w:type="dxa"/>
            </w:tcMar>
            <w:vAlign w:val="center"/>
            <w:shd w:fill="FFFFFF"/>
          </w:tcPr>
          <w:p>
            <w:pPr>
              <w:spacing w:after="0"/>
            </w:pPr>
            <w:r/>
            <w:r>
              <w:rPr>
                <w:rFonts w:ascii="Aptos" w:hAnsi="Aptos"/>
                <w:b/>
                <w:color w:val="1F4E78"/>
                <w:sz w:val="17"/>
              </w:rPr>
              <w:t>SERIES POSITION</w:t>
            </w:r>
          </w:p>
        </w:tc>
        <w:tc>
          <w:tcPr>
            <w:tcW w:type="dxa" w:w="5083"/>
            <w:tcMar>
              <w:top w:w="90" w:type="dxa"/>
              <w:start w:w="90" w:type="dxa"/>
              <w:bottom w:w="90" w:type="dxa"/>
              <w:end w:w="90" w:type="dxa"/>
            </w:tcMar>
            <w:vAlign w:val="center"/>
            <w:shd w:fill="FFFFFF"/>
          </w:tcPr>
          <w:p>
            <w:pPr>
              <w:spacing w:after="0"/>
            </w:pPr>
            <w:r/>
            <w:r>
              <w:rPr>
                <w:rFonts w:ascii="Aptos" w:hAnsi="Aptos"/>
                <w:b w:val="0"/>
                <w:sz w:val="17"/>
              </w:rPr>
              <w:t>Book Four of Four</w:t>
            </w:r>
          </w:p>
        </w:tc>
      </w:tr>
    </w:tbl>
    <w:p>
      <w:pPr>
        <w:spacing w:after="360"/>
      </w:pPr>
    </w:p>
    <w:p>
      <w:pPr>
        <w:jc w:val="center"/>
      </w:pPr>
      <w:r>
        <w:rPr>
          <w:b/>
          <w:color w:val="1C8C8C"/>
          <w:sz w:val="21"/>
        </w:rPr>
        <w:t>Endorse the direction. Authorize the planning. Verify readiness. Launch responsibly.</w:t>
      </w:r>
    </w:p>
    <w:p>
      <w:pPr>
        <w:jc w:val="center"/>
      </w:pPr>
      <w:r>
        <w:rPr>
          <w:i/>
          <w:color w:val="666666"/>
          <w:sz w:val="19"/>
        </w:rPr>
        <w:t>Prepare students. Verify competence. Increase responsibility. Support the transition to professional practice.</w:t>
      </w:r>
    </w:p>
    <w:p>
      <w:r>
        <w:br w:type="page"/>
      </w:r>
    </w:p>
    <w:p>
      <w:pPr>
        <w:pStyle w:val="Heading1"/>
      </w:pPr>
      <w:r>
        <w:t>Board Implementation Commitments</w:t>
      </w:r>
    </w:p>
    <w:p>
      <w:r>
        <w:t>These commitments translate the Culinary Pathway Operating Principles into public implementation controls.</w:t>
      </w:r>
    </w:p>
    <w:tbl>
      <w:tblPr>
        <w:tblStyle w:val="TableGrid"/>
        <w:tblW w:type="auto" w:w="0"/>
        <w:jc w:val="center"/>
        <w:tblLook w:firstColumn="1" w:firstRow="1" w:lastColumn="0" w:lastRow="0" w:noHBand="0" w:noVBand="1" w:val="04A0"/>
      </w:tblPr>
      <w:tblGrid>
        <w:gridCol w:w="5083"/>
        <w:gridCol w:w="5083"/>
      </w:tblGrid>
      <w:tr>
        <w:tc>
          <w:tcPr>
            <w:tcW w:type="dxa" w:w="5083"/>
            <w:shd w:fill="E8F5F5"/>
            <w:tcMar>
              <w:top w:w="95" w:type="dxa"/>
              <w:start w:w="110" w:type="dxa"/>
              <w:bottom w:w="95" w:type="dxa"/>
              <w:end w:w="110" w:type="dxa"/>
            </w:tcMar>
          </w:tcPr>
          <w:p>
            <w:pPr>
              <w:spacing w:after="24"/>
            </w:pPr>
            <w:r/>
            <w:r>
              <w:rPr>
                <w:b/>
                <w:color w:val="1C8C8C"/>
                <w:sz w:val="18"/>
              </w:rPr>
              <w:t>Students Advance by Demonstrating Competency.</w:t>
            </w:r>
          </w:p>
          <w:p>
            <w:pPr>
              <w:spacing w:after="0"/>
            </w:pPr>
            <w:r>
              <w:rPr>
                <w:sz w:val="16"/>
              </w:rPr>
              <w:t>The Culinary Passport and six Gateways make readiness visible before greater responsibility is authorized.</w:t>
            </w:r>
          </w:p>
        </w:tc>
        <w:tc>
          <w:tcPr>
            <w:tcW w:type="dxa" w:w="5083"/>
            <w:shd w:fill="EAF2F8"/>
            <w:tcMar>
              <w:top w:w="95" w:type="dxa"/>
              <w:start w:w="110" w:type="dxa"/>
              <w:bottom w:w="95" w:type="dxa"/>
              <w:end w:w="110" w:type="dxa"/>
            </w:tcMar>
          </w:tcPr>
          <w:p>
            <w:pPr>
              <w:spacing w:after="24"/>
            </w:pPr>
            <w:r/>
            <w:r>
              <w:rPr>
                <w:b/>
                <w:color w:val="1F4E78"/>
                <w:sz w:val="18"/>
              </w:rPr>
              <w:t>Quality Before Quantity.</w:t>
            </w:r>
          </w:p>
          <w:p>
            <w:pPr>
              <w:spacing w:after="0"/>
            </w:pPr>
            <w:r>
              <w:rPr>
                <w:sz w:val="16"/>
              </w:rPr>
              <w:t>The district limits cohort size, sites, and expansion when staffing, supervision, transportation, support, or records cannot sustain quality.</w:t>
            </w:r>
          </w:p>
        </w:tc>
      </w:tr>
      <w:tr>
        <w:tc>
          <w:tcPr>
            <w:tcW w:type="dxa" w:w="5083"/>
            <w:shd w:fill="EAF2F8"/>
            <w:tcMar>
              <w:top w:w="95" w:type="dxa"/>
              <w:start w:w="110" w:type="dxa"/>
              <w:bottom w:w="95" w:type="dxa"/>
              <w:end w:w="110" w:type="dxa"/>
            </w:tcMar>
          </w:tcPr>
          <w:p>
            <w:pPr>
              <w:spacing w:after="24"/>
            </w:pPr>
            <w:r/>
            <w:r>
              <w:rPr>
                <w:b/>
                <w:color w:val="1C8C8C"/>
                <w:sz w:val="18"/>
              </w:rPr>
              <w:t>Learning Before Labor.</w:t>
            </w:r>
          </w:p>
          <w:p>
            <w:pPr>
              <w:spacing w:after="0"/>
            </w:pPr>
            <w:r>
              <w:rPr>
                <w:sz w:val="16"/>
              </w:rPr>
              <w:t>Authentic production and employer participation remain educational experiences; student learning is never secondary to operational need.</w:t>
            </w:r>
          </w:p>
        </w:tc>
        <w:tc>
          <w:tcPr>
            <w:tcW w:type="dxa" w:w="5083"/>
            <w:shd w:fill="E8F5F5"/>
            <w:tcMar>
              <w:top w:w="95" w:type="dxa"/>
              <w:start w:w="110" w:type="dxa"/>
              <w:bottom w:w="95" w:type="dxa"/>
              <w:end w:w="110" w:type="dxa"/>
            </w:tcMar>
          </w:tcPr>
          <w:p>
            <w:pPr>
              <w:spacing w:after="24"/>
            </w:pPr>
            <w:r/>
            <w:r>
              <w:rPr>
                <w:b/>
                <w:color w:val="1F4E78"/>
                <w:sz w:val="18"/>
              </w:rPr>
              <w:t>Travel Rights Are Earned.</w:t>
            </w:r>
          </w:p>
          <w:p>
            <w:pPr>
              <w:spacing w:after="0"/>
            </w:pPr>
            <w:r>
              <w:rPr>
                <w:sz w:val="16"/>
              </w:rPr>
              <w:t>Gateway 5 establishes educational readiness to seek an approved placement; it does not guarantee placement.</w:t>
            </w:r>
          </w:p>
        </w:tc>
      </w:tr>
      <w:tr>
        <w:tc>
          <w:tcPr>
            <w:tcW w:type="dxa" w:w="5083"/>
            <w:shd w:fill="E8F5F5"/>
            <w:tcMar>
              <w:top w:w="95" w:type="dxa"/>
              <w:start w:w="110" w:type="dxa"/>
              <w:bottom w:w="95" w:type="dxa"/>
              <w:end w:w="110" w:type="dxa"/>
            </w:tcMar>
          </w:tcPr>
          <w:p>
            <w:pPr>
              <w:spacing w:after="24"/>
            </w:pPr>
            <w:r/>
            <w:r>
              <w:rPr>
                <w:b/>
                <w:color w:val="1C8C8C"/>
                <w:sz w:val="18"/>
              </w:rPr>
              <w:t>Preparation Before Independence.</w:t>
            </w:r>
          </w:p>
          <w:p>
            <w:pPr>
              <w:spacing w:after="0"/>
            </w:pPr>
            <w:r>
              <w:rPr>
                <w:sz w:val="16"/>
              </w:rPr>
              <w:t>External placement begins only after Gateway 5, site approval, orientation, support, and all launch conditions are complete.</w:t>
            </w:r>
          </w:p>
        </w:tc>
        <w:tc>
          <w:tcPr>
            <w:tcW w:type="dxa" w:w="5083"/>
            <w:shd w:fill="EAF2F8"/>
            <w:tcMar>
              <w:top w:w="95" w:type="dxa"/>
              <w:start w:w="110" w:type="dxa"/>
              <w:bottom w:w="95" w:type="dxa"/>
              <w:end w:w="110" w:type="dxa"/>
            </w:tcMar>
          </w:tcPr>
          <w:p>
            <w:pPr>
              <w:spacing w:after="24"/>
            </w:pPr>
            <w:r/>
            <w:r>
              <w:rPr>
                <w:b/>
                <w:color w:val="1F4E78"/>
                <w:sz w:val="18"/>
              </w:rPr>
              <w:t>Inspect What You Expect.</w:t>
            </w:r>
          </w:p>
          <w:p>
            <w:pPr>
              <w:spacing w:after="0"/>
            </w:pPr>
            <w:r>
              <w:rPr>
                <w:sz w:val="16"/>
              </w:rPr>
              <w:t>The Board receives launch-readiness evidence and annual results before continuation or expansion decisions.</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F4F8FA"/>
            <w:tcMar>
              <w:top w:w="115" w:type="dxa"/>
              <w:start w:w="130" w:type="dxa"/>
              <w:bottom w:w="115" w:type="dxa"/>
              <w:end w:w="130" w:type="dxa"/>
            </w:tcMar>
          </w:tcPr>
          <w:p>
            <w:pPr>
              <w:spacing w:after="30"/>
            </w:pPr>
            <w:r/>
            <w:r>
              <w:rPr>
                <w:b/>
                <w:color w:val="1C8C8C"/>
                <w:sz w:val="20"/>
              </w:rPr>
              <w:t>Public Commitment</w:t>
            </w:r>
          </w:p>
          <w:p>
            <w:pPr>
              <w:spacing w:after="0"/>
            </w:pPr>
            <w:r>
              <w:rPr>
                <w:sz w:val="18"/>
              </w:rPr>
              <w:t>The district builds only what it can staff, supervise, support, and sustain. Evidence is reported before the pathway expands.</w:t>
            </w:r>
          </w:p>
        </w:tc>
      </w:tr>
    </w:tbl>
    <w:p>
      <w:pPr>
        <w:spacing w:after="0"/>
      </w:pPr>
    </w:p>
    <w:p>
      <w:r>
        <w:br w:type="page"/>
      </w:r>
    </w:p>
    <w:p>
      <w:pPr>
        <w:pStyle w:val="Heading1"/>
      </w:pPr>
      <w:r>
        <w:t>Document Status</w:t>
      </w:r>
    </w:p>
    <w:p>
      <w:r>
        <w:t>This proposal presents the intended Board-level direction and implementation plan for the Greece Central School District Culinary Pathway. It is governed by the Culinary Pathway Canon, Version 3.0, and the Culinary Pathway Operating Principles, Version 1.0. Books One through Three provide the supporting architecture, assessment system, and operating procedures.</w:t>
      </w:r>
    </w:p>
    <w:p>
      <w:r>
        <w:t>This is a planning document, not current district policy. It does not replace Board policy, collective bargaining agreements, approved curriculum, New York State Education Department requirements, labor law, insurance requirements, student-support obligations, accessibility requirements, privacy and records rules, procurement procedures, transportation procedures, or approved district operations. Current law and adopted district policy control.</w:t>
      </w:r>
    </w:p>
    <w:p>
      <w:pPr>
        <w:pStyle w:val="Heading1"/>
      </w:pPr>
      <w:r>
        <w:t>Executive Summary</w:t>
      </w:r>
    </w:p>
    <w:p>
      <w:r>
        <w:t>Greece Central School District already has the instructional foundation for a strong Culinary Pathway: Culinary 1, Culinary 2, Advanced Culinary, Kitchen Management, The Cottage, authentic catering and service work, the Culinary Employability Profile, industry credentials, technical assessment, and community relationships. This proposal connects those strengths into one three-year competency continuum.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792"/>
            <w:tcMar>
              <w:top w:w="90" w:type="dxa"/>
              <w:start w:w="90" w:type="dxa"/>
              <w:bottom w:w="90" w:type="dxa"/>
              <w:end w:w="90" w:type="dxa"/>
            </w:tcMar>
            <w:vAlign w:val="center"/>
            <w:shd w:fill="1F4E78"/>
          </w:tcPr>
          <w:p>
            <w:pPr>
              <w:spacing w:after="0"/>
            </w:pPr>
            <w:r/>
            <w:r>
              <w:rPr>
                <w:rFonts w:ascii="Aptos" w:hAnsi="Aptos"/>
                <w:b/>
                <w:color w:val="FFFFFF"/>
                <w:sz w:val="17"/>
              </w:rPr>
              <w:t>Grade</w:t>
            </w:r>
          </w:p>
        </w:tc>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Courses</w:t>
            </w:r>
          </w:p>
        </w:tc>
        <w:tc>
          <w:tcPr>
            <w:tcW w:type="dxa" w:w="4824"/>
            <w:tcMar>
              <w:top w:w="90" w:type="dxa"/>
              <w:start w:w="90" w:type="dxa"/>
              <w:bottom w:w="90" w:type="dxa"/>
              <w:end w:w="90" w:type="dxa"/>
            </w:tcMar>
            <w:vAlign w:val="center"/>
            <w:shd w:fill="1F4E78"/>
          </w:tcPr>
          <w:p>
            <w:pPr>
              <w:spacing w:after="0"/>
            </w:pPr>
            <w:r/>
            <w:r>
              <w:rPr>
                <w:rFonts w:ascii="Aptos" w:hAnsi="Aptos"/>
                <w:b/>
                <w:color w:val="FFFFFF"/>
                <w:sz w:val="17"/>
              </w:rPr>
              <w:t>Primary focus</w:t>
            </w:r>
          </w:p>
        </w:tc>
        <w:tc>
          <w:tcPr>
            <w:tcW w:type="dxa" w:w="1656"/>
            <w:tcMar>
              <w:top w:w="90" w:type="dxa"/>
              <w:start w:w="90" w:type="dxa"/>
              <w:bottom w:w="90" w:type="dxa"/>
              <w:end w:w="90" w:type="dxa"/>
            </w:tcMar>
            <w:vAlign w:val="center"/>
            <w:shd w:fill="1F4E78"/>
          </w:tcPr>
          <w:p>
            <w:pPr>
              <w:spacing w:after="0"/>
            </w:pPr>
            <w:r/>
            <w:r>
              <w:rPr>
                <w:rFonts w:ascii="Aptos" w:hAnsi="Aptos"/>
                <w:b/>
                <w:color w:val="FFFFFF"/>
                <w:sz w:val="17"/>
              </w:rPr>
              <w:t>Gateway progression</w:t>
            </w:r>
          </w:p>
        </w:tc>
      </w:tr>
      <w:tr>
        <w:trPr>
          <w:cantSplit w:val="true"/>
        </w:trPr>
        <w:tc>
          <w:tcPr>
            <w:tcW w:type="dxa" w:w="792"/>
            <w:tcMar>
              <w:top w:w="90" w:type="dxa"/>
              <w:start w:w="90" w:type="dxa"/>
              <w:bottom w:w="90" w:type="dxa"/>
              <w:end w:w="90" w:type="dxa"/>
            </w:tcMar>
            <w:vAlign w:val="center"/>
            <w:shd w:fill="EAF2F8"/>
          </w:tcPr>
          <w:p>
            <w:pPr>
              <w:spacing w:after="0"/>
            </w:pPr>
            <w:r/>
            <w:r>
              <w:rPr>
                <w:rFonts w:ascii="Aptos" w:hAnsi="Aptos"/>
                <w:b w:val="0"/>
                <w:sz w:val="16"/>
              </w:rPr>
              <w:t>10</w:t>
            </w:r>
          </w:p>
        </w:tc>
        <w:tc>
          <w:tcPr>
            <w:tcW w:type="dxa" w:w="2376"/>
            <w:tcMar>
              <w:top w:w="90" w:type="dxa"/>
              <w:start w:w="90" w:type="dxa"/>
              <w:bottom w:w="90" w:type="dxa"/>
              <w:end w:w="90" w:type="dxa"/>
            </w:tcMar>
            <w:vAlign w:val="center"/>
            <w:shd w:fill="EAF2F8"/>
          </w:tcPr>
          <w:p>
            <w:pPr>
              <w:spacing w:after="0"/>
            </w:pPr>
            <w:r/>
            <w:r>
              <w:rPr>
                <w:rFonts w:ascii="Aptos" w:hAnsi="Aptos"/>
                <w:b w:val="0"/>
                <w:sz w:val="16"/>
              </w:rPr>
              <w:t>Culinary 1 and Culinary 2</w:t>
            </w:r>
          </w:p>
        </w:tc>
        <w:tc>
          <w:tcPr>
            <w:tcW w:type="dxa" w:w="4824"/>
            <w:tcMar>
              <w:top w:w="90" w:type="dxa"/>
              <w:start w:w="90" w:type="dxa"/>
              <w:bottom w:w="90" w:type="dxa"/>
              <w:end w:w="90" w:type="dxa"/>
            </w:tcMar>
            <w:vAlign w:val="center"/>
            <w:shd w:fill="EAF2F8"/>
          </w:tcPr>
          <w:p>
            <w:pPr>
              <w:spacing w:after="0"/>
            </w:pPr>
            <w:r/>
            <w:r>
              <w:rPr>
                <w:rFonts w:ascii="Aptos" w:hAnsi="Aptos"/>
                <w:b w:val="0"/>
                <w:sz w:val="16"/>
              </w:rPr>
              <w:t>Safety, kitchen operations, foundational culinary techniques, and professional habits.</w:t>
            </w:r>
          </w:p>
        </w:tc>
        <w:tc>
          <w:tcPr>
            <w:tcW w:type="dxa" w:w="1656"/>
            <w:tcMar>
              <w:top w:w="90" w:type="dxa"/>
              <w:start w:w="90" w:type="dxa"/>
              <w:bottom w:w="90" w:type="dxa"/>
              <w:end w:w="90" w:type="dxa"/>
            </w:tcMar>
            <w:vAlign w:val="center"/>
            <w:shd w:fill="EAF2F8"/>
          </w:tcPr>
          <w:p>
            <w:pPr>
              <w:spacing w:after="0"/>
            </w:pPr>
            <w:r/>
            <w:r>
              <w:rPr>
                <w:rFonts w:ascii="Aptos" w:hAnsi="Aptos"/>
                <w:b w:val="0"/>
                <w:sz w:val="16"/>
              </w:rPr>
              <w:t>Gateways 1-3</w:t>
            </w:r>
          </w:p>
        </w:tc>
      </w:tr>
      <w:tr>
        <w:trPr>
          <w:cantSplit w:val="true"/>
        </w:trPr>
        <w:tc>
          <w:tcPr>
            <w:tcW w:type="dxa" w:w="792"/>
            <w:tcMar>
              <w:top w:w="90" w:type="dxa"/>
              <w:start w:w="90" w:type="dxa"/>
              <w:bottom w:w="90" w:type="dxa"/>
              <w:end w:w="90" w:type="dxa"/>
            </w:tcMar>
            <w:vAlign w:val="center"/>
            <w:shd w:fill="FFFFFF"/>
          </w:tcPr>
          <w:p>
            <w:pPr>
              <w:spacing w:after="0"/>
            </w:pPr>
            <w:r/>
            <w:r>
              <w:rPr>
                <w:rFonts w:ascii="Aptos" w:hAnsi="Aptos"/>
                <w:b w:val="0"/>
                <w:sz w:val="16"/>
              </w:rPr>
              <w:t>11</w:t>
            </w:r>
          </w:p>
        </w:tc>
        <w:tc>
          <w:tcPr>
            <w:tcW w:type="dxa" w:w="2376"/>
            <w:tcMar>
              <w:top w:w="90" w:type="dxa"/>
              <w:start w:w="90" w:type="dxa"/>
              <w:bottom w:w="90" w:type="dxa"/>
              <w:end w:w="90" w:type="dxa"/>
            </w:tcMar>
            <w:vAlign w:val="center"/>
            <w:shd w:fill="FFFFFF"/>
          </w:tcPr>
          <w:p>
            <w:pPr>
              <w:spacing w:after="0"/>
            </w:pPr>
            <w:r/>
            <w:r>
              <w:rPr>
                <w:rFonts w:ascii="Aptos" w:hAnsi="Aptos"/>
                <w:b w:val="0"/>
                <w:sz w:val="16"/>
              </w:rPr>
              <w:t>Advanced Culinary and Kitchen Management</w:t>
            </w:r>
          </w:p>
        </w:tc>
        <w:tc>
          <w:tcPr>
            <w:tcW w:type="dxa" w:w="4824"/>
            <w:tcMar>
              <w:top w:w="90" w:type="dxa"/>
              <w:start w:w="90" w:type="dxa"/>
              <w:bottom w:w="90" w:type="dxa"/>
              <w:end w:w="90" w:type="dxa"/>
            </w:tcMar>
            <w:vAlign w:val="center"/>
            <w:shd w:fill="FFFFFF"/>
          </w:tcPr>
          <w:p>
            <w:pPr>
              <w:spacing w:after="0"/>
            </w:pPr>
            <w:r/>
            <w:r>
              <w:rPr>
                <w:rFonts w:ascii="Aptos" w:hAnsi="Aptos"/>
                <w:b w:val="0"/>
                <w:sz w:val="16"/>
              </w:rPr>
              <w:t>Client-centered production, The Cottage, leadership, management, and career readiness.</w:t>
            </w:r>
          </w:p>
        </w:tc>
        <w:tc>
          <w:tcPr>
            <w:tcW w:type="dxa" w:w="1656"/>
            <w:tcMar>
              <w:top w:w="90" w:type="dxa"/>
              <w:start w:w="90" w:type="dxa"/>
              <w:bottom w:w="90" w:type="dxa"/>
              <w:end w:w="90" w:type="dxa"/>
            </w:tcMar>
            <w:vAlign w:val="center"/>
            <w:shd w:fill="FFFFFF"/>
          </w:tcPr>
          <w:p>
            <w:pPr>
              <w:spacing w:after="0"/>
            </w:pPr>
            <w:r/>
            <w:r>
              <w:rPr>
                <w:rFonts w:ascii="Aptos" w:hAnsi="Aptos"/>
                <w:b w:val="0"/>
                <w:sz w:val="16"/>
              </w:rPr>
              <w:t>Gateways 4-5</w:t>
            </w:r>
          </w:p>
        </w:tc>
      </w:tr>
      <w:tr>
        <w:trPr>
          <w:cantSplit w:val="true"/>
        </w:trPr>
        <w:tc>
          <w:tcPr>
            <w:tcW w:type="dxa" w:w="792"/>
            <w:tcMar>
              <w:top w:w="90" w:type="dxa"/>
              <w:start w:w="90" w:type="dxa"/>
              <w:bottom w:w="90" w:type="dxa"/>
              <w:end w:w="90" w:type="dxa"/>
            </w:tcMar>
            <w:vAlign w:val="center"/>
            <w:shd w:fill="EAF2F8"/>
          </w:tcPr>
          <w:p>
            <w:pPr>
              <w:spacing w:after="0"/>
            </w:pPr>
            <w:r/>
            <w:r>
              <w:rPr>
                <w:rFonts w:ascii="Aptos" w:hAnsi="Aptos"/>
                <w:b w:val="0"/>
                <w:sz w:val="16"/>
              </w:rPr>
              <w:t>12</w:t>
            </w:r>
          </w:p>
        </w:tc>
        <w:tc>
          <w:tcPr>
            <w:tcW w:type="dxa" w:w="2376"/>
            <w:tcMar>
              <w:top w:w="90" w:type="dxa"/>
              <w:start w:w="90" w:type="dxa"/>
              <w:bottom w:w="90" w:type="dxa"/>
              <w:end w:w="90" w:type="dxa"/>
            </w:tcMar>
            <w:vAlign w:val="center"/>
            <w:shd w:fill="EAF2F8"/>
          </w:tcPr>
          <w:p>
            <w:pPr>
              <w:spacing w:after="0"/>
            </w:pPr>
            <w:r/>
            <w:r>
              <w:rPr>
                <w:rFonts w:ascii="Aptos" w:hAnsi="Aptos"/>
                <w:b w:val="0"/>
                <w:sz w:val="16"/>
              </w:rPr>
              <w:t>Culinary External Work-Based Learning, 1.0 credit</w:t>
            </w:r>
          </w:p>
        </w:tc>
        <w:tc>
          <w:tcPr>
            <w:tcW w:type="dxa" w:w="4824"/>
            <w:tcMar>
              <w:top w:w="90" w:type="dxa"/>
              <w:start w:w="90" w:type="dxa"/>
              <w:bottom w:w="90" w:type="dxa"/>
              <w:end w:w="90" w:type="dxa"/>
            </w:tcMar>
            <w:vAlign w:val="center"/>
            <w:shd w:fill="EAF2F8"/>
          </w:tcPr>
          <w:p>
            <w:pPr>
              <w:spacing w:after="0"/>
            </w:pPr>
            <w:r/>
            <w:r>
              <w:rPr>
                <w:rFonts w:ascii="Aptos" w:hAnsi="Aptos"/>
                <w:b w:val="0"/>
                <w:sz w:val="16"/>
              </w:rPr>
              <w:t>Approved paid or unpaid professional experience, portfolio, reflection, and career transition.</w:t>
            </w:r>
          </w:p>
        </w:tc>
        <w:tc>
          <w:tcPr>
            <w:tcW w:type="dxa" w:w="1656"/>
            <w:tcMar>
              <w:top w:w="90" w:type="dxa"/>
              <w:start w:w="90" w:type="dxa"/>
              <w:bottom w:w="90" w:type="dxa"/>
              <w:end w:w="90" w:type="dxa"/>
            </w:tcMar>
            <w:vAlign w:val="center"/>
            <w:shd w:fill="EAF2F8"/>
          </w:tcPr>
          <w:p>
            <w:pPr>
              <w:spacing w:after="0"/>
            </w:pPr>
            <w:r/>
            <w:r>
              <w:rPr>
                <w:rFonts w:ascii="Aptos" w:hAnsi="Aptos"/>
                <w:b w:val="0"/>
                <w:sz w:val="16"/>
              </w:rPr>
              <w:t>Gateway 6</w:t>
            </w:r>
          </w:p>
        </w:tc>
      </w:tr>
    </w:tbl>
    <w:p>
      <w:pPr>
        <w:spacing w:after="0"/>
      </w:pPr>
    </w:p>
    <w:p>
      <w:r>
        <w:t>Students advance by demonstrating competency. The Culinary Passport records six Gateways that move students from supervised kitchen participation to authentic workplace learning. The Cottage provides client-centered practice under school supervision. Kitchen Management develops leadership and career readiness. The senior course completes the pathway through the proposed registered CO-OP model, subject to district and NYSED review and approval.</w:t>
      </w: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Recommended Board Direction</w:t>
            </w:r>
          </w:p>
          <w:p>
            <w:pPr>
              <w:spacing w:after="0"/>
            </w:pPr>
            <w:r>
              <w:rPr>
                <w:sz w:val="18"/>
              </w:rPr>
              <w:t>Endorse the three-year pathway and six-Gateway model; authorize planning and approval work for the senior course; require a launch-readiness report; and authorize final launch only after all required conditions are documented.</w:t>
            </w:r>
          </w:p>
        </w:tc>
      </w:tr>
    </w:tbl>
    <w:p>
      <w:pPr>
        <w:spacing w:after="0"/>
      </w:pPr>
    </w:p>
    <w:p>
      <w:r>
        <w:br w:type="page"/>
      </w:r>
    </w:p>
    <w:p>
      <w:pPr>
        <w:pStyle w:val="Heading1"/>
      </w:pPr>
      <w:r>
        <w:t>Decision at a Glance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Decision area</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Recommended direction</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Program direction</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Support the Culinary Passport and six-Gateway progression across the existing course sequence.</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Senior course</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Develop a full-year, 1.0-credit Grade 12 Culinary External Work-Based Learning course through the proposed registered CO-OP model, subject to district and NYSED approval.</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Course requirements</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Gateway 5; approved training station; 300 verified hours; completed portfolio; employer feedback; coordinator evaluation; final presentation and exit interview.</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Placements</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Permit approved paid or unpaid experiences related to culinary, hospitality, food systems, retail food operations, nutrition, research, product development, events, or food media.</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Implementation</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Use 2026-27 as the planning and approval year; launch the first full senior cohort no earlier than 2027-28 and only after readiness is certified.</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Staffing</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Assign an appropriately credentialed WBL Coordinator with authority, protected time, travel capacity, and a locally supportable caseload.</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Access</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Resolve transportation, student supports, accommodations, equipment, and cost before a placement is approved.</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Accountability</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Report implementation, student outcomes, training-station quality, access, safety, capacity, and fiscal impact before continuation or expansion.</w:t>
            </w:r>
          </w:p>
        </w:tc>
      </w:tr>
    </w:tbl>
    <w:p>
      <w:pPr>
        <w:spacing w:after="0"/>
      </w:pPr>
    </w:p>
    <w:p>
      <w:pPr>
        <w:pStyle w:val="Heading1"/>
      </w:pPr>
      <w:r>
        <w:t>The Four-Book Series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384"/>
            <w:tcMar>
              <w:top w:w="90" w:type="dxa"/>
              <w:start w:w="90" w:type="dxa"/>
              <w:bottom w:w="90" w:type="dxa"/>
              <w:end w:w="90" w:type="dxa"/>
            </w:tcMar>
            <w:vAlign w:val="center"/>
            <w:shd w:fill="1F4E78"/>
          </w:tcPr>
          <w:p>
            <w:pPr>
              <w:spacing w:after="0"/>
            </w:pPr>
            <w:r/>
            <w:r>
              <w:rPr>
                <w:rFonts w:ascii="Aptos" w:hAnsi="Aptos"/>
                <w:b/>
                <w:color w:val="FFFFFF"/>
                <w:sz w:val="17"/>
              </w:rPr>
              <w:t>Book</w:t>
            </w:r>
          </w:p>
        </w:tc>
        <w:tc>
          <w:tcPr>
            <w:tcW w:type="dxa" w:w="6696"/>
            <w:tcMar>
              <w:top w:w="90" w:type="dxa"/>
              <w:start w:w="90" w:type="dxa"/>
              <w:bottom w:w="90" w:type="dxa"/>
              <w:end w:w="90" w:type="dxa"/>
            </w:tcMar>
            <w:vAlign w:val="center"/>
            <w:shd w:fill="1F4E78"/>
          </w:tcPr>
          <w:p>
            <w:pPr>
              <w:spacing w:after="0"/>
            </w:pPr>
            <w:r/>
            <w:r>
              <w:rPr>
                <w:rFonts w:ascii="Aptos" w:hAnsi="Aptos"/>
                <w:b/>
                <w:color w:val="FFFFFF"/>
                <w:sz w:val="17"/>
              </w:rPr>
              <w:t>Primary role</w:t>
            </w:r>
          </w:p>
        </w:tc>
      </w:tr>
      <w:tr>
        <w:trPr>
          <w:cantSplit w:val="true"/>
        </w:trPr>
        <w:tc>
          <w:tcPr>
            <w:tcW w:type="dxa" w:w="3384"/>
            <w:tcMar>
              <w:top w:w="90" w:type="dxa"/>
              <w:start w:w="90" w:type="dxa"/>
              <w:bottom w:w="90" w:type="dxa"/>
              <w:end w:w="90" w:type="dxa"/>
            </w:tcMar>
            <w:vAlign w:val="center"/>
            <w:shd w:fill="EAF2F8"/>
          </w:tcPr>
          <w:p>
            <w:pPr>
              <w:spacing w:after="0"/>
            </w:pPr>
            <w:r/>
            <w:r>
              <w:rPr>
                <w:rFonts w:ascii="Aptos" w:hAnsi="Aptos"/>
                <w:b w:val="0"/>
                <w:sz w:val="16"/>
              </w:rPr>
              <w:t>Book One: Program Blueprint</w:t>
            </w:r>
          </w:p>
        </w:tc>
        <w:tc>
          <w:tcPr>
            <w:tcW w:type="dxa" w:w="6696"/>
            <w:tcMar>
              <w:top w:w="90" w:type="dxa"/>
              <w:start w:w="90" w:type="dxa"/>
              <w:bottom w:w="90" w:type="dxa"/>
              <w:end w:w="90" w:type="dxa"/>
            </w:tcMar>
            <w:vAlign w:val="center"/>
            <w:shd w:fill="EAF2F8"/>
          </w:tcPr>
          <w:p>
            <w:pPr>
              <w:spacing w:after="0"/>
            </w:pPr>
            <w:r/>
            <w:r>
              <w:rPr>
                <w:rFonts w:ascii="Aptos" w:hAnsi="Aptos"/>
                <w:b w:val="0"/>
                <w:sz w:val="16"/>
              </w:rPr>
              <w:t>Defines pathway architecture, progression, authentic learning environments, governance, and boundaries.</w:t>
            </w:r>
          </w:p>
        </w:tc>
      </w:tr>
      <w:tr>
        <w:trPr>
          <w:cantSplit w:val="true"/>
        </w:trPr>
        <w:tc>
          <w:tcPr>
            <w:tcW w:type="dxa" w:w="3384"/>
            <w:tcMar>
              <w:top w:w="90" w:type="dxa"/>
              <w:start w:w="90" w:type="dxa"/>
              <w:bottom w:w="90" w:type="dxa"/>
              <w:end w:w="90" w:type="dxa"/>
            </w:tcMar>
            <w:vAlign w:val="center"/>
            <w:shd w:fill="FFFFFF"/>
          </w:tcPr>
          <w:p>
            <w:pPr>
              <w:spacing w:after="0"/>
            </w:pPr>
            <w:r/>
            <w:r>
              <w:rPr>
                <w:rFonts w:ascii="Aptos" w:hAnsi="Aptos"/>
                <w:b w:val="0"/>
                <w:sz w:val="16"/>
              </w:rPr>
              <w:t>Book Two: Assessment, Evaluation &amp; Continuous Improvement</w:t>
            </w:r>
          </w:p>
        </w:tc>
        <w:tc>
          <w:tcPr>
            <w:tcW w:type="dxa" w:w="6696"/>
            <w:tcMar>
              <w:top w:w="90" w:type="dxa"/>
              <w:start w:w="90" w:type="dxa"/>
              <w:bottom w:w="90" w:type="dxa"/>
              <w:end w:w="90" w:type="dxa"/>
            </w:tcMar>
            <w:vAlign w:val="center"/>
            <w:shd w:fill="FFFFFF"/>
          </w:tcPr>
          <w:p>
            <w:pPr>
              <w:spacing w:after="0"/>
            </w:pPr>
            <w:r/>
            <w:r>
              <w:rPr>
                <w:rFonts w:ascii="Aptos" w:hAnsi="Aptos"/>
                <w:b w:val="0"/>
                <w:sz w:val="16"/>
              </w:rPr>
              <w:t>Defines evidence, Gateway decisions, training-station quality, program evaluation, and improvement.</w:t>
            </w:r>
          </w:p>
        </w:tc>
      </w:tr>
      <w:tr>
        <w:trPr>
          <w:cantSplit w:val="true"/>
        </w:trPr>
        <w:tc>
          <w:tcPr>
            <w:tcW w:type="dxa" w:w="3384"/>
            <w:tcMar>
              <w:top w:w="90" w:type="dxa"/>
              <w:start w:w="90" w:type="dxa"/>
              <w:bottom w:w="90" w:type="dxa"/>
              <w:end w:w="90" w:type="dxa"/>
            </w:tcMar>
            <w:vAlign w:val="center"/>
            <w:shd w:fill="EAF2F8"/>
          </w:tcPr>
          <w:p>
            <w:pPr>
              <w:spacing w:after="0"/>
            </w:pPr>
            <w:r/>
            <w:r>
              <w:rPr>
                <w:rFonts w:ascii="Aptos" w:hAnsi="Aptos"/>
                <w:b w:val="0"/>
                <w:sz w:val="16"/>
              </w:rPr>
              <w:t>Book Three: Operations Manual</w:t>
            </w:r>
          </w:p>
        </w:tc>
        <w:tc>
          <w:tcPr>
            <w:tcW w:type="dxa" w:w="6696"/>
            <w:tcMar>
              <w:top w:w="90" w:type="dxa"/>
              <w:start w:w="90" w:type="dxa"/>
              <w:bottom w:w="90" w:type="dxa"/>
              <w:end w:w="90" w:type="dxa"/>
            </w:tcMar>
            <w:vAlign w:val="center"/>
            <w:shd w:fill="EAF2F8"/>
          </w:tcPr>
          <w:p>
            <w:pPr>
              <w:spacing w:after="0"/>
            </w:pPr>
            <w:r/>
            <w:r>
              <w:rPr>
                <w:rFonts w:ascii="Aptos" w:hAnsi="Aptos"/>
                <w:b w:val="0"/>
                <w:sz w:val="16"/>
              </w:rPr>
              <w:t>Directs procedures, calendars, records, approvals, monitoring, safety response, and closeout.</w:t>
            </w:r>
          </w:p>
        </w:tc>
      </w:tr>
      <w:tr>
        <w:trPr>
          <w:cantSplit w:val="true"/>
        </w:trPr>
        <w:tc>
          <w:tcPr>
            <w:tcW w:type="dxa" w:w="3384"/>
            <w:tcMar>
              <w:top w:w="90" w:type="dxa"/>
              <w:start w:w="90" w:type="dxa"/>
              <w:bottom w:w="90" w:type="dxa"/>
              <w:end w:w="90" w:type="dxa"/>
            </w:tcMar>
            <w:vAlign w:val="center"/>
            <w:shd w:fill="FFFFFF"/>
          </w:tcPr>
          <w:p>
            <w:pPr>
              <w:spacing w:after="0"/>
            </w:pPr>
            <w:r/>
            <w:r>
              <w:rPr>
                <w:rFonts w:ascii="Aptos" w:hAnsi="Aptos"/>
                <w:b w:val="0"/>
                <w:sz w:val="16"/>
              </w:rPr>
              <w:t>Book Four: Board Proposal &amp; Implementation Plan</w:t>
            </w:r>
          </w:p>
        </w:tc>
        <w:tc>
          <w:tcPr>
            <w:tcW w:type="dxa" w:w="6696"/>
            <w:tcMar>
              <w:top w:w="90" w:type="dxa"/>
              <w:start w:w="90" w:type="dxa"/>
              <w:bottom w:w="90" w:type="dxa"/>
              <w:end w:w="90" w:type="dxa"/>
            </w:tcMar>
            <w:vAlign w:val="center"/>
            <w:shd w:fill="FFFFFF"/>
          </w:tcPr>
          <w:p>
            <w:pPr>
              <w:spacing w:after="0"/>
            </w:pPr>
            <w:r/>
            <w:r>
              <w:rPr>
                <w:rFonts w:ascii="Aptos" w:hAnsi="Aptos"/>
                <w:b w:val="0"/>
                <w:sz w:val="16"/>
              </w:rPr>
              <w:t>Defines staged Board action, implementation sequence, staffing, resources, public accountability, resolution language, and presentation materials.</w:t>
            </w:r>
          </w:p>
        </w:tc>
      </w:tr>
    </w:tbl>
    <w:p>
      <w:pPr>
        <w:spacing w:after="0"/>
      </w:pPr>
    </w:p>
    <w:p>
      <w:pPr>
        <w:pStyle w:val="PartTitle"/>
      </w:pPr>
      <w:r>
        <w:t>PART I</w:t>
        <w:br/>
        <w:t>The Board Proposal</w:t>
      </w:r>
    </w:p>
    <w:p>
      <w:pPr>
        <w:pStyle w:val="Heading3"/>
      </w:pPr>
      <w:r>
        <w:t>A clear public decision built on an existing district program.</w:t>
      </w:r>
    </w:p>
    <w:p>
      <w:pPr>
        <w:pStyle w:val="Heading1"/>
      </w:pPr>
      <w:r>
        <w:t>Chapter 1: Purpose and Requested Action</w:t>
      </w:r>
    </w:p>
    <w:p>
      <w:r>
        <w:t>The Board is being asked to establish a coherent district direction for the Culinary Pathway and authorize the work required to move students from school-based preparation to supervised senior workplace learning.</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96"/>
            <w:tcMar>
              <w:top w:w="90" w:type="dxa"/>
              <w:start w:w="90" w:type="dxa"/>
              <w:bottom w:w="90" w:type="dxa"/>
              <w:end w:w="90" w:type="dxa"/>
            </w:tcMar>
            <w:vAlign w:val="center"/>
            <w:shd w:fill="1F4E78"/>
          </w:tcPr>
          <w:p>
            <w:pPr>
              <w:spacing w:after="0"/>
            </w:pPr>
            <w:r/>
            <w:r>
              <w:rPr>
                <w:rFonts w:ascii="Aptos" w:hAnsi="Aptos"/>
                <w:b/>
                <w:color w:val="FFFFFF"/>
                <w:sz w:val="17"/>
              </w:rPr>
              <w:t>Requested action</w:t>
            </w:r>
          </w:p>
        </w:tc>
        <w:tc>
          <w:tcPr>
            <w:tcW w:type="dxa" w:w="6984"/>
            <w:tcMar>
              <w:top w:w="90" w:type="dxa"/>
              <w:start w:w="90" w:type="dxa"/>
              <w:bottom w:w="90" w:type="dxa"/>
              <w:end w:w="90" w:type="dxa"/>
            </w:tcMar>
            <w:vAlign w:val="center"/>
            <w:shd w:fill="1F4E78"/>
          </w:tcPr>
          <w:p>
            <w:pPr>
              <w:spacing w:after="0"/>
            </w:pPr>
            <w:r/>
            <w:r>
              <w:rPr>
                <w:rFonts w:ascii="Aptos" w:hAnsi="Aptos"/>
                <w:b/>
                <w:color w:val="FFFFFF"/>
                <w:sz w:val="17"/>
              </w:rPr>
              <w:t>What it establishes</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Endorse the three-year pathway</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Culinary 1 and 2 in Grade 10; Advanced Culinary and Kitchen Management in Grade 11; Culinary External Work-Based Learning in Grade 12.</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Support the Culinary Passport</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One official competency and progression record using the six Canon Gateways.</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Authorize senior-course planning</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Curriculum approval, proposed CO-OP registration, course scheduling, related instruction, grading, records, transportation, and partner-site development.</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Assign qualified leadership</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Clear administrative accountability and an appropriately credentialed WBL Coordinator working with Culinary teachers.</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Require launch readiness</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No student begins external WBL until course, coordinator, student, training station, transportation, support, insurance, safety, and documentation requirements are approved.</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Authorize final launch separately</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Launch occurs only after the district receives and accepts the readiness report and all required approvals are complete.</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Require public accountability</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Implementation update before launch and annual evidence before continuation or expansion decisions.</w:t>
            </w:r>
          </w:p>
        </w:tc>
      </w:tr>
    </w:tbl>
    <w:p>
      <w:pPr>
        <w:spacing w:after="0"/>
      </w:pPr>
    </w:p>
    <w:p>
      <w:pPr>
        <w:pStyle w:val="Heading2"/>
      </w:pPr>
      <w:r>
        <w:t>Board Decision Boundaries</w:t>
      </w:r>
    </w:p>
    <w:p>
      <w:pPr>
        <w:pStyle w:val="ListBullet"/>
        <w:spacing w:after="40"/>
      </w:pPr>
      <w:r>
        <w:t>Board endorsement does not guarantee a placement to every student; placement depends on Gateway 5, an approved training station, student support needs, and district capacity.</w:t>
      </w:r>
    </w:p>
    <w:p>
      <w:pPr>
        <w:pStyle w:val="ListBullet"/>
        <w:spacing w:after="40"/>
      </w:pPr>
      <w:r>
        <w:t>Board endorsement does not approve a specific employer, mentor, duty list, student schedule, transportation arrangement, personnel assignment, contract, or expenditure.</w:t>
      </w:r>
    </w:p>
    <w:p>
      <w:pPr>
        <w:pStyle w:val="ListBullet"/>
        <w:spacing w:after="40"/>
      </w:pPr>
      <w:r>
        <w:t>The first cohort remains limited to the number of students and sites the district can supervise at the required standard.</w:t>
      </w:r>
    </w:p>
    <w:p>
      <w:pPr>
        <w:pStyle w:val="ListBullet"/>
        <w:spacing w:after="40"/>
      </w:pPr>
      <w:r>
        <w:t>External Work-Based Learning does not replace the four school-based Culinary courses. Students complete the full sequence before entering the senior course.</w:t>
      </w:r>
    </w:p>
    <w:p>
      <w:pPr>
        <w:pStyle w:val="ListBullet"/>
        <w:spacing w:after="40"/>
      </w:pPr>
      <w:r>
        <w:t>The proposed CO-OP model remains subject to current district, legal, labor, insurance, fiscal, curriculum, and NYSED review.</w:t>
      </w:r>
    </w:p>
    <w:p>
      <w:pPr>
        <w:pStyle w:val="Heading1"/>
      </w:pPr>
      <w:r>
        <w:t>Chapter 2: Existing Foundation and Institutional Next Step</w:t>
      </w:r>
    </w:p>
    <w:p>
      <w:r>
        <w:t>The proposal strengthens work already present in the district rather than creating a parallel program. The next step is to connect instruction, authentic production, leadership, credentials, and community experience through one visible progression.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96"/>
            <w:tcMar>
              <w:top w:w="90" w:type="dxa"/>
              <w:start w:w="90" w:type="dxa"/>
              <w:bottom w:w="90" w:type="dxa"/>
              <w:end w:w="90" w:type="dxa"/>
            </w:tcMar>
            <w:vAlign w:val="center"/>
            <w:shd w:fill="1F4E78"/>
          </w:tcPr>
          <w:p>
            <w:pPr>
              <w:spacing w:after="0"/>
            </w:pPr>
            <w:r/>
            <w:r>
              <w:rPr>
                <w:rFonts w:ascii="Aptos" w:hAnsi="Aptos"/>
                <w:b/>
                <w:color w:val="FFFFFF"/>
                <w:sz w:val="17"/>
              </w:rPr>
              <w:t>Existing foundation</w:t>
            </w:r>
          </w:p>
        </w:tc>
        <w:tc>
          <w:tcPr>
            <w:tcW w:type="dxa" w:w="6984"/>
            <w:tcMar>
              <w:top w:w="90" w:type="dxa"/>
              <w:start w:w="90" w:type="dxa"/>
              <w:bottom w:w="90" w:type="dxa"/>
              <w:end w:w="90" w:type="dxa"/>
            </w:tcMar>
            <w:vAlign w:val="center"/>
            <w:shd w:fill="1F4E78"/>
          </w:tcPr>
          <w:p>
            <w:pPr>
              <w:spacing w:after="0"/>
            </w:pPr>
            <w:r/>
            <w:r>
              <w:rPr>
                <w:rFonts w:ascii="Aptos" w:hAnsi="Aptos"/>
                <w:b/>
                <w:color w:val="FFFFFF"/>
                <w:sz w:val="17"/>
              </w:rPr>
              <w:t>Institutional next step</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Culinary 1 and Culinary 2</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Use common Gateway 1-3 evidence and record verified competency in the Culinary Passport.</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Advanced Culinary</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Center client-driven production, service, quality control, and authentic performance leading to Gateway 4.</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The Cottage</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Operate the School-Based Enterprise as the primary confirmed school-controlled setting for client-centered learning and Gateway 4 evidence.</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Kitchen Management</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Use the course as the leadership, supervision, portfolio, interview, and career-readiness bridge leading to Gateway 5.</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Employability Profile, credentials, and technical assessment</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Connect established evidence to Gateway decisions without duplicating existing records.</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Community and employer relationships</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Develop a reliable pool of approved training stations supported by written training plans and coordinator oversight.</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District school-to-career structures</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Integrate counseling, transportation, student support, technology, business operations, communications, and program evaluation.</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Institution Before Personality</w:t>
            </w:r>
          </w:p>
          <w:p>
            <w:pPr>
              <w:spacing w:after="0"/>
            </w:pPr>
            <w:r>
              <w:rPr>
                <w:sz w:val="18"/>
              </w:rPr>
              <w:t>A common structure protects the pathway from depending on one person's memory, one employer relationship, or isolated events.</w:t>
            </w:r>
          </w:p>
        </w:tc>
      </w:tr>
    </w:tbl>
    <w:p>
      <w:pPr>
        <w:spacing w:after="0"/>
      </w:pPr>
    </w:p>
    <w:p>
      <w:pPr>
        <w:pStyle w:val="Heading1"/>
      </w:pPr>
      <w:r>
        <w:t>Chapter 3: Pathway and Gateway Progression</w:t>
      </w:r>
    </w:p>
    <w:p>
      <w:r>
        <w:t>The pathway increases responsibility only after students demonstrate the knowledge, technical performance, professional habits, leadership, and judgment required for the next environment.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864"/>
            <w:tcMar>
              <w:top w:w="90" w:type="dxa"/>
              <w:start w:w="90" w:type="dxa"/>
              <w:bottom w:w="90" w:type="dxa"/>
              <w:end w:w="90" w:type="dxa"/>
            </w:tcMar>
            <w:vAlign w:val="center"/>
            <w:shd w:fill="1F4E78"/>
          </w:tcPr>
          <w:p>
            <w:pPr>
              <w:spacing w:after="0"/>
            </w:pPr>
            <w:r/>
            <w:r>
              <w:rPr>
                <w:rFonts w:ascii="Aptos" w:hAnsi="Aptos"/>
                <w:b/>
                <w:color w:val="FFFFFF"/>
                <w:sz w:val="17"/>
              </w:rPr>
              <w:t>Gateway</w:t>
            </w:r>
          </w:p>
        </w:tc>
        <w:tc>
          <w:tcPr>
            <w:tcW w:type="dxa" w:w="3816"/>
            <w:tcMar>
              <w:top w:w="90" w:type="dxa"/>
              <w:start w:w="90" w:type="dxa"/>
              <w:bottom w:w="90" w:type="dxa"/>
              <w:end w:w="90" w:type="dxa"/>
            </w:tcMar>
            <w:vAlign w:val="center"/>
            <w:shd w:fill="1F4E78"/>
          </w:tcPr>
          <w:p>
            <w:pPr>
              <w:spacing w:after="0"/>
            </w:pPr>
            <w:r/>
            <w:r>
              <w:rPr>
                <w:rFonts w:ascii="Aptos" w:hAnsi="Aptos"/>
                <w:b/>
                <w:color w:val="FFFFFF"/>
                <w:sz w:val="17"/>
              </w:rPr>
              <w:t>Canonical title</w:t>
            </w:r>
          </w:p>
        </w:tc>
        <w:tc>
          <w:tcPr>
            <w:tcW w:type="dxa" w:w="5400"/>
            <w:tcMar>
              <w:top w:w="90" w:type="dxa"/>
              <w:start w:w="90" w:type="dxa"/>
              <w:bottom w:w="90" w:type="dxa"/>
              <w:end w:w="90" w:type="dxa"/>
            </w:tcMar>
            <w:vAlign w:val="center"/>
            <w:shd w:fill="1F4E78"/>
          </w:tcPr>
          <w:p>
            <w:pPr>
              <w:spacing w:after="0"/>
            </w:pPr>
            <w:r/>
            <w:r>
              <w:rPr>
                <w:rFonts w:ascii="Aptos" w:hAnsi="Aptos"/>
                <w:b/>
                <w:color w:val="FFFFFF"/>
                <w:sz w:val="17"/>
              </w:rPr>
              <w:t>Board-level meaning</w:t>
            </w:r>
          </w:p>
        </w:tc>
      </w:tr>
      <w:tr>
        <w:trPr>
          <w:cantSplit w:val="true"/>
        </w:trPr>
        <w:tc>
          <w:tcPr>
            <w:tcW w:type="dxa" w:w="864"/>
            <w:tcMar>
              <w:top w:w="90" w:type="dxa"/>
              <w:start w:w="90" w:type="dxa"/>
              <w:bottom w:w="90" w:type="dxa"/>
              <w:end w:w="90" w:type="dxa"/>
            </w:tcMar>
            <w:vAlign w:val="center"/>
            <w:shd w:fill="EAF2F8"/>
          </w:tcPr>
          <w:p>
            <w:pPr>
              <w:spacing w:after="0"/>
            </w:pPr>
            <w:r/>
            <w:r>
              <w:rPr>
                <w:rFonts w:ascii="Aptos" w:hAnsi="Aptos"/>
                <w:b w:val="0"/>
                <w:sz w:val="16"/>
              </w:rPr>
              <w:t>1</w:t>
            </w:r>
          </w:p>
        </w:tc>
        <w:tc>
          <w:tcPr>
            <w:tcW w:type="dxa" w:w="3816"/>
            <w:tcMar>
              <w:top w:w="90" w:type="dxa"/>
              <w:start w:w="90" w:type="dxa"/>
              <w:bottom w:w="90" w:type="dxa"/>
              <w:end w:w="90" w:type="dxa"/>
            </w:tcMar>
            <w:vAlign w:val="center"/>
            <w:shd w:fill="EAF2F8"/>
          </w:tcPr>
          <w:p>
            <w:pPr>
              <w:spacing w:after="0"/>
            </w:pPr>
            <w:r/>
            <w:r>
              <w:rPr>
                <w:rFonts w:ascii="Aptos" w:hAnsi="Aptos"/>
                <w:b w:val="0"/>
                <w:sz w:val="16"/>
              </w:rPr>
              <w:t>Cleared for Supervised Kitchen Participation</w:t>
            </w:r>
          </w:p>
        </w:tc>
        <w:tc>
          <w:tcPr>
            <w:tcW w:type="dxa" w:w="5400"/>
            <w:tcMar>
              <w:top w:w="90" w:type="dxa"/>
              <w:start w:w="90" w:type="dxa"/>
              <w:bottom w:w="90" w:type="dxa"/>
              <w:end w:w="90" w:type="dxa"/>
            </w:tcMar>
            <w:vAlign w:val="center"/>
            <w:shd w:fill="EAF2F8"/>
          </w:tcPr>
          <w:p>
            <w:pPr>
              <w:spacing w:after="0"/>
            </w:pPr>
            <w:r/>
            <w:r>
              <w:rPr>
                <w:rFonts w:ascii="Aptos" w:hAnsi="Aptos"/>
                <w:b w:val="0"/>
                <w:sz w:val="16"/>
              </w:rPr>
              <w:t>Essential safety, sanitation, food-safety, hygiene, emergency, equipment, and professional expectations.</w:t>
            </w:r>
          </w:p>
        </w:tc>
      </w:tr>
      <w:tr>
        <w:trPr>
          <w:cantSplit w:val="true"/>
        </w:trPr>
        <w:tc>
          <w:tcPr>
            <w:tcW w:type="dxa" w:w="864"/>
            <w:tcMar>
              <w:top w:w="90" w:type="dxa"/>
              <w:start w:w="90" w:type="dxa"/>
              <w:bottom w:w="90" w:type="dxa"/>
              <w:end w:w="90" w:type="dxa"/>
            </w:tcMar>
            <w:vAlign w:val="center"/>
            <w:shd w:fill="FFFFFF"/>
          </w:tcPr>
          <w:p>
            <w:pPr>
              <w:spacing w:after="0"/>
            </w:pPr>
            <w:r/>
            <w:r>
              <w:rPr>
                <w:rFonts w:ascii="Aptos" w:hAnsi="Aptos"/>
                <w:b w:val="0"/>
                <w:sz w:val="16"/>
              </w:rPr>
              <w:t>2</w:t>
            </w:r>
          </w:p>
        </w:tc>
        <w:tc>
          <w:tcPr>
            <w:tcW w:type="dxa" w:w="3816"/>
            <w:tcMar>
              <w:top w:w="90" w:type="dxa"/>
              <w:start w:w="90" w:type="dxa"/>
              <w:bottom w:w="90" w:type="dxa"/>
              <w:end w:w="90" w:type="dxa"/>
            </w:tcMar>
            <w:vAlign w:val="center"/>
            <w:shd w:fill="FFFFFF"/>
          </w:tcPr>
          <w:p>
            <w:pPr>
              <w:spacing w:after="0"/>
            </w:pPr>
            <w:r/>
            <w:r>
              <w:rPr>
                <w:rFonts w:ascii="Aptos" w:hAnsi="Aptos"/>
                <w:b w:val="0"/>
                <w:sz w:val="16"/>
              </w:rPr>
              <w:t>Demonstrated Kitchen-Work Readiness</w:t>
            </w:r>
          </w:p>
        </w:tc>
        <w:tc>
          <w:tcPr>
            <w:tcW w:type="dxa" w:w="5400"/>
            <w:tcMar>
              <w:top w:w="90" w:type="dxa"/>
              <w:start w:w="90" w:type="dxa"/>
              <w:bottom w:w="90" w:type="dxa"/>
              <w:end w:w="90" w:type="dxa"/>
            </w:tcMar>
            <w:vAlign w:val="center"/>
            <w:shd w:fill="FFFFFF"/>
          </w:tcPr>
          <w:p>
            <w:pPr>
              <w:spacing w:after="0"/>
            </w:pPr>
            <w:r/>
            <w:r>
              <w:rPr>
                <w:rFonts w:ascii="Aptos" w:hAnsi="Aptos"/>
                <w:b w:val="0"/>
                <w:sz w:val="16"/>
              </w:rPr>
              <w:t>Established kitchen systems, station organization, recipe and tool use, time management, teamwork, and closing work.</w:t>
            </w:r>
          </w:p>
        </w:tc>
      </w:tr>
      <w:tr>
        <w:trPr>
          <w:cantSplit w:val="true"/>
        </w:trPr>
        <w:tc>
          <w:tcPr>
            <w:tcW w:type="dxa" w:w="864"/>
            <w:tcMar>
              <w:top w:w="90" w:type="dxa"/>
              <w:start w:w="90" w:type="dxa"/>
              <w:bottom w:w="90" w:type="dxa"/>
              <w:end w:w="90" w:type="dxa"/>
            </w:tcMar>
            <w:vAlign w:val="center"/>
            <w:shd w:fill="EAF2F8"/>
          </w:tcPr>
          <w:p>
            <w:pPr>
              <w:spacing w:after="0"/>
            </w:pPr>
            <w:r/>
            <w:r>
              <w:rPr>
                <w:rFonts w:ascii="Aptos" w:hAnsi="Aptos"/>
                <w:b w:val="0"/>
                <w:sz w:val="16"/>
              </w:rPr>
              <w:t>3</w:t>
            </w:r>
          </w:p>
        </w:tc>
        <w:tc>
          <w:tcPr>
            <w:tcW w:type="dxa" w:w="3816"/>
            <w:tcMar>
              <w:top w:w="90" w:type="dxa"/>
              <w:start w:w="90" w:type="dxa"/>
              <w:bottom w:w="90" w:type="dxa"/>
              <w:end w:w="90" w:type="dxa"/>
            </w:tcMar>
            <w:vAlign w:val="center"/>
            <w:shd w:fill="EAF2F8"/>
          </w:tcPr>
          <w:p>
            <w:pPr>
              <w:spacing w:after="0"/>
            </w:pPr>
            <w:r/>
            <w:r>
              <w:rPr>
                <w:rFonts w:ascii="Aptos" w:hAnsi="Aptos"/>
                <w:b w:val="0"/>
                <w:sz w:val="16"/>
              </w:rPr>
              <w:t>Demonstrated Foundational Culinary Competence</w:t>
            </w:r>
          </w:p>
        </w:tc>
        <w:tc>
          <w:tcPr>
            <w:tcW w:type="dxa" w:w="5400"/>
            <w:tcMar>
              <w:top w:w="90" w:type="dxa"/>
              <w:start w:w="90" w:type="dxa"/>
              <w:bottom w:w="90" w:type="dxa"/>
              <w:end w:w="90" w:type="dxa"/>
            </w:tcMar>
            <w:vAlign w:val="center"/>
            <w:shd w:fill="EAF2F8"/>
          </w:tcPr>
          <w:p>
            <w:pPr>
              <w:spacing w:after="0"/>
            </w:pPr>
            <w:r/>
            <w:r>
              <w:rPr>
                <w:rFonts w:ascii="Aptos" w:hAnsi="Aptos"/>
                <w:b w:val="0"/>
                <w:sz w:val="16"/>
              </w:rPr>
              <w:t>Consistent foundational technique, ingredient knowledge, and product quality; readiness for Advanced Culinary.</w:t>
            </w:r>
          </w:p>
        </w:tc>
      </w:tr>
      <w:tr>
        <w:trPr>
          <w:cantSplit w:val="true"/>
        </w:trPr>
        <w:tc>
          <w:tcPr>
            <w:tcW w:type="dxa" w:w="864"/>
            <w:tcMar>
              <w:top w:w="90" w:type="dxa"/>
              <w:start w:w="90" w:type="dxa"/>
              <w:bottom w:w="90" w:type="dxa"/>
              <w:end w:w="90" w:type="dxa"/>
            </w:tcMar>
            <w:vAlign w:val="center"/>
            <w:shd w:fill="FFFFFF"/>
          </w:tcPr>
          <w:p>
            <w:pPr>
              <w:spacing w:after="0"/>
            </w:pPr>
            <w:r/>
            <w:r>
              <w:rPr>
                <w:rFonts w:ascii="Aptos" w:hAnsi="Aptos"/>
                <w:b w:val="0"/>
                <w:sz w:val="16"/>
              </w:rPr>
              <w:t>4</w:t>
            </w:r>
          </w:p>
        </w:tc>
        <w:tc>
          <w:tcPr>
            <w:tcW w:type="dxa" w:w="3816"/>
            <w:tcMar>
              <w:top w:w="90" w:type="dxa"/>
              <w:start w:w="90" w:type="dxa"/>
              <w:bottom w:w="90" w:type="dxa"/>
              <w:end w:w="90" w:type="dxa"/>
            </w:tcMar>
            <w:vAlign w:val="center"/>
            <w:shd w:fill="FFFFFF"/>
          </w:tcPr>
          <w:p>
            <w:pPr>
              <w:spacing w:after="0"/>
            </w:pPr>
            <w:r/>
            <w:r>
              <w:rPr>
                <w:rFonts w:ascii="Aptos" w:hAnsi="Aptos"/>
                <w:b w:val="0"/>
                <w:sz w:val="16"/>
              </w:rPr>
              <w:t>Demonstrated Client-Centered Culinary Performance</w:t>
            </w:r>
          </w:p>
        </w:tc>
        <w:tc>
          <w:tcPr>
            <w:tcW w:type="dxa" w:w="5400"/>
            <w:tcMar>
              <w:top w:w="90" w:type="dxa"/>
              <w:start w:w="90" w:type="dxa"/>
              <w:bottom w:w="90" w:type="dxa"/>
              <w:end w:w="90" w:type="dxa"/>
            </w:tcMar>
            <w:vAlign w:val="center"/>
            <w:shd w:fill="FFFFFF"/>
          </w:tcPr>
          <w:p>
            <w:pPr>
              <w:spacing w:after="0"/>
            </w:pPr>
            <w:r/>
            <w:r>
              <w:rPr>
                <w:rFonts w:ascii="Aptos" w:hAnsi="Aptos"/>
                <w:b w:val="0"/>
                <w:sz w:val="16"/>
              </w:rPr>
              <w:t>Real client, production, timing, quality, service, and follow-through expectations through Advanced Culinary and The Cottage.</w:t>
            </w:r>
          </w:p>
        </w:tc>
      </w:tr>
      <w:tr>
        <w:trPr>
          <w:cantSplit w:val="true"/>
        </w:trPr>
        <w:tc>
          <w:tcPr>
            <w:tcW w:type="dxa" w:w="864"/>
            <w:tcMar>
              <w:top w:w="90" w:type="dxa"/>
              <w:start w:w="90" w:type="dxa"/>
              <w:bottom w:w="90" w:type="dxa"/>
              <w:end w:w="90" w:type="dxa"/>
            </w:tcMar>
            <w:vAlign w:val="center"/>
            <w:shd w:fill="EAF2F8"/>
          </w:tcPr>
          <w:p>
            <w:pPr>
              <w:spacing w:after="0"/>
            </w:pPr>
            <w:r/>
            <w:r>
              <w:rPr>
                <w:rFonts w:ascii="Aptos" w:hAnsi="Aptos"/>
                <w:b w:val="0"/>
                <w:sz w:val="16"/>
              </w:rPr>
              <w:t>5</w:t>
            </w:r>
          </w:p>
        </w:tc>
        <w:tc>
          <w:tcPr>
            <w:tcW w:type="dxa" w:w="3816"/>
            <w:tcMar>
              <w:top w:w="90" w:type="dxa"/>
              <w:start w:w="90" w:type="dxa"/>
              <w:bottom w:w="90" w:type="dxa"/>
              <w:end w:w="90" w:type="dxa"/>
            </w:tcMar>
            <w:vAlign w:val="center"/>
            <w:shd w:fill="EAF2F8"/>
          </w:tcPr>
          <w:p>
            <w:pPr>
              <w:spacing w:after="0"/>
            </w:pPr>
            <w:r/>
            <w:r>
              <w:rPr>
                <w:rFonts w:ascii="Aptos" w:hAnsi="Aptos"/>
                <w:b w:val="0"/>
                <w:sz w:val="16"/>
              </w:rPr>
              <w:t>Professional, Leadership, and Career Readiness</w:t>
            </w:r>
          </w:p>
        </w:tc>
        <w:tc>
          <w:tcPr>
            <w:tcW w:type="dxa" w:w="5400"/>
            <w:tcMar>
              <w:top w:w="90" w:type="dxa"/>
              <w:start w:w="90" w:type="dxa"/>
              <w:bottom w:w="90" w:type="dxa"/>
              <w:end w:w="90" w:type="dxa"/>
            </w:tcMar>
            <w:vAlign w:val="center"/>
            <w:shd w:fill="EAF2F8"/>
          </w:tcPr>
          <w:p>
            <w:pPr>
              <w:spacing w:after="0"/>
            </w:pPr>
            <w:r/>
            <w:r>
              <w:rPr>
                <w:rFonts w:ascii="Aptos" w:hAnsi="Aptos"/>
                <w:b w:val="0"/>
                <w:sz w:val="16"/>
              </w:rPr>
              <w:t>Leadership, supervision, resource management, employment preparation, portfolio, interview, and External WBL Educational Readiness or Travel Rights.</w:t>
            </w:r>
          </w:p>
        </w:tc>
      </w:tr>
      <w:tr>
        <w:trPr>
          <w:cantSplit w:val="true"/>
        </w:trPr>
        <w:tc>
          <w:tcPr>
            <w:tcW w:type="dxa" w:w="864"/>
            <w:tcMar>
              <w:top w:w="90" w:type="dxa"/>
              <w:start w:w="90" w:type="dxa"/>
              <w:bottom w:w="90" w:type="dxa"/>
              <w:end w:w="90" w:type="dxa"/>
            </w:tcMar>
            <w:vAlign w:val="center"/>
            <w:shd w:fill="FFFFFF"/>
          </w:tcPr>
          <w:p>
            <w:pPr>
              <w:spacing w:after="0"/>
            </w:pPr>
            <w:r/>
            <w:r>
              <w:rPr>
                <w:rFonts w:ascii="Aptos" w:hAnsi="Aptos"/>
                <w:b w:val="0"/>
                <w:sz w:val="16"/>
              </w:rPr>
              <w:t>6</w:t>
            </w:r>
          </w:p>
        </w:tc>
        <w:tc>
          <w:tcPr>
            <w:tcW w:type="dxa" w:w="3816"/>
            <w:tcMar>
              <w:top w:w="90" w:type="dxa"/>
              <w:start w:w="90" w:type="dxa"/>
              <w:bottom w:w="90" w:type="dxa"/>
              <w:end w:w="90" w:type="dxa"/>
            </w:tcMar>
            <w:vAlign w:val="center"/>
            <w:shd w:fill="FFFFFF"/>
          </w:tcPr>
          <w:p>
            <w:pPr>
              <w:spacing w:after="0"/>
            </w:pPr>
            <w:r/>
            <w:r>
              <w:rPr>
                <w:rFonts w:ascii="Aptos" w:hAnsi="Aptos"/>
                <w:b w:val="0"/>
                <w:sz w:val="16"/>
              </w:rPr>
              <w:t>Completed Authentic Workplace Learning</w:t>
            </w:r>
          </w:p>
        </w:tc>
        <w:tc>
          <w:tcPr>
            <w:tcW w:type="dxa" w:w="5400"/>
            <w:tcMar>
              <w:top w:w="90" w:type="dxa"/>
              <w:start w:w="90" w:type="dxa"/>
              <w:bottom w:w="90" w:type="dxa"/>
              <w:end w:w="90" w:type="dxa"/>
            </w:tcMar>
            <w:vAlign w:val="center"/>
            <w:shd w:fill="FFFFFF"/>
          </w:tcPr>
          <w:p>
            <w:pPr>
              <w:spacing w:after="0"/>
            </w:pPr>
            <w:r/>
            <w:r>
              <w:rPr>
                <w:rFonts w:ascii="Aptos" w:hAnsi="Aptos"/>
                <w:b w:val="0"/>
                <w:sz w:val="16"/>
              </w:rPr>
              <w:t>Completion of the senior course and transfer of pathway competencies into an approved professional setting.</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Progression Standard</w:t>
            </w:r>
          </w:p>
          <w:p>
            <w:pPr>
              <w:spacing w:after="0"/>
            </w:pPr>
            <w:r>
              <w:rPr>
                <w:sz w:val="18"/>
              </w:rPr>
              <w:t>Students advance by demonstrating competency. Experiences provide evidence. Competencies determine progression.</w:t>
            </w:r>
          </w:p>
        </w:tc>
      </w:tr>
    </w:tbl>
    <w:p>
      <w:pPr>
        <w:spacing w:after="0"/>
      </w:pPr>
    </w:p>
    <w:p>
      <w:pPr>
        <w:pStyle w:val="Heading1"/>
      </w:pPr>
      <w:r>
        <w:t>Chapter 4: Educational and Community Value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088"/>
            <w:tcMar>
              <w:top w:w="90" w:type="dxa"/>
              <w:start w:w="90" w:type="dxa"/>
              <w:bottom w:w="90" w:type="dxa"/>
              <w:end w:w="90" w:type="dxa"/>
            </w:tcMar>
            <w:vAlign w:val="center"/>
            <w:shd w:fill="1F4E78"/>
          </w:tcPr>
          <w:p>
            <w:pPr>
              <w:spacing w:after="0"/>
            </w:pPr>
            <w:r/>
            <w:r>
              <w:rPr>
                <w:rFonts w:ascii="Aptos" w:hAnsi="Aptos"/>
                <w:b/>
                <w:color w:val="FFFFFF"/>
                <w:sz w:val="17"/>
              </w:rPr>
              <w:t>Stakeholder</w:t>
            </w:r>
          </w:p>
        </w:tc>
        <w:tc>
          <w:tcPr>
            <w:tcW w:type="dxa" w:w="7992"/>
            <w:tcMar>
              <w:top w:w="90" w:type="dxa"/>
              <w:start w:w="90" w:type="dxa"/>
              <w:bottom w:w="90" w:type="dxa"/>
              <w:end w:w="90" w:type="dxa"/>
            </w:tcMar>
            <w:vAlign w:val="center"/>
            <w:shd w:fill="1F4E78"/>
          </w:tcPr>
          <w:p>
            <w:pPr>
              <w:spacing w:after="0"/>
            </w:pPr>
            <w:r/>
            <w:r>
              <w:rPr>
                <w:rFonts w:ascii="Aptos" w:hAnsi="Aptos"/>
                <w:b/>
                <w:color w:val="FFFFFF"/>
                <w:sz w:val="17"/>
              </w:rPr>
              <w:t>Value</w:t>
            </w:r>
          </w:p>
        </w:tc>
      </w:tr>
      <w:tr>
        <w:trPr>
          <w:cantSplit w:val="true"/>
        </w:trPr>
        <w:tc>
          <w:tcPr>
            <w:tcW w:type="dxa" w:w="2088"/>
            <w:tcMar>
              <w:top w:w="90" w:type="dxa"/>
              <w:start w:w="90" w:type="dxa"/>
              <w:bottom w:w="90" w:type="dxa"/>
              <w:end w:w="90" w:type="dxa"/>
            </w:tcMar>
            <w:vAlign w:val="center"/>
            <w:shd w:fill="EAF2F8"/>
          </w:tcPr>
          <w:p>
            <w:pPr>
              <w:spacing w:after="0"/>
            </w:pPr>
            <w:r/>
            <w:r>
              <w:rPr>
                <w:rFonts w:ascii="Aptos" w:hAnsi="Aptos"/>
                <w:b w:val="0"/>
                <w:sz w:val="16"/>
              </w:rPr>
              <w:t>Students</w:t>
            </w:r>
          </w:p>
        </w:tc>
        <w:tc>
          <w:tcPr>
            <w:tcW w:type="dxa" w:w="7992"/>
            <w:tcMar>
              <w:top w:w="90" w:type="dxa"/>
              <w:start w:w="90" w:type="dxa"/>
              <w:bottom w:w="90" w:type="dxa"/>
              <w:end w:w="90" w:type="dxa"/>
            </w:tcMar>
            <w:vAlign w:val="center"/>
            <w:shd w:fill="EAF2F8"/>
          </w:tcPr>
          <w:p>
            <w:pPr>
              <w:spacing w:after="0"/>
            </w:pPr>
            <w:r/>
            <w:r>
              <w:rPr>
                <w:rFonts w:ascii="Aptos" w:hAnsi="Aptos"/>
                <w:b w:val="0"/>
                <w:sz w:val="16"/>
              </w:rPr>
              <w:t>A visible progression from foundational learning to authentic work; stronger technical, employability, leadership, portfolio, interview, and career-transition evidence.</w:t>
            </w:r>
          </w:p>
        </w:tc>
      </w:tr>
      <w:tr>
        <w:trPr>
          <w:cantSplit w:val="true"/>
        </w:trPr>
        <w:tc>
          <w:tcPr>
            <w:tcW w:type="dxa" w:w="2088"/>
            <w:tcMar>
              <w:top w:w="90" w:type="dxa"/>
              <w:start w:w="90" w:type="dxa"/>
              <w:bottom w:w="90" w:type="dxa"/>
              <w:end w:w="90" w:type="dxa"/>
            </w:tcMar>
            <w:vAlign w:val="center"/>
            <w:shd w:fill="FFFFFF"/>
          </w:tcPr>
          <w:p>
            <w:pPr>
              <w:spacing w:after="0"/>
            </w:pPr>
            <w:r/>
            <w:r>
              <w:rPr>
                <w:rFonts w:ascii="Aptos" w:hAnsi="Aptos"/>
                <w:b w:val="0"/>
                <w:sz w:val="16"/>
              </w:rPr>
              <w:t>Families</w:t>
            </w:r>
          </w:p>
        </w:tc>
        <w:tc>
          <w:tcPr>
            <w:tcW w:type="dxa" w:w="7992"/>
            <w:tcMar>
              <w:top w:w="90" w:type="dxa"/>
              <w:start w:w="90" w:type="dxa"/>
              <w:bottom w:w="90" w:type="dxa"/>
              <w:end w:w="90" w:type="dxa"/>
            </w:tcMar>
            <w:vAlign w:val="center"/>
            <w:shd w:fill="FFFFFF"/>
          </w:tcPr>
          <w:p>
            <w:pPr>
              <w:spacing w:after="0"/>
            </w:pPr>
            <w:r/>
            <w:r>
              <w:rPr>
                <w:rFonts w:ascii="Aptos" w:hAnsi="Aptos"/>
                <w:b w:val="0"/>
                <w:sz w:val="16"/>
              </w:rPr>
              <w:t>Clear expectations, readiness standards, safety boundaries, transportation planning, and a documented connection between courses and postsecondary or employment goals.</w:t>
            </w:r>
          </w:p>
        </w:tc>
      </w:tr>
      <w:tr>
        <w:trPr>
          <w:cantSplit w:val="true"/>
        </w:trPr>
        <w:tc>
          <w:tcPr>
            <w:tcW w:type="dxa" w:w="2088"/>
            <w:tcMar>
              <w:top w:w="90" w:type="dxa"/>
              <w:start w:w="90" w:type="dxa"/>
              <w:bottom w:w="90" w:type="dxa"/>
              <w:end w:w="90" w:type="dxa"/>
            </w:tcMar>
            <w:vAlign w:val="center"/>
            <w:shd w:fill="EAF2F8"/>
          </w:tcPr>
          <w:p>
            <w:pPr>
              <w:spacing w:after="0"/>
            </w:pPr>
            <w:r/>
            <w:r>
              <w:rPr>
                <w:rFonts w:ascii="Aptos" w:hAnsi="Aptos"/>
                <w:b w:val="0"/>
                <w:sz w:val="16"/>
              </w:rPr>
              <w:t>District</w:t>
            </w:r>
          </w:p>
        </w:tc>
        <w:tc>
          <w:tcPr>
            <w:tcW w:type="dxa" w:w="7992"/>
            <w:tcMar>
              <w:top w:w="90" w:type="dxa"/>
              <w:start w:w="90" w:type="dxa"/>
              <w:bottom w:w="90" w:type="dxa"/>
              <w:end w:w="90" w:type="dxa"/>
            </w:tcMar>
            <w:vAlign w:val="center"/>
            <w:shd w:fill="EAF2F8"/>
          </w:tcPr>
          <w:p>
            <w:pPr>
              <w:spacing w:after="0"/>
            </w:pPr>
            <w:r/>
            <w:r>
              <w:rPr>
                <w:rFonts w:ascii="Aptos" w:hAnsi="Aptos"/>
                <w:b w:val="0"/>
                <w:sz w:val="16"/>
              </w:rPr>
              <w:t>Coherence across courses, records, staffing, partners, risk controls, evaluation, and public reporting.</w:t>
            </w:r>
          </w:p>
        </w:tc>
      </w:tr>
      <w:tr>
        <w:trPr>
          <w:cantSplit w:val="true"/>
        </w:trPr>
        <w:tc>
          <w:tcPr>
            <w:tcW w:type="dxa" w:w="2088"/>
            <w:tcMar>
              <w:top w:w="90" w:type="dxa"/>
              <w:start w:w="90" w:type="dxa"/>
              <w:bottom w:w="90" w:type="dxa"/>
              <w:end w:w="90" w:type="dxa"/>
            </w:tcMar>
            <w:vAlign w:val="center"/>
            <w:shd w:fill="FFFFFF"/>
          </w:tcPr>
          <w:p>
            <w:pPr>
              <w:spacing w:after="0"/>
            </w:pPr>
            <w:r/>
            <w:r>
              <w:rPr>
                <w:rFonts w:ascii="Aptos" w:hAnsi="Aptos"/>
                <w:b w:val="0"/>
                <w:sz w:val="16"/>
              </w:rPr>
              <w:t>Employers</w:t>
            </w:r>
          </w:p>
        </w:tc>
        <w:tc>
          <w:tcPr>
            <w:tcW w:type="dxa" w:w="7992"/>
            <w:tcMar>
              <w:top w:w="90" w:type="dxa"/>
              <w:start w:w="90" w:type="dxa"/>
              <w:bottom w:w="90" w:type="dxa"/>
              <w:end w:w="90" w:type="dxa"/>
            </w:tcMar>
            <w:vAlign w:val="center"/>
            <w:shd w:fill="FFFFFF"/>
          </w:tcPr>
          <w:p>
            <w:pPr>
              <w:spacing w:after="0"/>
            </w:pPr>
            <w:r/>
            <w:r>
              <w:rPr>
                <w:rFonts w:ascii="Aptos" w:hAnsi="Aptos"/>
                <w:b w:val="0"/>
                <w:sz w:val="16"/>
              </w:rPr>
              <w:t>Students who have completed school-based preparation, a defined training plan, coordinator support, and clear expectations for feedback and communication.</w:t>
            </w:r>
          </w:p>
        </w:tc>
      </w:tr>
      <w:tr>
        <w:trPr>
          <w:cantSplit w:val="true"/>
        </w:trPr>
        <w:tc>
          <w:tcPr>
            <w:tcW w:type="dxa" w:w="2088"/>
            <w:tcMar>
              <w:top w:w="90" w:type="dxa"/>
              <w:start w:w="90" w:type="dxa"/>
              <w:bottom w:w="90" w:type="dxa"/>
              <w:end w:w="90" w:type="dxa"/>
            </w:tcMar>
            <w:vAlign w:val="center"/>
            <w:shd w:fill="EAF2F8"/>
          </w:tcPr>
          <w:p>
            <w:pPr>
              <w:spacing w:after="0"/>
            </w:pPr>
            <w:r/>
            <w:r>
              <w:rPr>
                <w:rFonts w:ascii="Aptos" w:hAnsi="Aptos"/>
                <w:b w:val="0"/>
                <w:sz w:val="16"/>
              </w:rPr>
              <w:t>Community</w:t>
            </w:r>
          </w:p>
        </w:tc>
        <w:tc>
          <w:tcPr>
            <w:tcW w:type="dxa" w:w="7992"/>
            <w:tcMar>
              <w:top w:w="90" w:type="dxa"/>
              <w:start w:w="90" w:type="dxa"/>
              <w:bottom w:w="90" w:type="dxa"/>
              <w:end w:w="90" w:type="dxa"/>
            </w:tcMar>
            <w:vAlign w:val="center"/>
            <w:shd w:fill="EAF2F8"/>
          </w:tcPr>
          <w:p>
            <w:pPr>
              <w:spacing w:after="0"/>
            </w:pPr>
            <w:r/>
            <w:r>
              <w:rPr>
                <w:rFonts w:ascii="Aptos" w:hAnsi="Aptos"/>
                <w:b w:val="0"/>
                <w:sz w:val="16"/>
              </w:rPr>
              <w:t>A stronger local talent pipeline, closer school-industry collaboration, and public evidence that CTE learning leads to responsible professional practice.</w:t>
            </w:r>
          </w:p>
        </w:tc>
      </w:tr>
    </w:tbl>
    <w:p>
      <w:pPr>
        <w:spacing w:after="0"/>
      </w:pPr>
    </w:p>
    <w:p>
      <w:r>
        <w:br w:type="page"/>
      </w:r>
    </w:p>
    <w:p>
      <w:pPr>
        <w:pStyle w:val="Heading1"/>
      </w:pPr>
      <w:r>
        <w:t>Chapter 5: Conditions for Responsible Growth</w:t>
      </w:r>
    </w:p>
    <w:p>
      <w:pPr>
        <w:pStyle w:val="ListBullet"/>
        <w:spacing w:after="40"/>
      </w:pPr>
      <w:r>
        <w:t>Safety, dignity, educational value, and lawful practice take priority over participation counts.</w:t>
      </w:r>
    </w:p>
    <w:p>
      <w:pPr>
        <w:pStyle w:val="ListBullet"/>
        <w:spacing w:after="40"/>
      </w:pPr>
      <w:r>
        <w:t>The Cottage remains an essential school-based environment; external placement is a culminating experience, not the only authentic learning available.</w:t>
      </w:r>
    </w:p>
    <w:p>
      <w:pPr>
        <w:pStyle w:val="ListBullet"/>
        <w:spacing w:after="40"/>
      </w:pPr>
      <w:r>
        <w:t>A student-selected job is not automatically a training station. The district approves or declines credit based on duties, supervision, schedule, safety, educational value, and the training plan.</w:t>
      </w:r>
    </w:p>
    <w:p>
      <w:pPr>
        <w:pStyle w:val="ListBullet"/>
        <w:spacing w:after="40"/>
      </w:pPr>
      <w:r>
        <w:t>The district may modify, pause, or end a placement when conditions no longer meet the approved standard.</w:t>
      </w:r>
    </w:p>
    <w:p>
      <w:pPr>
        <w:pStyle w:val="ListBullet"/>
        <w:spacing w:after="40"/>
      </w:pPr>
      <w:r>
        <w:t>Expansion occurs only when qualified coordination, approved training stations, transportation, student supports, records, and recurring resources can be maintained.</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E8F5F5"/>
            <w:tcMar>
              <w:top w:w="110" w:type="dxa"/>
              <w:start w:w="120" w:type="dxa"/>
              <w:bottom w:w="110" w:type="dxa"/>
              <w:end w:w="120" w:type="dxa"/>
            </w:tcMar>
          </w:tcPr>
          <w:p>
            <w:pPr>
              <w:spacing w:after="28"/>
            </w:pPr>
            <w:r/>
            <w:r>
              <w:rPr>
                <w:b/>
                <w:color w:val="1C8C8C"/>
                <w:sz w:val="19"/>
              </w:rPr>
              <w:t>Learning Before Labor</w:t>
            </w:r>
          </w:p>
          <w:p>
            <w:pPr>
              <w:spacing w:after="0"/>
            </w:pPr>
            <w:r>
              <w:rPr>
                <w:sz w:val="17"/>
              </w:rPr>
              <w:t>Every workplace relationship retains a visible educational purpose.</w:t>
            </w:r>
          </w:p>
        </w:tc>
        <w:tc>
          <w:tcPr>
            <w:tcW w:type="dxa" w:w="5083"/>
            <w:shd w:fill="EAF2F8"/>
            <w:tcMar>
              <w:top w:w="110" w:type="dxa"/>
              <w:start w:w="120" w:type="dxa"/>
              <w:bottom w:w="110" w:type="dxa"/>
              <w:end w:w="120" w:type="dxa"/>
            </w:tcMar>
          </w:tcPr>
          <w:p>
            <w:pPr>
              <w:spacing w:after="28"/>
            </w:pPr>
            <w:r/>
            <w:r>
              <w:rPr>
                <w:b/>
                <w:color w:val="1F4E78"/>
                <w:sz w:val="19"/>
              </w:rPr>
              <w:t>Quality Before Quantity</w:t>
            </w:r>
          </w:p>
          <w:p>
            <w:pPr>
              <w:spacing w:after="0"/>
            </w:pPr>
            <w:r>
              <w:rPr>
                <w:sz w:val="17"/>
              </w:rPr>
              <w:t>Cohort size and partner growth remain within the district's ability to supervise and support the experience.</w:t>
            </w:r>
          </w:p>
        </w:tc>
      </w:tr>
    </w:tbl>
    <w:p>
      <w:pPr>
        <w:spacing w:after="0"/>
      </w:pPr>
    </w:p>
    <w:p>
      <w:pPr>
        <w:pStyle w:val="PartTitle"/>
      </w:pPr>
      <w:r>
        <w:t>PART II</w:t>
        <w:br/>
        <w:t>Implementation Plan</w:t>
      </w:r>
    </w:p>
    <w:p>
      <w:pPr>
        <w:pStyle w:val="Heading3"/>
      </w:pPr>
      <w:r>
        <w:t>A staged transition from pathway alignment to the first senior CO-OP cohort.</w:t>
      </w:r>
    </w:p>
    <w:p>
      <w:pPr>
        <w:pStyle w:val="Heading1"/>
      </w:pPr>
      <w:r>
        <w:t>Chapter 6: Implementation Calendar</w:t>
      </w:r>
    </w:p>
    <w:p>
      <w:r>
        <w:t>The proposed calendar uses the 2026-27 school year for pathway alignment, curriculum approval, proposed registration, staffing, transportation planning, employer development, and launch-readiness review. The first full senior cohort begins no earlier than 2027-28.</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1728"/>
            <w:tcMar>
              <w:top w:w="90" w:type="dxa"/>
              <w:start w:w="90" w:type="dxa"/>
              <w:bottom w:w="90" w:type="dxa"/>
              <w:end w:w="90" w:type="dxa"/>
            </w:tcMar>
            <w:vAlign w:val="center"/>
            <w:shd w:fill="1F4E78"/>
          </w:tcPr>
          <w:p>
            <w:pPr>
              <w:spacing w:after="0"/>
            </w:pPr>
            <w:r/>
            <w:r>
              <w:rPr>
                <w:rFonts w:ascii="Aptos" w:hAnsi="Aptos"/>
                <w:b/>
                <w:color w:val="FFFFFF"/>
                <w:sz w:val="17"/>
              </w:rPr>
              <w:t>Time</w:t>
            </w:r>
          </w:p>
        </w:tc>
        <w:tc>
          <w:tcPr>
            <w:tcW w:type="dxa" w:w="5472"/>
            <w:tcMar>
              <w:top w:w="90" w:type="dxa"/>
              <w:start w:w="90" w:type="dxa"/>
              <w:bottom w:w="90" w:type="dxa"/>
              <w:end w:w="90" w:type="dxa"/>
            </w:tcMar>
            <w:vAlign w:val="center"/>
            <w:shd w:fill="1F4E78"/>
          </w:tcPr>
          <w:p>
            <w:pPr>
              <w:spacing w:after="0"/>
            </w:pPr>
            <w:r/>
            <w:r>
              <w:rPr>
                <w:rFonts w:ascii="Aptos" w:hAnsi="Aptos"/>
                <w:b/>
                <w:color w:val="FFFFFF"/>
                <w:sz w:val="17"/>
              </w:rPr>
              <w:t>Implementation work</w:t>
            </w:r>
          </w:p>
        </w:tc>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Required result</w:t>
            </w:r>
          </w:p>
        </w:tc>
      </w:tr>
      <w:tr>
        <w:trPr>
          <w:cantSplit w:val="true"/>
        </w:trPr>
        <w:tc>
          <w:tcPr>
            <w:tcW w:type="dxa" w:w="1728"/>
            <w:tcMar>
              <w:top w:w="90" w:type="dxa"/>
              <w:start w:w="90" w:type="dxa"/>
              <w:bottom w:w="90" w:type="dxa"/>
              <w:end w:w="90" w:type="dxa"/>
            </w:tcMar>
            <w:vAlign w:val="center"/>
            <w:shd w:fill="EAF2F8"/>
          </w:tcPr>
          <w:p>
            <w:pPr>
              <w:spacing w:after="0"/>
            </w:pPr>
            <w:r/>
            <w:r>
              <w:rPr>
                <w:rFonts w:ascii="Aptos" w:hAnsi="Aptos"/>
                <w:b w:val="0"/>
                <w:sz w:val="16"/>
              </w:rPr>
              <w:t>July-August 2026</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Name the accountable administrator and WBL Coordinator; confirm planning scope; align Books One through Four; begin curriculum, legal, labor, insurance, transportation, accessibility, privacy, records, technology, and fiscal review.</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Approved project ownership and work plan.</w:t>
            </w:r>
          </w:p>
        </w:tc>
      </w:tr>
      <w:tr>
        <w:trPr>
          <w:cantSplit w:val="true"/>
        </w:trPr>
        <w:tc>
          <w:tcPr>
            <w:tcW w:type="dxa" w:w="1728"/>
            <w:tcMar>
              <w:top w:w="90" w:type="dxa"/>
              <w:start w:w="90" w:type="dxa"/>
              <w:bottom w:w="90" w:type="dxa"/>
              <w:end w:w="90" w:type="dxa"/>
            </w:tcMar>
            <w:vAlign w:val="center"/>
            <w:shd w:fill="FFFFFF"/>
          </w:tcPr>
          <w:p>
            <w:pPr>
              <w:spacing w:after="0"/>
            </w:pPr>
            <w:r/>
            <w:r>
              <w:rPr>
                <w:rFonts w:ascii="Aptos" w:hAnsi="Aptos"/>
                <w:b w:val="0"/>
                <w:sz w:val="16"/>
              </w:rPr>
              <w:t>September-December 2026</w:t>
            </w:r>
          </w:p>
        </w:tc>
        <w:tc>
          <w:tcPr>
            <w:tcW w:type="dxa" w:w="5472"/>
            <w:tcMar>
              <w:top w:w="90" w:type="dxa"/>
              <w:start w:w="90" w:type="dxa"/>
              <w:bottom w:w="90" w:type="dxa"/>
              <w:end w:w="90" w:type="dxa"/>
            </w:tcMar>
            <w:vAlign w:val="center"/>
            <w:shd w:fill="FFFFFF"/>
          </w:tcPr>
          <w:p>
            <w:pPr>
              <w:spacing w:after="0"/>
            </w:pPr>
            <w:r/>
            <w:r>
              <w:rPr>
                <w:rFonts w:ascii="Aptos" w:hAnsi="Aptos"/>
                <w:b w:val="0"/>
                <w:sz w:val="16"/>
              </w:rPr>
              <w:t>Implement or pilot the Culinary Passport within existing courses; finalize Gateway evidence; develop the senior course proposal and standards-based syllabus; begin proposed CO-OP review; recruit and screen potential training stations.</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District-ready course and review package.</w:t>
            </w:r>
          </w:p>
        </w:tc>
      </w:tr>
      <w:tr>
        <w:trPr>
          <w:cantSplit w:val="true"/>
        </w:trPr>
        <w:tc>
          <w:tcPr>
            <w:tcW w:type="dxa" w:w="1728"/>
            <w:tcMar>
              <w:top w:w="90" w:type="dxa"/>
              <w:start w:w="90" w:type="dxa"/>
              <w:bottom w:w="90" w:type="dxa"/>
              <w:end w:w="90" w:type="dxa"/>
            </w:tcMar>
            <w:vAlign w:val="center"/>
            <w:shd w:fill="EAF2F8"/>
          </w:tcPr>
          <w:p>
            <w:pPr>
              <w:spacing w:after="0"/>
            </w:pPr>
            <w:r/>
            <w:r>
              <w:rPr>
                <w:rFonts w:ascii="Aptos" w:hAnsi="Aptos"/>
                <w:b w:val="0"/>
                <w:sz w:val="16"/>
              </w:rPr>
              <w:t>January-March 2027</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Identify the potential first cohort; provide student and family information; complete preliminary transportation and support planning; orient employers; draft training plans, agreements, and records; verify coordinator workload and budget.</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Named launch conditions and preliminary student/site matches.</w:t>
            </w:r>
          </w:p>
        </w:tc>
      </w:tr>
      <w:tr>
        <w:trPr>
          <w:cantSplit w:val="true"/>
        </w:trPr>
        <w:tc>
          <w:tcPr>
            <w:tcW w:type="dxa" w:w="1728"/>
            <w:tcMar>
              <w:top w:w="90" w:type="dxa"/>
              <w:start w:w="90" w:type="dxa"/>
              <w:bottom w:w="90" w:type="dxa"/>
              <w:end w:w="90" w:type="dxa"/>
            </w:tcMar>
            <w:vAlign w:val="center"/>
            <w:shd w:fill="FFFFFF"/>
          </w:tcPr>
          <w:p>
            <w:pPr>
              <w:spacing w:after="0"/>
            </w:pPr>
            <w:r/>
            <w:r>
              <w:rPr>
                <w:rFonts w:ascii="Aptos" w:hAnsi="Aptos"/>
                <w:b w:val="0"/>
                <w:sz w:val="16"/>
              </w:rPr>
              <w:t>April-June 2027</w:t>
            </w:r>
          </w:p>
        </w:tc>
        <w:tc>
          <w:tcPr>
            <w:tcW w:type="dxa" w:w="5472"/>
            <w:tcMar>
              <w:top w:w="90" w:type="dxa"/>
              <w:start w:w="90" w:type="dxa"/>
              <w:bottom w:w="90" w:type="dxa"/>
              <w:end w:w="90" w:type="dxa"/>
            </w:tcMar>
            <w:vAlign w:val="center"/>
            <w:shd w:fill="FFFFFF"/>
          </w:tcPr>
          <w:p>
            <w:pPr>
              <w:spacing w:after="0"/>
            </w:pPr>
            <w:r/>
            <w:r>
              <w:rPr>
                <w:rFonts w:ascii="Aptos" w:hAnsi="Aptos"/>
                <w:b w:val="0"/>
                <w:sz w:val="16"/>
              </w:rPr>
              <w:t>Complete course approval, required registration, site reviews, schedule, fiscal note, transportation plan, forms, orientation materials, and launch-readiness report.</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Administrative certification that all launch conditions are met.</w:t>
            </w:r>
          </w:p>
        </w:tc>
      </w:tr>
      <w:tr>
        <w:trPr>
          <w:cantSplit w:val="true"/>
        </w:trPr>
        <w:tc>
          <w:tcPr>
            <w:tcW w:type="dxa" w:w="1728"/>
            <w:tcMar>
              <w:top w:w="90" w:type="dxa"/>
              <w:start w:w="90" w:type="dxa"/>
              <w:bottom w:w="90" w:type="dxa"/>
              <w:end w:w="90" w:type="dxa"/>
            </w:tcMar>
            <w:vAlign w:val="center"/>
            <w:shd w:fill="EAF2F8"/>
          </w:tcPr>
          <w:p>
            <w:pPr>
              <w:spacing w:after="0"/>
            </w:pPr>
            <w:r/>
            <w:r>
              <w:rPr>
                <w:rFonts w:ascii="Aptos" w:hAnsi="Aptos"/>
                <w:b w:val="0"/>
                <w:sz w:val="16"/>
              </w:rPr>
              <w:t>2027-28 school year</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Operate the first full-year senior course; complete 300 verified hours, related instruction, portfolio work, monitoring, evaluations, final presentation, and Gateway 6.</w:t>
            </w:r>
          </w:p>
        </w:tc>
        <w:tc>
          <w:tcPr>
            <w:tcW w:type="dxa" w:w="2880"/>
            <w:tcMar>
              <w:top w:w="90" w:type="dxa"/>
              <w:start w:w="90" w:type="dxa"/>
              <w:bottom w:w="90" w:type="dxa"/>
              <w:end w:w="90" w:type="dxa"/>
            </w:tcMar>
            <w:vAlign w:val="center"/>
            <w:shd w:fill="EAF2F8"/>
          </w:tcPr>
          <w:p>
            <w:pPr>
              <w:spacing w:after="0"/>
            </w:pPr>
            <w:r/>
            <w:r>
              <w:rPr>
                <w:rFonts w:ascii="Aptos" w:hAnsi="Aptos"/>
                <w:b w:val="0"/>
                <w:sz w:val="16"/>
              </w:rPr>
              <w:t>First complete operating cycle.</w:t>
            </w:r>
          </w:p>
        </w:tc>
      </w:tr>
      <w:tr>
        <w:trPr>
          <w:cantSplit w:val="true"/>
        </w:trPr>
        <w:tc>
          <w:tcPr>
            <w:tcW w:type="dxa" w:w="1728"/>
            <w:tcMar>
              <w:top w:w="90" w:type="dxa"/>
              <w:start w:w="90" w:type="dxa"/>
              <w:bottom w:w="90" w:type="dxa"/>
              <w:end w:w="90" w:type="dxa"/>
            </w:tcMar>
            <w:vAlign w:val="center"/>
            <w:shd w:fill="FFFFFF"/>
          </w:tcPr>
          <w:p>
            <w:pPr>
              <w:spacing w:after="0"/>
            </w:pPr>
            <w:r/>
            <w:r>
              <w:rPr>
                <w:rFonts w:ascii="Aptos" w:hAnsi="Aptos"/>
                <w:b w:val="0"/>
                <w:sz w:val="16"/>
              </w:rPr>
              <w:t>Spring-Summer 2028</w:t>
            </w:r>
          </w:p>
        </w:tc>
        <w:tc>
          <w:tcPr>
            <w:tcW w:type="dxa" w:w="5472"/>
            <w:tcMar>
              <w:top w:w="90" w:type="dxa"/>
              <w:start w:w="90" w:type="dxa"/>
              <w:bottom w:w="90" w:type="dxa"/>
              <w:end w:w="90" w:type="dxa"/>
            </w:tcMar>
            <w:vAlign w:val="center"/>
            <w:shd w:fill="FFFFFF"/>
          </w:tcPr>
          <w:p>
            <w:pPr>
              <w:spacing w:after="0"/>
            </w:pPr>
            <w:r/>
            <w:r>
              <w:rPr>
                <w:rFonts w:ascii="Aptos" w:hAnsi="Aptos"/>
                <w:b w:val="0"/>
                <w:sz w:val="16"/>
              </w:rPr>
              <w:t>Complete the Book Two annual evaluation and report outcomes, access, training-station quality, safety, capacity, fiscal impact, and recommended changes.</w:t>
            </w:r>
          </w:p>
        </w:tc>
        <w:tc>
          <w:tcPr>
            <w:tcW w:type="dxa" w:w="2880"/>
            <w:tcMar>
              <w:top w:w="90" w:type="dxa"/>
              <w:start w:w="90" w:type="dxa"/>
              <w:bottom w:w="90" w:type="dxa"/>
              <w:end w:w="90" w:type="dxa"/>
            </w:tcMar>
            <w:vAlign w:val="center"/>
            <w:shd w:fill="FFFFFF"/>
          </w:tcPr>
          <w:p>
            <w:pPr>
              <w:spacing w:after="0"/>
            </w:pPr>
            <w:r/>
            <w:r>
              <w:rPr>
                <w:rFonts w:ascii="Aptos" w:hAnsi="Aptos"/>
                <w:b w:val="0"/>
                <w:sz w:val="16"/>
              </w:rPr>
              <w:t>Board decision to continue, modify, pause, or expand.</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Launch Rule</w:t>
            </w:r>
          </w:p>
          <w:p>
            <w:pPr>
              <w:spacing w:after="0"/>
            </w:pPr>
            <w:r>
              <w:rPr>
                <w:sz w:val="18"/>
              </w:rPr>
              <w:t>The 2027-28 date is a proposed earliest launch, not an automatic deadline. The course begins only after all required district and state approvals are complete and the launch-readiness report is accepted.</w:t>
            </w:r>
          </w:p>
        </w:tc>
      </w:tr>
    </w:tbl>
    <w:p>
      <w:pPr>
        <w:spacing w:after="0"/>
      </w:pPr>
    </w:p>
    <w:p>
      <w:pPr>
        <w:pStyle w:val="Heading1"/>
      </w:pPr>
      <w:r>
        <w:t>Chapter 7: Senior Culinary External Work-Based Learning Course</w:t>
      </w:r>
    </w:p>
    <w:p>
      <w:pPr>
        <w:pStyle w:val="Heading2"/>
      </w:pPr>
      <w:r>
        <w:t>Course Design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Element</w:t>
            </w:r>
          </w:p>
        </w:tc>
        <w:tc>
          <w:tcPr>
            <w:tcW w:type="dxa" w:w="7416"/>
            <w:tcMar>
              <w:top w:w="90" w:type="dxa"/>
              <w:start w:w="90" w:type="dxa"/>
              <w:bottom w:w="90" w:type="dxa"/>
              <w:end w:w="90" w:type="dxa"/>
            </w:tcMar>
            <w:vAlign w:val="center"/>
            <w:shd w:fill="1F4E78"/>
          </w:tcPr>
          <w:p>
            <w:pPr>
              <w:spacing w:after="0"/>
            </w:pPr>
            <w:r/>
            <w:r>
              <w:rPr>
                <w:rFonts w:ascii="Aptos" w:hAnsi="Aptos"/>
                <w:b/>
                <w:color w:val="FFFFFF"/>
                <w:sz w:val="17"/>
              </w:rPr>
              <w:t>Approved planning standard</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Course title</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Culinary External Work-Based Learning.</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State program format</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Proposed registered Cooperative Career and Technical Education Work Experience Program (CO-OP), subject to current district and NYSED review and approval.</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Grade and length</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Grade 12; full-year course.</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Credit</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1.0 elective or CTE-sequence credit, subject to final local course approval and state review.</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Student eligibility</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Age and legal requirements satisfied; completion of Culinary 1, Culinary 2, Advanced Culinary, and Kitchen Management; Gateway 5 completed; academic and program requirements in good standing.</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Worksite hours</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Minimum 300 verified hours completed within the approved course window. Hours are a threshold requirement, not a weighted grade category.</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Placement type</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Approved paid or unpaid school-supervised work.</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Related fields</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Culinary, hospitality, food systems, retail food operations, nutrition, research, product development, event operations, food media, or another approved related setting.</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Related instruction</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Scheduled instruction and coordinator conferences aligned to the training plan, employability development, portfolio, workplace problem solving, and career transition.</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Placement development</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Shared model: the coordinator develops partners; students search, apply, and interview; an existing job may be submitted for approval.</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Training-station approval</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The site, mentor, duties, schedule, supervision, safety, transportation, support, insurance, working papers, agreement, and training plan are approved before hours begin.</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Flexible Hour Model</w:t>
            </w:r>
          </w:p>
          <w:p>
            <w:pPr>
              <w:spacing w:after="0"/>
            </w:pPr>
            <w:r>
              <w:rPr>
                <w:sz w:val="18"/>
              </w:rPr>
              <w:t>Three hundred verified hours are required. Ten hours across approximately thirty active weeks is a planning benchmark, not a rigid weekly quota. Hours may fluctuate across the approved course window within labor, school, safety, supervision, and transportation requirements.</w:t>
            </w:r>
          </w:p>
        </w:tc>
      </w:tr>
    </w:tbl>
    <w:p>
      <w:pPr>
        <w:spacing w:after="0"/>
      </w:pPr>
    </w:p>
    <w:p>
      <w:pPr>
        <w:pStyle w:val="Heading2"/>
      </w:pPr>
      <w:r>
        <w:t>Standards-Based Evaluation</w:t>
      </w:r>
    </w:p>
    <w:p>
      <w:r>
        <w:t>The senior course uses the district's 1-4 standards-based scale. Employer feedback informs workplace-performance evidence; the credentialed WBL Coordinator determines the final course evaluation.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672"/>
            <w:tcMar>
              <w:top w:w="90" w:type="dxa"/>
              <w:start w:w="90" w:type="dxa"/>
              <w:bottom w:w="90" w:type="dxa"/>
              <w:end w:w="90" w:type="dxa"/>
            </w:tcMar>
            <w:vAlign w:val="center"/>
            <w:shd w:fill="1F4E78"/>
          </w:tcPr>
          <w:p>
            <w:pPr>
              <w:spacing w:after="0"/>
            </w:pPr>
            <w:r/>
            <w:r>
              <w:rPr>
                <w:rFonts w:ascii="Aptos" w:hAnsi="Aptos"/>
                <w:b/>
                <w:color w:val="FFFFFF"/>
                <w:sz w:val="17"/>
              </w:rPr>
              <w:t>Evidence strand</w:t>
            </w:r>
          </w:p>
        </w:tc>
        <w:tc>
          <w:tcPr>
            <w:tcW w:type="dxa" w:w="936"/>
            <w:tcMar>
              <w:top w:w="90" w:type="dxa"/>
              <w:start w:w="90" w:type="dxa"/>
              <w:bottom w:w="90" w:type="dxa"/>
              <w:end w:w="90" w:type="dxa"/>
            </w:tcMar>
            <w:vAlign w:val="center"/>
            <w:shd w:fill="1F4E78"/>
          </w:tcPr>
          <w:p>
            <w:pPr>
              <w:spacing w:after="0"/>
            </w:pPr>
            <w:r/>
            <w:r>
              <w:rPr>
                <w:rFonts w:ascii="Aptos" w:hAnsi="Aptos"/>
                <w:b/>
                <w:color w:val="FFFFFF"/>
                <w:sz w:val="17"/>
              </w:rPr>
              <w:t>Weight</w:t>
            </w:r>
          </w:p>
        </w:tc>
        <w:tc>
          <w:tcPr>
            <w:tcW w:type="dxa" w:w="5472"/>
            <w:tcMar>
              <w:top w:w="90" w:type="dxa"/>
              <w:start w:w="90" w:type="dxa"/>
              <w:bottom w:w="90" w:type="dxa"/>
              <w:end w:w="90" w:type="dxa"/>
            </w:tcMar>
            <w:vAlign w:val="center"/>
            <w:shd w:fill="1F4E78"/>
          </w:tcPr>
          <w:p>
            <w:pPr>
              <w:spacing w:after="0"/>
            </w:pPr>
            <w:r/>
            <w:r>
              <w:rPr>
                <w:rFonts w:ascii="Aptos" w:hAnsi="Aptos"/>
                <w:b/>
                <w:color w:val="FFFFFF"/>
                <w:sz w:val="17"/>
              </w:rPr>
              <w:t>Primary evidence</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Portfolio and required assignments</w:t>
            </w:r>
          </w:p>
        </w:tc>
        <w:tc>
          <w:tcPr>
            <w:tcW w:type="dxa" w:w="936"/>
            <w:tcMar>
              <w:top w:w="90" w:type="dxa"/>
              <w:start w:w="90" w:type="dxa"/>
              <w:bottom w:w="90" w:type="dxa"/>
              <w:end w:w="90" w:type="dxa"/>
            </w:tcMar>
            <w:vAlign w:val="center"/>
            <w:shd w:fill="EAF2F8"/>
          </w:tcPr>
          <w:p>
            <w:pPr>
              <w:spacing w:after="0"/>
            </w:pPr>
            <w:r/>
            <w:r>
              <w:rPr>
                <w:rFonts w:ascii="Aptos" w:hAnsi="Aptos"/>
                <w:b w:val="0"/>
                <w:sz w:val="16"/>
              </w:rPr>
              <w:t>40%</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Common assignments, individualized artifacts, records of duties and growth, employer feedback, reflection, and transition evidence.</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Workplace performance and pathway application</w:t>
            </w:r>
          </w:p>
        </w:tc>
        <w:tc>
          <w:tcPr>
            <w:tcW w:type="dxa" w:w="936"/>
            <w:tcMar>
              <w:top w:w="90" w:type="dxa"/>
              <w:start w:w="90" w:type="dxa"/>
              <w:bottom w:w="90" w:type="dxa"/>
              <w:end w:w="90" w:type="dxa"/>
            </w:tcMar>
            <w:vAlign w:val="center"/>
            <w:shd w:fill="FFFFFF"/>
          </w:tcPr>
          <w:p>
            <w:pPr>
              <w:spacing w:after="0"/>
            </w:pPr>
            <w:r/>
            <w:r>
              <w:rPr>
                <w:rFonts w:ascii="Aptos" w:hAnsi="Aptos"/>
                <w:b w:val="0"/>
                <w:sz w:val="16"/>
              </w:rPr>
              <w:t>30%</w:t>
            </w:r>
          </w:p>
        </w:tc>
        <w:tc>
          <w:tcPr>
            <w:tcW w:type="dxa" w:w="5472"/>
            <w:tcMar>
              <w:top w:w="90" w:type="dxa"/>
              <w:start w:w="90" w:type="dxa"/>
              <w:bottom w:w="90" w:type="dxa"/>
              <w:end w:w="90" w:type="dxa"/>
            </w:tcMar>
            <w:vAlign w:val="center"/>
            <w:shd w:fill="FFFFFF"/>
          </w:tcPr>
          <w:p>
            <w:pPr>
              <w:spacing w:after="0"/>
            </w:pPr>
            <w:r/>
            <w:r>
              <w:rPr>
                <w:rFonts w:ascii="Aptos" w:hAnsi="Aptos"/>
                <w:b w:val="0"/>
                <w:sz w:val="16"/>
              </w:rPr>
              <w:t>Attendance, punctuality, safety, professionalism, communication, quality, initiative, problem solving, teamwork, and performance within the approved training plan.</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Final presentation and exit interview</w:t>
            </w:r>
          </w:p>
        </w:tc>
        <w:tc>
          <w:tcPr>
            <w:tcW w:type="dxa" w:w="936"/>
            <w:tcMar>
              <w:top w:w="90" w:type="dxa"/>
              <w:start w:w="90" w:type="dxa"/>
              <w:bottom w:w="90" w:type="dxa"/>
              <w:end w:w="90" w:type="dxa"/>
            </w:tcMar>
            <w:vAlign w:val="center"/>
            <w:shd w:fill="EAF2F8"/>
          </w:tcPr>
          <w:p>
            <w:pPr>
              <w:spacing w:after="0"/>
            </w:pPr>
            <w:r/>
            <w:r>
              <w:rPr>
                <w:rFonts w:ascii="Aptos" w:hAnsi="Aptos"/>
                <w:b w:val="0"/>
                <w:sz w:val="16"/>
              </w:rPr>
              <w:t>15%</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Student explanation of learning, evidence, feedback, professional growth, career direction, and next steps.</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Training-plan progress and coordinator reviews</w:t>
            </w:r>
          </w:p>
        </w:tc>
        <w:tc>
          <w:tcPr>
            <w:tcW w:type="dxa" w:w="936"/>
            <w:tcMar>
              <w:top w:w="90" w:type="dxa"/>
              <w:start w:w="90" w:type="dxa"/>
              <w:bottom w:w="90" w:type="dxa"/>
              <w:end w:w="90" w:type="dxa"/>
            </w:tcMar>
            <w:vAlign w:val="center"/>
            <w:shd w:fill="FFFFFF"/>
          </w:tcPr>
          <w:p>
            <w:pPr>
              <w:spacing w:after="0"/>
            </w:pPr>
            <w:r/>
            <w:r>
              <w:rPr>
                <w:rFonts w:ascii="Aptos" w:hAnsi="Aptos"/>
                <w:b w:val="0"/>
                <w:sz w:val="16"/>
              </w:rPr>
              <w:t>10%</w:t>
            </w:r>
          </w:p>
        </w:tc>
        <w:tc>
          <w:tcPr>
            <w:tcW w:type="dxa" w:w="5472"/>
            <w:tcMar>
              <w:top w:w="90" w:type="dxa"/>
              <w:start w:w="90" w:type="dxa"/>
              <w:bottom w:w="90" w:type="dxa"/>
              <w:end w:w="90" w:type="dxa"/>
            </w:tcMar>
            <w:vAlign w:val="center"/>
            <w:shd w:fill="FFFFFF"/>
          </w:tcPr>
          <w:p>
            <w:pPr>
              <w:spacing w:after="0"/>
            </w:pPr>
            <w:r/>
            <w:r>
              <w:rPr>
                <w:rFonts w:ascii="Aptos" w:hAnsi="Aptos"/>
                <w:b w:val="0"/>
                <w:sz w:val="16"/>
              </w:rPr>
              <w:t>Goal progress, visits, conferences, documentation, corrective action, and response to feedback.</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Student self-evaluation</w:t>
            </w:r>
          </w:p>
        </w:tc>
        <w:tc>
          <w:tcPr>
            <w:tcW w:type="dxa" w:w="936"/>
            <w:tcMar>
              <w:top w:w="90" w:type="dxa"/>
              <w:start w:w="90" w:type="dxa"/>
              <w:bottom w:w="90" w:type="dxa"/>
              <w:end w:w="90" w:type="dxa"/>
            </w:tcMar>
            <w:vAlign w:val="center"/>
            <w:shd w:fill="EAF2F8"/>
          </w:tcPr>
          <w:p>
            <w:pPr>
              <w:spacing w:after="0"/>
            </w:pPr>
            <w:r/>
            <w:r>
              <w:rPr>
                <w:rFonts w:ascii="Aptos" w:hAnsi="Aptos"/>
                <w:b w:val="0"/>
                <w:sz w:val="16"/>
              </w:rPr>
              <w:t>5%</w:t>
            </w:r>
          </w:p>
        </w:tc>
        <w:tc>
          <w:tcPr>
            <w:tcW w:type="dxa" w:w="5472"/>
            <w:tcMar>
              <w:top w:w="90" w:type="dxa"/>
              <w:start w:w="90" w:type="dxa"/>
              <w:bottom w:w="90" w:type="dxa"/>
              <w:end w:w="90" w:type="dxa"/>
            </w:tcMar>
            <w:vAlign w:val="center"/>
            <w:shd w:fill="EAF2F8"/>
          </w:tcPr>
          <w:p>
            <w:pPr>
              <w:spacing w:after="0"/>
            </w:pPr>
            <w:r/>
            <w:r>
              <w:rPr>
                <w:rFonts w:ascii="Aptos" w:hAnsi="Aptos"/>
                <w:b w:val="0"/>
                <w:sz w:val="16"/>
              </w:rPr>
              <w:t>Standards-based reflection on performance, strengths, growth needs, and transition readiness.</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Dual Completion Threshold</w:t>
            </w:r>
          </w:p>
          <w:p>
            <w:pPr>
              <w:spacing w:after="0"/>
            </w:pPr>
            <w:r>
              <w:rPr>
                <w:sz w:val="18"/>
              </w:rPr>
              <w:t>The 300-hour requirement must be completed in addition to an acceptable portfolio and the other required evidence. Hours do not replace learning; portfolio quality does not replace hours.</w:t>
            </w:r>
          </w:p>
        </w:tc>
      </w:tr>
    </w:tbl>
    <w:p>
      <w:pPr>
        <w:spacing w:after="0"/>
      </w:pPr>
    </w:p>
    <w:p>
      <w:pPr>
        <w:pStyle w:val="Heading2"/>
      </w:pPr>
      <w:r>
        <w:t>Non-Negotiable Completion Requirements</w:t>
      </w:r>
    </w:p>
    <w:p>
      <w:pPr>
        <w:pStyle w:val="ListBullet"/>
        <w:spacing w:after="40"/>
      </w:pPr>
      <w:r>
        <w:t>300 verified workplace hours.</w:t>
      </w:r>
    </w:p>
    <w:p>
      <w:pPr>
        <w:pStyle w:val="ListBullet"/>
        <w:spacing w:after="40"/>
      </w:pPr>
      <w:r>
        <w:t>Completed portfolio and required assignments.</w:t>
      </w:r>
    </w:p>
    <w:p>
      <w:pPr>
        <w:pStyle w:val="ListBullet"/>
        <w:spacing w:after="40"/>
      </w:pPr>
      <w:r>
        <w:t>Completed employer feedback and coordinator evaluation.</w:t>
      </w:r>
    </w:p>
    <w:p>
      <w:pPr>
        <w:pStyle w:val="ListBullet"/>
        <w:spacing w:after="40"/>
      </w:pPr>
      <w:r>
        <w:t>Final presentation and exit interview.</w:t>
      </w:r>
    </w:p>
    <w:p>
      <w:pPr>
        <w:pStyle w:val="ListBullet"/>
        <w:spacing w:after="40"/>
      </w:pPr>
      <w:r>
        <w:t>Acceptable safety and professional conduct.</w:t>
      </w:r>
    </w:p>
    <w:p>
      <w:pPr>
        <w:pStyle w:val="ListBullet"/>
        <w:spacing w:after="40"/>
      </w:pPr>
      <w:r>
        <w:t>Sufficient evidence to support Gateway 6: Completed Authentic Workplace Learning.</w:t>
      </w:r>
    </w:p>
    <w:p>
      <w:r>
        <w:t>A placement ending early does not automatically become course completion. The coordinator reviews the cause, available evidence, remaining hours, safety and conduct record, and whether a new approved training station can be established within the course window. A student who does not meet the hour, portfolio, conduct, or evidence requirements does not earn Gateway 6.</w:t>
      </w:r>
    </w:p>
    <w:p>
      <w:pPr>
        <w:pStyle w:val="Heading1"/>
      </w:pPr>
      <w:r>
        <w:t>Chapter 8: Training-Station Quality</w:t>
      </w:r>
    </w:p>
    <w:p>
      <w:r>
        <w:t>A training station is the approved workplace learning setting as a whole. It is not the student's individual kitchen work station.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Quality condition</w:t>
            </w:r>
          </w:p>
        </w:tc>
        <w:tc>
          <w:tcPr>
            <w:tcW w:type="dxa" w:w="7416"/>
            <w:tcMar>
              <w:top w:w="90" w:type="dxa"/>
              <w:start w:w="90" w:type="dxa"/>
              <w:bottom w:w="90" w:type="dxa"/>
              <w:end w:w="90" w:type="dxa"/>
            </w:tcMar>
            <w:vAlign w:val="center"/>
            <w:shd w:fill="1F4E78"/>
          </w:tcPr>
          <w:p>
            <w:pPr>
              <w:spacing w:after="0"/>
            </w:pPr>
            <w:r/>
            <w:r>
              <w:rPr>
                <w:rFonts w:ascii="Aptos" w:hAnsi="Aptos"/>
                <w:b/>
                <w:color w:val="FFFFFF"/>
                <w:sz w:val="17"/>
              </w:rPr>
              <w:t>Required meaning</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Safe and lawful</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Duties, equipment, schedule, supervision, age requirements, working papers, labor rules, insurance, and emergency procedures meet current requirements.</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Educationally meaningful</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Work connects to the training plan and develops technical, employability, service, business, leadership, or transition competencies.</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Clearly supervised</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A named mentor has the authority, time, and willingness to teach, observe, communicate, and provide feedback.</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Progressive</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Responsibility may increase as the student demonstrates competency.</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Respectful</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The student is treated as a learner and emerging professional, not as free labor or substitute staffing.</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Reliable</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Schedules, communication, attendance verification, evaluations, and follow-through support learning.</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Supportable by the district</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The coordinator can visit, monitor, communicate, intervene, maintain records, and close the experience appropriately.</w:t>
            </w:r>
          </w:p>
        </w:tc>
      </w:tr>
    </w:tbl>
    <w:p>
      <w:pPr>
        <w:spacing w:after="0"/>
      </w:pPr>
    </w:p>
    <w:p>
      <w:pPr>
        <w:pStyle w:val="Heading1"/>
      </w:pPr>
      <w:r>
        <w:t>Chapter 9: Governance, Staffing, and Coordination Capacity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Role</w:t>
            </w:r>
          </w:p>
        </w:tc>
        <w:tc>
          <w:tcPr>
            <w:tcW w:type="dxa" w:w="7416"/>
            <w:tcMar>
              <w:top w:w="90" w:type="dxa"/>
              <w:start w:w="90" w:type="dxa"/>
              <w:bottom w:w="90" w:type="dxa"/>
              <w:end w:w="90" w:type="dxa"/>
            </w:tcMar>
            <w:vAlign w:val="center"/>
            <w:shd w:fill="1F4E78"/>
          </w:tcPr>
          <w:p>
            <w:pPr>
              <w:spacing w:after="0"/>
            </w:pPr>
            <w:r/>
            <w:r>
              <w:rPr>
                <w:rFonts w:ascii="Aptos" w:hAnsi="Aptos"/>
                <w:b/>
                <w:color w:val="FFFFFF"/>
                <w:sz w:val="17"/>
              </w:rPr>
              <w:t>Primary responsibility</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Board of Education</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Endorse public direction, approve curriculum and fiscal actions when required, and receive launch-readiness and annual reports.</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Superintendent or designee</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Name accountable leadership; coordinate district departments; confirm authority, resources, and launch readiness.</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School to Career Pathways leadership</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Connect the course to district pathway systems, proposed registration, employer development, communication, and transition planning.</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Culinary teachers</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Deliver instruction, verify Gateways 1-5, maintain Passport evidence, prepare students, and coordinate with the WBL Coordinator.</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Credentialed WBL Coordinator</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Administer External WBL; approve training stations; develop training plans; match and monitor students; verify hours; visit sites; communicate; evaluate evidence; maintain records; and respond to concerns.</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Counselors and support staff</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Support scheduling, graduation planning, accommodations, attendance, communication, transportation, and transition.</w:t>
            </w:r>
          </w:p>
        </w:tc>
      </w:tr>
      <w:tr>
        <w:trPr>
          <w:cantSplit w:val="true"/>
        </w:trPr>
        <w:tc>
          <w:tcPr>
            <w:tcW w:type="dxa" w:w="2664"/>
            <w:tcMar>
              <w:top w:w="90" w:type="dxa"/>
              <w:start w:w="90" w:type="dxa"/>
              <w:bottom w:w="90" w:type="dxa"/>
              <w:end w:w="90" w:type="dxa"/>
            </w:tcMar>
            <w:vAlign w:val="center"/>
            <w:shd w:fill="EAF2F8"/>
          </w:tcPr>
          <w:p>
            <w:pPr>
              <w:spacing w:after="0"/>
            </w:pPr>
            <w:r/>
            <w:r>
              <w:rPr>
                <w:rFonts w:ascii="Aptos" w:hAnsi="Aptos"/>
                <w:b w:val="0"/>
                <w:sz w:val="16"/>
              </w:rPr>
              <w:t>Employers and mentors</w:t>
            </w:r>
          </w:p>
        </w:tc>
        <w:tc>
          <w:tcPr>
            <w:tcW w:type="dxa" w:w="7416"/>
            <w:tcMar>
              <w:top w:w="90" w:type="dxa"/>
              <w:start w:w="90" w:type="dxa"/>
              <w:bottom w:w="90" w:type="dxa"/>
              <w:end w:w="90" w:type="dxa"/>
            </w:tcMar>
            <w:vAlign w:val="center"/>
            <w:shd w:fill="EAF2F8"/>
          </w:tcPr>
          <w:p>
            <w:pPr>
              <w:spacing w:after="0"/>
            </w:pPr>
            <w:r/>
            <w:r>
              <w:rPr>
                <w:rFonts w:ascii="Aptos" w:hAnsi="Aptos"/>
                <w:b w:val="0"/>
                <w:sz w:val="16"/>
              </w:rPr>
              <w:t>Provide lawful duties, site-specific instruction, supervision, feedback, hour verification, and timely communication.</w:t>
            </w:r>
          </w:p>
        </w:tc>
      </w:tr>
      <w:tr>
        <w:trPr>
          <w:cantSplit w:val="true"/>
        </w:trPr>
        <w:tc>
          <w:tcPr>
            <w:tcW w:type="dxa" w:w="2664"/>
            <w:tcMar>
              <w:top w:w="90" w:type="dxa"/>
              <w:start w:w="90" w:type="dxa"/>
              <w:bottom w:w="90" w:type="dxa"/>
              <w:end w:w="90" w:type="dxa"/>
            </w:tcMar>
            <w:vAlign w:val="center"/>
            <w:shd w:fill="FFFFFF"/>
          </w:tcPr>
          <w:p>
            <w:pPr>
              <w:spacing w:after="0"/>
            </w:pPr>
            <w:r/>
            <w:r>
              <w:rPr>
                <w:rFonts w:ascii="Aptos" w:hAnsi="Aptos"/>
                <w:b w:val="0"/>
                <w:sz w:val="16"/>
              </w:rPr>
              <w:t>Students and families</w:t>
            </w:r>
          </w:p>
        </w:tc>
        <w:tc>
          <w:tcPr>
            <w:tcW w:type="dxa" w:w="7416"/>
            <w:tcMar>
              <w:top w:w="90" w:type="dxa"/>
              <w:start w:w="90" w:type="dxa"/>
              <w:bottom w:w="90" w:type="dxa"/>
              <w:end w:w="90" w:type="dxa"/>
            </w:tcMar>
            <w:vAlign w:val="center"/>
            <w:shd w:fill="FFFFFF"/>
          </w:tcPr>
          <w:p>
            <w:pPr>
              <w:spacing w:after="0"/>
            </w:pPr>
            <w:r/>
            <w:r>
              <w:rPr>
                <w:rFonts w:ascii="Aptos" w:hAnsi="Aptos"/>
                <w:b w:val="0"/>
                <w:sz w:val="16"/>
              </w:rPr>
              <w:t>Complete orientation and agreements; support reliable attendance, communication, transportation planning, reflection, and portfolio requirements.</w:t>
            </w:r>
          </w:p>
        </w:tc>
      </w:tr>
    </w:tbl>
    <w:p>
      <w:pPr>
        <w:spacing w:after="0"/>
      </w:pPr>
    </w:p>
    <w:p>
      <w:pPr>
        <w:pStyle w:val="Heading2"/>
      </w:pPr>
      <w:r>
        <w:t>Coordinator Capacity Standard</w:t>
      </w:r>
    </w:p>
    <w:p>
      <w:pPr>
        <w:pStyle w:val="ListBullet"/>
        <w:spacing w:after="40"/>
      </w:pPr>
      <w:r>
        <w:t>The coordinator reviews every training station before placement and completes the monitoring required by current district and state expectations.</w:t>
      </w:r>
    </w:p>
    <w:p>
      <w:pPr>
        <w:pStyle w:val="ListBullet"/>
        <w:spacing w:after="40"/>
      </w:pPr>
      <w:r>
        <w:t>The coordinator's schedule includes protected time for travel, site review, student conferences, employer communication, training plans, records, evaluation, and intervention.</w:t>
      </w:r>
    </w:p>
    <w:p>
      <w:pPr>
        <w:pStyle w:val="ListBullet"/>
        <w:spacing w:after="40"/>
      </w:pPr>
      <w:r>
        <w:t>The first cohort is capped locally according to assigned time, travel, geographic distribution, training-station quality, student-support needs, and the district's ability to complete required monitoring.</w:t>
      </w:r>
    </w:p>
    <w:p>
      <w:pPr>
        <w:pStyle w:val="ListBullet"/>
        <w:spacing w:after="40"/>
      </w:pPr>
      <w:r>
        <w:t>The district reduces scope or delays launch rather than weakening supervision, records, communication, or student support.</w:t>
      </w: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Quality Before Quantity</w:t>
            </w:r>
          </w:p>
          <w:p>
            <w:pPr>
              <w:spacing w:after="0"/>
            </w:pPr>
            <w:r>
              <w:rPr>
                <w:sz w:val="18"/>
              </w:rPr>
              <w:t>Coordinator time and district support determine safe scale. Participation goals do not override the capacity required to supervise the experience.</w:t>
            </w:r>
          </w:p>
        </w:tc>
      </w:tr>
    </w:tbl>
    <w:p>
      <w:pPr>
        <w:spacing w:after="0"/>
      </w:pPr>
    </w:p>
    <w:p>
      <w:pPr>
        <w:pStyle w:val="Heading1"/>
      </w:pPr>
      <w:r>
        <w:t>Chapter 10: Access, Transportation, and Student Support</w:t>
      </w:r>
    </w:p>
    <w:p>
      <w:r>
        <w:t>External WBL must remain accessible to students who have demonstrated readiness. Transportation, cost, disability-related needs, language access, equipment, uniforms, meals, family responsibilities, and technology are addressed before a placement is approved.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Area</w:t>
            </w:r>
          </w:p>
        </w:tc>
        <w:tc>
          <w:tcPr>
            <w:tcW w:type="dxa" w:w="7632"/>
            <w:tcMar>
              <w:top w:w="90" w:type="dxa"/>
              <w:start w:w="90" w:type="dxa"/>
              <w:bottom w:w="90" w:type="dxa"/>
              <w:end w:w="90" w:type="dxa"/>
            </w:tcMar>
            <w:vAlign w:val="center"/>
            <w:shd w:fill="1F4E78"/>
          </w:tcPr>
          <w:p>
            <w:pPr>
              <w:spacing w:after="0"/>
            </w:pPr>
            <w:r/>
            <w:r>
              <w:rPr>
                <w:rFonts w:ascii="Aptos" w:hAnsi="Aptos"/>
                <w:b/>
                <w:color w:val="FFFFFF"/>
                <w:sz w:val="17"/>
              </w:rPr>
              <w:t>Implementation standard</w:t>
            </w:r>
          </w:p>
        </w:tc>
      </w:tr>
      <w:tr>
        <w:trPr>
          <w:cantSplit w:val="true"/>
        </w:trPr>
        <w:tc>
          <w:tcPr>
            <w:tcW w:type="dxa" w:w="2448"/>
            <w:tcMar>
              <w:top w:w="90" w:type="dxa"/>
              <w:start w:w="90" w:type="dxa"/>
              <w:bottom w:w="90" w:type="dxa"/>
              <w:end w:w="90" w:type="dxa"/>
            </w:tcMar>
            <w:vAlign w:val="center"/>
            <w:shd w:fill="EAF2F8"/>
          </w:tcPr>
          <w:p>
            <w:pPr>
              <w:spacing w:after="0"/>
            </w:pPr>
            <w:r/>
            <w:r>
              <w:rPr>
                <w:rFonts w:ascii="Aptos" w:hAnsi="Aptos"/>
                <w:b w:val="0"/>
                <w:sz w:val="16"/>
              </w:rPr>
              <w:t>Transportation</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Each student's plan identifies safe, reliable transportation. The district budgets and coordinates support, including district-provided options where required and feasible; family transportation is not assumed as the sole access model.</w:t>
            </w:r>
          </w:p>
        </w:tc>
      </w:tr>
      <w:tr>
        <w:trPr>
          <w:cantSplit w:val="true"/>
        </w:trPr>
        <w:tc>
          <w:tcPr>
            <w:tcW w:type="dxa" w:w="2448"/>
            <w:tcMar>
              <w:top w:w="90" w:type="dxa"/>
              <w:start w:w="90" w:type="dxa"/>
              <w:bottom w:w="90" w:type="dxa"/>
              <w:end w:w="90" w:type="dxa"/>
            </w:tcMar>
            <w:vAlign w:val="center"/>
            <w:shd w:fill="FFFFFF"/>
          </w:tcPr>
          <w:p>
            <w:pPr>
              <w:spacing w:after="0"/>
            </w:pPr>
            <w:r/>
            <w:r>
              <w:rPr>
                <w:rFonts w:ascii="Aptos" w:hAnsi="Aptos"/>
                <w:b w:val="0"/>
                <w:sz w:val="16"/>
              </w:rPr>
              <w:t>Disability access</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The coordinator, teacher, support staff, student, family, and employer coordinate approved accommodations and workplace supports without lowering essential safety or competency standards.</w:t>
            </w:r>
          </w:p>
        </w:tc>
      </w:tr>
      <w:tr>
        <w:trPr>
          <w:cantSplit w:val="true"/>
        </w:trPr>
        <w:tc>
          <w:tcPr>
            <w:tcW w:type="dxa" w:w="2448"/>
            <w:tcMar>
              <w:top w:w="90" w:type="dxa"/>
              <w:start w:w="90" w:type="dxa"/>
              <w:bottom w:w="90" w:type="dxa"/>
              <w:end w:w="90" w:type="dxa"/>
            </w:tcMar>
            <w:vAlign w:val="center"/>
            <w:shd w:fill="EAF2F8"/>
          </w:tcPr>
          <w:p>
            <w:pPr>
              <w:spacing w:after="0"/>
            </w:pPr>
            <w:r/>
            <w:r>
              <w:rPr>
                <w:rFonts w:ascii="Aptos" w:hAnsi="Aptos"/>
                <w:b w:val="0"/>
                <w:sz w:val="16"/>
              </w:rPr>
              <w:t>Cost barriers</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Uniforms, equipment, credentials, meals, and required materials are reviewed so otherwise qualified students are not excluded by program costs.</w:t>
            </w:r>
          </w:p>
        </w:tc>
      </w:tr>
      <w:tr>
        <w:trPr>
          <w:cantSplit w:val="true"/>
        </w:trPr>
        <w:tc>
          <w:tcPr>
            <w:tcW w:type="dxa" w:w="2448"/>
            <w:tcMar>
              <w:top w:w="90" w:type="dxa"/>
              <w:start w:w="90" w:type="dxa"/>
              <w:bottom w:w="90" w:type="dxa"/>
              <w:end w:w="90" w:type="dxa"/>
            </w:tcMar>
            <w:vAlign w:val="center"/>
            <w:shd w:fill="FFFFFF"/>
          </w:tcPr>
          <w:p>
            <w:pPr>
              <w:spacing w:after="0"/>
            </w:pPr>
            <w:r/>
            <w:r>
              <w:rPr>
                <w:rFonts w:ascii="Aptos" w:hAnsi="Aptos"/>
                <w:b w:val="0"/>
                <w:sz w:val="16"/>
              </w:rPr>
              <w:t>Schedule</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Late arrival, early dismissal, after-school, weekend, or school-break hours may be used only within the approved schedule, labor rules, academic requirements, supervision, and transportation plan.</w:t>
            </w:r>
          </w:p>
        </w:tc>
      </w:tr>
      <w:tr>
        <w:trPr>
          <w:cantSplit w:val="true"/>
        </w:trPr>
        <w:tc>
          <w:tcPr>
            <w:tcW w:type="dxa" w:w="2448"/>
            <w:tcMar>
              <w:top w:w="90" w:type="dxa"/>
              <w:start w:w="90" w:type="dxa"/>
              <w:bottom w:w="90" w:type="dxa"/>
              <w:end w:w="90" w:type="dxa"/>
            </w:tcMar>
            <w:vAlign w:val="center"/>
            <w:shd w:fill="EAF2F8"/>
          </w:tcPr>
          <w:p>
            <w:pPr>
              <w:spacing w:after="0"/>
            </w:pPr>
            <w:r/>
            <w:r>
              <w:rPr>
                <w:rFonts w:ascii="Aptos" w:hAnsi="Aptos"/>
                <w:b w:val="0"/>
                <w:sz w:val="16"/>
              </w:rPr>
              <w:t>Alternative authentic learning</w:t>
            </w:r>
          </w:p>
        </w:tc>
        <w:tc>
          <w:tcPr>
            <w:tcW w:type="dxa" w:w="7632"/>
            <w:tcMar>
              <w:top w:w="90" w:type="dxa"/>
              <w:start w:w="90" w:type="dxa"/>
              <w:bottom w:w="90" w:type="dxa"/>
              <w:end w:w="90" w:type="dxa"/>
            </w:tcMar>
            <w:vAlign w:val="center"/>
            <w:shd w:fill="EAF2F8"/>
          </w:tcPr>
          <w:p>
            <w:pPr>
              <w:spacing w:after="0"/>
            </w:pPr>
            <w:r/>
            <w:r>
              <w:rPr>
                <w:rFonts w:ascii="Aptos" w:hAnsi="Aptos"/>
                <w:b w:val="0"/>
                <w:sz w:val="16"/>
              </w:rPr>
              <w:t>When an external training station is not appropriate or available, The Cottage and other approved school-based experiences remain meaningful instructional environments. They do not substitute for Gateway 6 or the senior-course completion requirements.</w:t>
            </w:r>
          </w:p>
        </w:tc>
      </w:tr>
      <w:tr>
        <w:trPr>
          <w:cantSplit w:val="true"/>
        </w:trPr>
        <w:tc>
          <w:tcPr>
            <w:tcW w:type="dxa" w:w="2448"/>
            <w:tcMar>
              <w:top w:w="90" w:type="dxa"/>
              <w:start w:w="90" w:type="dxa"/>
              <w:bottom w:w="90" w:type="dxa"/>
              <w:end w:w="90" w:type="dxa"/>
            </w:tcMar>
            <w:vAlign w:val="center"/>
            <w:shd w:fill="FFFFFF"/>
          </w:tcPr>
          <w:p>
            <w:pPr>
              <w:spacing w:after="0"/>
            </w:pPr>
            <w:r/>
            <w:r>
              <w:rPr>
                <w:rFonts w:ascii="Aptos" w:hAnsi="Aptos"/>
                <w:b w:val="0"/>
                <w:sz w:val="16"/>
              </w:rPr>
              <w:t>Student voice and concerns</w:t>
            </w:r>
          </w:p>
        </w:tc>
        <w:tc>
          <w:tcPr>
            <w:tcW w:type="dxa" w:w="7632"/>
            <w:tcMar>
              <w:top w:w="90" w:type="dxa"/>
              <w:start w:w="90" w:type="dxa"/>
              <w:bottom w:w="90" w:type="dxa"/>
              <w:end w:w="90" w:type="dxa"/>
            </w:tcMar>
            <w:vAlign w:val="center"/>
            <w:shd w:fill="FFFFFF"/>
          </w:tcPr>
          <w:p>
            <w:pPr>
              <w:spacing w:after="0"/>
            </w:pPr>
            <w:r/>
            <w:r>
              <w:rPr>
                <w:rFonts w:ascii="Aptos" w:hAnsi="Aptos"/>
                <w:b w:val="0"/>
                <w:sz w:val="16"/>
              </w:rPr>
              <w:t>Students have clear, confidential routes to report safety, harassment, discrimination, supervision, schedule, duty, pay, or treatment concerns without retaliation.</w:t>
            </w:r>
          </w:p>
        </w:tc>
      </w:tr>
    </w:tbl>
    <w:p>
      <w:pPr>
        <w:spacing w:after="0"/>
      </w:pPr>
    </w:p>
    <w:p>
      <w:pPr>
        <w:pStyle w:val="PartTitle"/>
      </w:pPr>
      <w:r>
        <w:t>PART III</w:t>
        <w:br/>
        <w:t>Resources, Accountability, and Board Action</w:t>
      </w:r>
    </w:p>
    <w:p>
      <w:pPr>
        <w:pStyle w:val="Heading3"/>
      </w:pPr>
      <w:r>
        <w:t>The capacity, evidence, and formal decision required for responsible implementation.</w:t>
      </w:r>
    </w:p>
    <w:p>
      <w:pPr>
        <w:pStyle w:val="Heading1"/>
      </w:pPr>
      <w:r>
        <w:t>Chapter 11: Fiscal and Resource Plan</w:t>
      </w:r>
    </w:p>
    <w:p>
      <w:r>
        <w:t>The proposal uses existing Culinary instruction and The Cottage as its foundation. New commitments are phased and identified before the senior course launches. The fiscal note separates existing resources, one-time implementation costs, and recurring obligations.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Resource category</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Planning assumption</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Personnel</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Credentialed WBL coordination and protected time are the central recurring commitment. Course staffing, coverage, clerical support, professional learning, and additional assignments are reviewed through normal district processes.</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Transportation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Each student's access plan is costed before placement. The fiscal note identifies district-provided, contracted, shared, or other approved options and does not presume family transportation.</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Technology and records</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Use district-approved systems for the Passport, hours, portfolio evidence, agreements, communication, evaluation, and retention.</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Student access</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Budget for uniforms, equipment, credentials, meals, language access, accommodations, and other barriers as required.</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Partner and site development</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Plan for outreach, site review, mentor orientation, agreements, recognition, renewal, and compliance.</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Instruction and credentials</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Identify curriculum development, materials, assessment tools, approved credentials, and testing.</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Legal, insurance, and risk</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Complete counsel, insurance, agreement, incident-system, and required-training review.</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Evaluation and reporting</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Provide accessible Board materials, annual review, and public reporting.</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Fiscal Standard</w:t>
            </w:r>
          </w:p>
          <w:p>
            <w:pPr>
              <w:spacing w:after="0"/>
            </w:pPr>
            <w:r>
              <w:rPr>
                <w:sz w:val="18"/>
              </w:rPr>
              <w:t>The Board is not asked to approve unsupported estimates. Final costs are presented through the district fiscal note before launch authorization.</w:t>
            </w:r>
          </w:p>
        </w:tc>
      </w:tr>
    </w:tbl>
    <w:p>
      <w:pPr>
        <w:spacing w:after="0"/>
      </w:pPr>
    </w:p>
    <w:p>
      <w:pPr>
        <w:pStyle w:val="Heading1"/>
      </w:pPr>
      <w:r>
        <w:t>Chapter 12: Public Accountability and Annual Review</w:t>
      </w:r>
    </w:p>
    <w:p>
      <w:r>
        <w:t>The Board receives evidence that the pathway is operating as approved and that future decisions follow demonstrated quality rather than assumptions.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Reporting domain</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Board-level evidence</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Implementation</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Status of course approval, proposed registration, staffing, systems, training stations, transportation, orientation, and launch conditions.</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Student progression</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Enrollment, Gateway completion patterns, credentials, senior-course participation, 300-hour completion, portfolio completion, Gateway 6, and transition evidence.</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Training-station quality</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Approval, renewal, discontinuation, mentor participation, supervision, educational value, and employer feedback.</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Access</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Participation and barriers related to awareness, scheduling, transportation, disability support, family responsibilities, costs, and site availability.</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Safety and concerns</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Aggregated incident, stop-work, corrective-action, placement-change, and resolution patterns with privacy protected.</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Capacity</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Coordinator assignment, caseload, travel, monitoring, records, support, and partner capacity.</w:t>
            </w:r>
          </w:p>
        </w:tc>
      </w:tr>
      <w:tr>
        <w:trPr>
          <w:cantSplit w:val="true"/>
        </w:trPr>
        <w:tc>
          <w:tcPr>
            <w:tcW w:type="dxa" w:w="2376"/>
            <w:tcMar>
              <w:top w:w="90" w:type="dxa"/>
              <w:start w:w="90" w:type="dxa"/>
              <w:bottom w:w="90" w:type="dxa"/>
              <w:end w:w="90" w:type="dxa"/>
            </w:tcMar>
            <w:vAlign w:val="center"/>
            <w:shd w:fill="EAF2F8"/>
          </w:tcPr>
          <w:p>
            <w:pPr>
              <w:spacing w:after="0"/>
            </w:pPr>
            <w:r/>
            <w:r>
              <w:rPr>
                <w:rFonts w:ascii="Aptos" w:hAnsi="Aptos"/>
                <w:b w:val="0"/>
                <w:sz w:val="16"/>
              </w:rPr>
              <w:t>Fiscal impact</w:t>
            </w:r>
          </w:p>
        </w:tc>
        <w:tc>
          <w:tcPr>
            <w:tcW w:type="dxa" w:w="7704"/>
            <w:tcMar>
              <w:top w:w="90" w:type="dxa"/>
              <w:start w:w="90" w:type="dxa"/>
              <w:bottom w:w="90" w:type="dxa"/>
              <w:end w:w="90" w:type="dxa"/>
            </w:tcMar>
            <w:vAlign w:val="center"/>
            <w:shd w:fill="EAF2F8"/>
          </w:tcPr>
          <w:p>
            <w:pPr>
              <w:spacing w:after="0"/>
            </w:pPr>
            <w:r/>
            <w:r>
              <w:rPr>
                <w:rFonts w:ascii="Aptos" w:hAnsi="Aptos"/>
                <w:b w:val="0"/>
                <w:sz w:val="16"/>
              </w:rPr>
              <w:t>Existing resources, one-time costs, recurring costs, savings or revenue where appropriate, and sustainability.</w:t>
            </w:r>
          </w:p>
        </w:tc>
      </w:tr>
      <w:tr>
        <w:trPr>
          <w:cantSplit w:val="true"/>
        </w:trPr>
        <w:tc>
          <w:tcPr>
            <w:tcW w:type="dxa" w:w="2376"/>
            <w:tcMar>
              <w:top w:w="90" w:type="dxa"/>
              <w:start w:w="90" w:type="dxa"/>
              <w:bottom w:w="90" w:type="dxa"/>
              <w:end w:w="90" w:type="dxa"/>
            </w:tcMar>
            <w:vAlign w:val="center"/>
            <w:shd w:fill="FFFFFF"/>
          </w:tcPr>
          <w:p>
            <w:pPr>
              <w:spacing w:after="0"/>
            </w:pPr>
            <w:r/>
            <w:r>
              <w:rPr>
                <w:rFonts w:ascii="Aptos" w:hAnsi="Aptos"/>
                <w:b w:val="0"/>
                <w:sz w:val="16"/>
              </w:rPr>
              <w:t>Improvement</w:t>
            </w:r>
          </w:p>
        </w:tc>
        <w:tc>
          <w:tcPr>
            <w:tcW w:type="dxa" w:w="7704"/>
            <w:tcMar>
              <w:top w:w="90" w:type="dxa"/>
              <w:start w:w="90" w:type="dxa"/>
              <w:bottom w:w="90" w:type="dxa"/>
              <w:end w:w="90" w:type="dxa"/>
            </w:tcMar>
            <w:vAlign w:val="center"/>
            <w:shd w:fill="FFFFFF"/>
          </w:tcPr>
          <w:p>
            <w:pPr>
              <w:spacing w:after="0"/>
            </w:pPr>
            <w:r/>
            <w:r>
              <w:rPr>
                <w:rFonts w:ascii="Aptos" w:hAnsi="Aptos"/>
                <w:b w:val="0"/>
                <w:sz w:val="16"/>
              </w:rPr>
              <w:t>Limited priorities, assigned owners, actions taken, and later evidence showing whether the action helped.</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1800"/>
            <w:tcMar>
              <w:top w:w="90" w:type="dxa"/>
              <w:start w:w="90" w:type="dxa"/>
              <w:bottom w:w="90" w:type="dxa"/>
              <w:end w:w="90" w:type="dxa"/>
            </w:tcMar>
            <w:vAlign w:val="center"/>
            <w:shd w:fill="1F4E78"/>
          </w:tcPr>
          <w:p>
            <w:pPr>
              <w:spacing w:after="0"/>
            </w:pPr>
            <w:r/>
            <w:r>
              <w:rPr>
                <w:rFonts w:ascii="Aptos" w:hAnsi="Aptos"/>
                <w:b/>
                <w:color w:val="FFFFFF"/>
                <w:sz w:val="17"/>
              </w:rPr>
              <w:t>Decision</w:t>
            </w:r>
          </w:p>
        </w:tc>
        <w:tc>
          <w:tcPr>
            <w:tcW w:type="dxa" w:w="8280"/>
            <w:tcMar>
              <w:top w:w="90" w:type="dxa"/>
              <w:start w:w="90" w:type="dxa"/>
              <w:bottom w:w="90" w:type="dxa"/>
              <w:end w:w="90" w:type="dxa"/>
            </w:tcMar>
            <w:vAlign w:val="center"/>
            <w:shd w:fill="1F4E78"/>
          </w:tcPr>
          <w:p>
            <w:pPr>
              <w:spacing w:after="0"/>
            </w:pPr>
            <w:r/>
            <w:r>
              <w:rPr>
                <w:rFonts w:ascii="Aptos" w:hAnsi="Aptos"/>
                <w:b/>
                <w:color w:val="FFFFFF"/>
                <w:sz w:val="17"/>
              </w:rPr>
              <w:t>Evidence standard</w:t>
            </w:r>
          </w:p>
        </w:tc>
      </w:tr>
      <w:tr>
        <w:trPr>
          <w:cantSplit w:val="true"/>
        </w:trPr>
        <w:tc>
          <w:tcPr>
            <w:tcW w:type="dxa" w:w="1800"/>
            <w:tcMar>
              <w:top w:w="90" w:type="dxa"/>
              <w:start w:w="90" w:type="dxa"/>
              <w:bottom w:w="90" w:type="dxa"/>
              <w:end w:w="90" w:type="dxa"/>
            </w:tcMar>
            <w:vAlign w:val="center"/>
            <w:shd w:fill="EAF2F8"/>
          </w:tcPr>
          <w:p>
            <w:pPr>
              <w:spacing w:after="0"/>
            </w:pPr>
            <w:r/>
            <w:r>
              <w:rPr>
                <w:rFonts w:ascii="Aptos" w:hAnsi="Aptos"/>
                <w:b w:val="0"/>
                <w:sz w:val="16"/>
              </w:rPr>
              <w:t>Continue</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Practice is safe, useful, sustainable, and supported by consistent evidence.</w:t>
            </w:r>
          </w:p>
        </w:tc>
      </w:tr>
      <w:tr>
        <w:trPr>
          <w:cantSplit w:val="true"/>
        </w:trPr>
        <w:tc>
          <w:tcPr>
            <w:tcW w:type="dxa" w:w="1800"/>
            <w:tcMar>
              <w:top w:w="90" w:type="dxa"/>
              <w:start w:w="90" w:type="dxa"/>
              <w:bottom w:w="90" w:type="dxa"/>
              <w:end w:w="90" w:type="dxa"/>
            </w:tcMar>
            <w:vAlign w:val="center"/>
            <w:shd w:fill="FFFFFF"/>
          </w:tcPr>
          <w:p>
            <w:pPr>
              <w:spacing w:after="0"/>
            </w:pPr>
            <w:r/>
            <w:r>
              <w:rPr>
                <w:rFonts w:ascii="Aptos" w:hAnsi="Aptos"/>
                <w:b w:val="0"/>
                <w:sz w:val="16"/>
              </w:rPr>
              <w:t>Monitor</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Evidence is incomplete or mixed, risk is controlled, and another cycle or clearer question is needed.</w:t>
            </w:r>
          </w:p>
        </w:tc>
      </w:tr>
      <w:tr>
        <w:trPr>
          <w:cantSplit w:val="true"/>
        </w:trPr>
        <w:tc>
          <w:tcPr>
            <w:tcW w:type="dxa" w:w="1800"/>
            <w:tcMar>
              <w:top w:w="90" w:type="dxa"/>
              <w:start w:w="90" w:type="dxa"/>
              <w:bottom w:w="90" w:type="dxa"/>
              <w:end w:w="90" w:type="dxa"/>
            </w:tcMar>
            <w:vAlign w:val="center"/>
            <w:shd w:fill="EAF2F8"/>
          </w:tcPr>
          <w:p>
            <w:pPr>
              <w:spacing w:after="0"/>
            </w:pPr>
            <w:r/>
            <w:r>
              <w:rPr>
                <w:rFonts w:ascii="Aptos" w:hAnsi="Aptos"/>
                <w:b w:val="0"/>
                <w:sz w:val="16"/>
              </w:rPr>
              <w:t>Improve</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A correctable weakness has an action, owner, date, resources, and verification measure.</w:t>
            </w:r>
          </w:p>
        </w:tc>
      </w:tr>
      <w:tr>
        <w:trPr>
          <w:cantSplit w:val="true"/>
        </w:trPr>
        <w:tc>
          <w:tcPr>
            <w:tcW w:type="dxa" w:w="1800"/>
            <w:tcMar>
              <w:top w:w="90" w:type="dxa"/>
              <w:start w:w="90" w:type="dxa"/>
              <w:bottom w:w="90" w:type="dxa"/>
              <w:end w:w="90" w:type="dxa"/>
            </w:tcMar>
            <w:vAlign w:val="center"/>
            <w:shd w:fill="FFFFFF"/>
          </w:tcPr>
          <w:p>
            <w:pPr>
              <w:spacing w:after="0"/>
            </w:pPr>
            <w:r/>
            <w:r>
              <w:rPr>
                <w:rFonts w:ascii="Aptos" w:hAnsi="Aptos"/>
                <w:b w:val="0"/>
                <w:sz w:val="16"/>
              </w:rPr>
              <w:t>Expand</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Quality is stable, unmet need is meaningful, capacity can grow, and expansion will not weaken safety, access, or supervision.</w:t>
            </w:r>
          </w:p>
        </w:tc>
      </w:tr>
      <w:tr>
        <w:trPr>
          <w:cantSplit w:val="true"/>
        </w:trPr>
        <w:tc>
          <w:tcPr>
            <w:tcW w:type="dxa" w:w="1800"/>
            <w:tcMar>
              <w:top w:w="90" w:type="dxa"/>
              <w:start w:w="90" w:type="dxa"/>
              <w:bottom w:w="90" w:type="dxa"/>
              <w:end w:w="90" w:type="dxa"/>
            </w:tcMar>
            <w:vAlign w:val="center"/>
            <w:shd w:fill="EAF2F8"/>
          </w:tcPr>
          <w:p>
            <w:pPr>
              <w:spacing w:after="0"/>
            </w:pPr>
            <w:r/>
            <w:r>
              <w:rPr>
                <w:rFonts w:ascii="Aptos" w:hAnsi="Aptos"/>
                <w:b w:val="0"/>
                <w:sz w:val="16"/>
              </w:rPr>
              <w:t>Pause</w:t>
            </w:r>
          </w:p>
        </w:tc>
        <w:tc>
          <w:tcPr>
            <w:tcW w:type="dxa" w:w="8280"/>
            <w:tcMar>
              <w:top w:w="90" w:type="dxa"/>
              <w:start w:w="90" w:type="dxa"/>
              <w:bottom w:w="90" w:type="dxa"/>
              <w:end w:w="90" w:type="dxa"/>
            </w:tcMar>
            <w:vAlign w:val="center"/>
            <w:shd w:fill="EAF2F8"/>
          </w:tcPr>
          <w:p>
            <w:pPr>
              <w:spacing w:after="0"/>
            </w:pPr>
            <w:r/>
            <w:r>
              <w:rPr>
                <w:rFonts w:ascii="Aptos" w:hAnsi="Aptos"/>
                <w:b w:val="0"/>
                <w:sz w:val="16"/>
              </w:rPr>
              <w:t>Capacity, legal, safety, partner, transportation, support, or quality conditions prevent responsible continuation now.</w:t>
            </w:r>
          </w:p>
        </w:tc>
      </w:tr>
      <w:tr>
        <w:trPr>
          <w:cantSplit w:val="true"/>
        </w:trPr>
        <w:tc>
          <w:tcPr>
            <w:tcW w:type="dxa" w:w="1800"/>
            <w:tcMar>
              <w:top w:w="90" w:type="dxa"/>
              <w:start w:w="90" w:type="dxa"/>
              <w:bottom w:w="90" w:type="dxa"/>
              <w:end w:w="90" w:type="dxa"/>
            </w:tcMar>
            <w:vAlign w:val="center"/>
            <w:shd w:fill="FFFFFF"/>
          </w:tcPr>
          <w:p>
            <w:pPr>
              <w:spacing w:after="0"/>
            </w:pPr>
            <w:r/>
            <w:r>
              <w:rPr>
                <w:rFonts w:ascii="Aptos" w:hAnsi="Aptos"/>
                <w:b w:val="0"/>
                <w:sz w:val="16"/>
              </w:rPr>
              <w:t>Stop</w:t>
            </w:r>
          </w:p>
        </w:tc>
        <w:tc>
          <w:tcPr>
            <w:tcW w:type="dxa" w:w="8280"/>
            <w:tcMar>
              <w:top w:w="90" w:type="dxa"/>
              <w:start w:w="90" w:type="dxa"/>
              <w:bottom w:w="90" w:type="dxa"/>
              <w:end w:w="90" w:type="dxa"/>
            </w:tcMar>
            <w:vAlign w:val="center"/>
            <w:shd w:fill="FFFFFF"/>
          </w:tcPr>
          <w:p>
            <w:pPr>
              <w:spacing w:after="0"/>
            </w:pPr>
            <w:r/>
            <w:r>
              <w:rPr>
                <w:rFonts w:ascii="Aptos" w:hAnsi="Aptos"/>
                <w:b w:val="0"/>
                <w:sz w:val="16"/>
              </w:rPr>
              <w:t>The practice is unsafe, unlawful, persistently low quality, inequitable without reasonable correction, or not educationally worthwhile.</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Inspect What You Expect</w:t>
            </w:r>
          </w:p>
          <w:p>
            <w:pPr>
              <w:spacing w:after="0"/>
            </w:pPr>
            <w:r>
              <w:rPr>
                <w:sz w:val="18"/>
              </w:rPr>
              <w:t>A report is not improvement. Responsibility must be assigned, action must occur, and later evidence must show whether the action helped.</w:t>
            </w:r>
          </w:p>
        </w:tc>
      </w:tr>
    </w:tbl>
    <w:p>
      <w:pPr>
        <w:spacing w:after="0"/>
      </w:pPr>
    </w:p>
    <w:p>
      <w:pPr>
        <w:pStyle w:val="Heading1"/>
      </w:pPr>
      <w:r>
        <w:t>Chapter 13: Launch-Readiness Standard</w:t>
      </w:r>
    </w:p>
    <w:p>
      <w:r>
        <w:t>Final launch authorization follows documented readiness. A schedule date alone does not authorize student placement.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Readiness domain</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Required evidence before launch</w:t>
            </w:r>
          </w:p>
        </w:tc>
      </w:tr>
      <w:tr>
        <w:trPr>
          <w:cantSplit w:val="true"/>
        </w:trPr>
        <w:tc>
          <w:tcPr>
            <w:tcW w:type="dxa" w:w="2520"/>
            <w:tcMar>
              <w:top w:w="90" w:type="dxa"/>
              <w:start w:w="90" w:type="dxa"/>
              <w:bottom w:w="90" w:type="dxa"/>
              <w:end w:w="90" w:type="dxa"/>
            </w:tcMar>
            <w:vAlign w:val="center"/>
            <w:shd w:fill="EAF2F8"/>
          </w:tcPr>
          <w:p>
            <w:pPr>
              <w:spacing w:after="0"/>
            </w:pPr>
            <w:r/>
            <w:r>
              <w:rPr>
                <w:rFonts w:ascii="Aptos" w:hAnsi="Aptos"/>
                <w:b w:val="0"/>
                <w:sz w:val="16"/>
              </w:rPr>
              <w:t>Authority and governance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Accountable administrator, credentialed WBL Coordinator, defined decision authority, and approved escalation path.</w:t>
            </w:r>
          </w:p>
        </w:tc>
      </w:tr>
      <w:tr>
        <w:trPr>
          <w:cantSplit w:val="true"/>
        </w:trPr>
        <w:tc>
          <w:tcPr>
            <w:tcW w:type="dxa" w:w="2520"/>
            <w:tcMar>
              <w:top w:w="90" w:type="dxa"/>
              <w:start w:w="90" w:type="dxa"/>
              <w:bottom w:w="90" w:type="dxa"/>
              <w:end w:w="90" w:type="dxa"/>
            </w:tcMar>
            <w:vAlign w:val="center"/>
            <w:shd w:fill="FFFFFF"/>
          </w:tcPr>
          <w:p>
            <w:pPr>
              <w:spacing w:after="0"/>
            </w:pPr>
            <w:r/>
            <w:r>
              <w:rPr>
                <w:rFonts w:ascii="Aptos" w:hAnsi="Aptos"/>
                <w:b w:val="0"/>
                <w:sz w:val="16"/>
              </w:rPr>
              <w:t>Course and state review</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Approved local course, credit and schedule, standards-based syllabus, related instruction, grading plan, and all required state review or registration.</w:t>
            </w:r>
          </w:p>
        </w:tc>
      </w:tr>
      <w:tr>
        <w:trPr>
          <w:cantSplit w:val="true"/>
        </w:trPr>
        <w:tc>
          <w:tcPr>
            <w:tcW w:type="dxa" w:w="2520"/>
            <w:tcMar>
              <w:top w:w="90" w:type="dxa"/>
              <w:start w:w="90" w:type="dxa"/>
              <w:bottom w:w="90" w:type="dxa"/>
              <w:end w:w="90" w:type="dxa"/>
            </w:tcMar>
            <w:vAlign w:val="center"/>
            <w:shd w:fill="EAF2F8"/>
          </w:tcPr>
          <w:p>
            <w:pPr>
              <w:spacing w:after="0"/>
            </w:pPr>
            <w:r/>
            <w:r>
              <w:rPr>
                <w:rFonts w:ascii="Aptos" w:hAnsi="Aptos"/>
                <w:b w:val="0"/>
                <w:sz w:val="16"/>
              </w:rPr>
              <w:t>Staffing and capacity</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Protected coordinator time, travel, locally supportable caseload, clerical and student-support capacity, and coverage plan.</w:t>
            </w:r>
          </w:p>
        </w:tc>
      </w:tr>
      <w:tr>
        <w:trPr>
          <w:cantSplit w:val="true"/>
        </w:trPr>
        <w:tc>
          <w:tcPr>
            <w:tcW w:type="dxa" w:w="2520"/>
            <w:tcMar>
              <w:top w:w="90" w:type="dxa"/>
              <w:start w:w="90" w:type="dxa"/>
              <w:bottom w:w="90" w:type="dxa"/>
              <w:end w:w="90" w:type="dxa"/>
            </w:tcMar>
            <w:vAlign w:val="center"/>
            <w:shd w:fill="FFFFFF"/>
          </w:tcPr>
          <w:p>
            <w:pPr>
              <w:spacing w:after="0"/>
            </w:pPr>
            <w:r/>
            <w:r>
              <w:rPr>
                <w:rFonts w:ascii="Aptos" w:hAnsi="Aptos"/>
                <w:b w:val="0"/>
                <w:sz w:val="16"/>
              </w:rPr>
              <w:t>Students</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Gateway 5, eligibility, orientation, family information, working papers or legal requirements, support plan, and transportation plan.</w:t>
            </w:r>
          </w:p>
        </w:tc>
      </w:tr>
      <w:tr>
        <w:trPr>
          <w:cantSplit w:val="true"/>
        </w:trPr>
        <w:tc>
          <w:tcPr>
            <w:tcW w:type="dxa" w:w="2520"/>
            <w:tcMar>
              <w:top w:w="90" w:type="dxa"/>
              <w:start w:w="90" w:type="dxa"/>
              <w:bottom w:w="90" w:type="dxa"/>
              <w:end w:w="90" w:type="dxa"/>
            </w:tcMar>
            <w:vAlign w:val="center"/>
            <w:shd w:fill="EAF2F8"/>
          </w:tcPr>
          <w:p>
            <w:pPr>
              <w:spacing w:after="0"/>
            </w:pPr>
            <w:r/>
            <w:r>
              <w:rPr>
                <w:rFonts w:ascii="Aptos" w:hAnsi="Aptos"/>
                <w:b w:val="0"/>
                <w:sz w:val="16"/>
              </w:rPr>
              <w:t>Training stations</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Approved site, mentor, duties, schedule, safety, supervision, agreement, training plan, and communication route.</w:t>
            </w:r>
          </w:p>
        </w:tc>
      </w:tr>
      <w:tr>
        <w:trPr>
          <w:cantSplit w:val="true"/>
        </w:trPr>
        <w:tc>
          <w:tcPr>
            <w:tcW w:type="dxa" w:w="2520"/>
            <w:tcMar>
              <w:top w:w="90" w:type="dxa"/>
              <w:start w:w="90" w:type="dxa"/>
              <w:bottom w:w="90" w:type="dxa"/>
              <w:end w:w="90" w:type="dxa"/>
            </w:tcMar>
            <w:vAlign w:val="center"/>
            <w:shd w:fill="FFFFFF"/>
          </w:tcPr>
          <w:p>
            <w:pPr>
              <w:spacing w:after="0"/>
            </w:pPr>
            <w:r/>
            <w:r>
              <w:rPr>
                <w:rFonts w:ascii="Aptos" w:hAnsi="Aptos"/>
                <w:b w:val="0"/>
                <w:sz w:val="16"/>
              </w:rPr>
              <w:t>Transportation and access</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Documented access for each student, accommodations, cost supports, equipment, meals, language access, and technology.</w:t>
            </w:r>
          </w:p>
        </w:tc>
      </w:tr>
      <w:tr>
        <w:trPr>
          <w:cantSplit w:val="true"/>
        </w:trPr>
        <w:tc>
          <w:tcPr>
            <w:tcW w:type="dxa" w:w="2520"/>
            <w:tcMar>
              <w:top w:w="90" w:type="dxa"/>
              <w:start w:w="90" w:type="dxa"/>
              <w:bottom w:w="90" w:type="dxa"/>
              <w:end w:w="90" w:type="dxa"/>
            </w:tcMar>
            <w:vAlign w:val="center"/>
            <w:shd w:fill="EAF2F8"/>
          </w:tcPr>
          <w:p>
            <w:pPr>
              <w:spacing w:after="0"/>
            </w:pPr>
            <w:r/>
            <w:r>
              <w:rPr>
                <w:rFonts w:ascii="Aptos" w:hAnsi="Aptos"/>
                <w:b w:val="0"/>
                <w:sz w:val="16"/>
              </w:rPr>
              <w:t>Safety, legal, labor, and insurance</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Completed review of duties, age restrictions, schedule, emergency procedures, insurance, reporting, and stop-work authority.</w:t>
            </w:r>
          </w:p>
        </w:tc>
      </w:tr>
      <w:tr>
        <w:trPr>
          <w:cantSplit w:val="true"/>
        </w:trPr>
        <w:tc>
          <w:tcPr>
            <w:tcW w:type="dxa" w:w="2520"/>
            <w:tcMar>
              <w:top w:w="90" w:type="dxa"/>
              <w:start w:w="90" w:type="dxa"/>
              <w:bottom w:w="90" w:type="dxa"/>
              <w:end w:w="90" w:type="dxa"/>
            </w:tcMar>
            <w:vAlign w:val="center"/>
            <w:shd w:fill="FFFFFF"/>
          </w:tcPr>
          <w:p>
            <w:pPr>
              <w:spacing w:after="0"/>
            </w:pPr>
            <w:r/>
            <w:r>
              <w:rPr>
                <w:rFonts w:ascii="Aptos" w:hAnsi="Aptos"/>
                <w:b w:val="0"/>
                <w:sz w:val="16"/>
              </w:rPr>
              <w:t>Records and privacy</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Approved forms, Passport, hours, portfolio, evaluation, incident, retention, access, and confidentiality procedures.</w:t>
            </w:r>
          </w:p>
        </w:tc>
      </w:tr>
      <w:tr>
        <w:trPr>
          <w:cantSplit w:val="true"/>
        </w:trPr>
        <w:tc>
          <w:tcPr>
            <w:tcW w:type="dxa" w:w="2520"/>
            <w:tcMar>
              <w:top w:w="90" w:type="dxa"/>
              <w:start w:w="90" w:type="dxa"/>
              <w:bottom w:w="90" w:type="dxa"/>
              <w:end w:w="90" w:type="dxa"/>
            </w:tcMar>
            <w:vAlign w:val="center"/>
            <w:shd w:fill="EAF2F8"/>
          </w:tcPr>
          <w:p>
            <w:pPr>
              <w:spacing w:after="0"/>
            </w:pPr>
            <w:r/>
            <w:r>
              <w:rPr>
                <w:rFonts w:ascii="Aptos" w:hAnsi="Aptos"/>
                <w:b w:val="0"/>
                <w:sz w:val="16"/>
              </w:rPr>
              <w:t>Fiscal readiness</w:t>
            </w:r>
          </w:p>
        </w:tc>
        <w:tc>
          <w:tcPr>
            <w:tcW w:type="dxa" w:w="7560"/>
            <w:tcMar>
              <w:top w:w="90" w:type="dxa"/>
              <w:start w:w="90" w:type="dxa"/>
              <w:bottom w:w="90" w:type="dxa"/>
              <w:end w:w="90" w:type="dxa"/>
            </w:tcMar>
            <w:vAlign w:val="center"/>
            <w:shd w:fill="EAF2F8"/>
          </w:tcPr>
          <w:p>
            <w:pPr>
              <w:spacing w:after="0"/>
            </w:pPr>
            <w:r/>
            <w:r>
              <w:rPr>
                <w:rFonts w:ascii="Aptos" w:hAnsi="Aptos"/>
                <w:b w:val="0"/>
                <w:sz w:val="16"/>
              </w:rPr>
              <w:t>Completed fiscal note identifying existing, one-time, and recurring commitments.</w:t>
            </w:r>
          </w:p>
        </w:tc>
      </w:tr>
      <w:tr>
        <w:trPr>
          <w:cantSplit w:val="true"/>
        </w:trPr>
        <w:tc>
          <w:tcPr>
            <w:tcW w:type="dxa" w:w="2520"/>
            <w:tcMar>
              <w:top w:w="90" w:type="dxa"/>
              <w:start w:w="90" w:type="dxa"/>
              <w:bottom w:w="90" w:type="dxa"/>
              <w:end w:w="90" w:type="dxa"/>
            </w:tcMar>
            <w:vAlign w:val="center"/>
            <w:shd w:fill="FFFFFF"/>
          </w:tcPr>
          <w:p>
            <w:pPr>
              <w:spacing w:after="0"/>
            </w:pPr>
            <w:r/>
            <w:r>
              <w:rPr>
                <w:rFonts w:ascii="Aptos" w:hAnsi="Aptos"/>
                <w:b w:val="0"/>
                <w:sz w:val="16"/>
              </w:rPr>
              <w:t>Public communication</w:t>
            </w:r>
          </w:p>
        </w:tc>
        <w:tc>
          <w:tcPr>
            <w:tcW w:type="dxa" w:w="7560"/>
            <w:tcMar>
              <w:top w:w="90" w:type="dxa"/>
              <w:start w:w="90" w:type="dxa"/>
              <w:bottom w:w="90" w:type="dxa"/>
              <w:end w:w="90" w:type="dxa"/>
            </w:tcMar>
            <w:vAlign w:val="center"/>
            <w:shd w:fill="FFFFFF"/>
          </w:tcPr>
          <w:p>
            <w:pPr>
              <w:spacing w:after="0"/>
            </w:pPr>
            <w:r/>
            <w:r>
              <w:rPr>
                <w:rFonts w:ascii="Aptos" w:hAnsi="Aptos"/>
                <w:b w:val="0"/>
                <w:sz w:val="16"/>
              </w:rPr>
              <w:t>Student, family, employer, staff, and Board materials are accurate, accessible, and approved.</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Preparation Before Independence</w:t>
            </w:r>
          </w:p>
          <w:p>
            <w:pPr>
              <w:spacing w:after="0"/>
            </w:pPr>
            <w:r>
              <w:rPr>
                <w:sz w:val="18"/>
              </w:rPr>
              <w:t>No student begins external WBL until the student, course, site, support, transportation, documentation, and district systems are ready.</w:t>
            </w:r>
          </w:p>
        </w:tc>
      </w:tr>
    </w:tbl>
    <w:p>
      <w:pPr>
        <w:spacing w:after="0"/>
      </w:pPr>
    </w:p>
    <w:p>
      <w:pPr>
        <w:pStyle w:val="Heading1"/>
      </w:pPr>
      <w:r>
        <w:t>Chapter 14: Administrative Decision Register</w:t>
      </w:r>
    </w:p>
    <w:p>
      <w:r>
        <w:t>The pathway architecture is complete. The following implementation matters require district confirmation rather than editorial invention.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672"/>
            <w:tcMar>
              <w:top w:w="90" w:type="dxa"/>
              <w:start w:w="90" w:type="dxa"/>
              <w:bottom w:w="90" w:type="dxa"/>
              <w:end w:w="90" w:type="dxa"/>
            </w:tcMar>
            <w:vAlign w:val="center"/>
            <w:shd w:fill="1F4E78"/>
          </w:tcPr>
          <w:p>
            <w:pPr>
              <w:spacing w:after="0"/>
            </w:pPr>
            <w:r/>
            <w:r>
              <w:rPr>
                <w:rFonts w:ascii="Aptos" w:hAnsi="Aptos"/>
                <w:b/>
                <w:color w:val="FFFFFF"/>
                <w:sz w:val="17"/>
              </w:rPr>
              <w:t>Decision requiring confirmation</w:t>
            </w:r>
          </w:p>
        </w:tc>
        <w:tc>
          <w:tcPr>
            <w:tcW w:type="dxa" w:w="6408"/>
            <w:tcMar>
              <w:top w:w="90" w:type="dxa"/>
              <w:start w:w="90" w:type="dxa"/>
              <w:bottom w:w="90" w:type="dxa"/>
              <w:end w:w="90" w:type="dxa"/>
            </w:tcMar>
            <w:vAlign w:val="center"/>
            <w:shd w:fill="1F4E78"/>
          </w:tcPr>
          <w:p>
            <w:pPr>
              <w:spacing w:after="0"/>
            </w:pPr>
            <w:r/>
            <w:r>
              <w:rPr>
                <w:rFonts w:ascii="Aptos" w:hAnsi="Aptos"/>
                <w:b/>
                <w:color w:val="FFFFFF"/>
                <w:sz w:val="17"/>
              </w:rPr>
              <w:t>Why it matters</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Credentialed WBL Coordinator assignment and protected time</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Determines safe caseload, employer development, site review, visits, records, and final evaluation.</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Senior course code, schedule, attendance, and related instruction</w:t>
            </w:r>
          </w:p>
        </w:tc>
        <w:tc>
          <w:tcPr>
            <w:tcW w:type="dxa" w:w="6408"/>
            <w:tcMar>
              <w:top w:w="90" w:type="dxa"/>
              <w:start w:w="90" w:type="dxa"/>
              <w:bottom w:w="90" w:type="dxa"/>
              <w:end w:w="90" w:type="dxa"/>
            </w:tcMar>
            <w:vAlign w:val="center"/>
            <w:shd w:fill="FFFFFF"/>
          </w:tcPr>
          <w:p>
            <w:pPr>
              <w:spacing w:after="0"/>
            </w:pPr>
            <w:r/>
            <w:r>
              <w:rPr>
                <w:rFonts w:ascii="Aptos" w:hAnsi="Aptos"/>
                <w:b w:val="0"/>
                <w:sz w:val="16"/>
              </w:rPr>
              <w:t>Determines how the 1.0-credit course appears and operates in the student schedule.</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Current registration and approval path</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Confirms the required district and state process for the proposed CO-OP model.</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Transportation model</w:t>
            </w:r>
          </w:p>
        </w:tc>
        <w:tc>
          <w:tcPr>
            <w:tcW w:type="dxa" w:w="6408"/>
            <w:tcMar>
              <w:top w:w="90" w:type="dxa"/>
              <w:start w:w="90" w:type="dxa"/>
              <w:bottom w:w="90" w:type="dxa"/>
              <w:end w:w="90" w:type="dxa"/>
            </w:tcMar>
            <w:vAlign w:val="center"/>
            <w:shd w:fill="FFFFFF"/>
          </w:tcPr>
          <w:p>
            <w:pPr>
              <w:spacing w:after="0"/>
            </w:pPr>
            <w:r/>
            <w:r>
              <w:rPr>
                <w:rFonts w:ascii="Aptos" w:hAnsi="Aptos"/>
                <w:b w:val="0"/>
                <w:sz w:val="16"/>
              </w:rPr>
              <w:t>Determines equitable participation and realistic student-site matching.</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Insurance, legal, labor, and risk review</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Required before student placement and productive work.</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Record platform and retention rules</w:t>
            </w:r>
          </w:p>
        </w:tc>
        <w:tc>
          <w:tcPr>
            <w:tcW w:type="dxa" w:w="6408"/>
            <w:tcMar>
              <w:top w:w="90" w:type="dxa"/>
              <w:start w:w="90" w:type="dxa"/>
              <w:bottom w:w="90" w:type="dxa"/>
              <w:end w:w="90" w:type="dxa"/>
            </w:tcMar>
            <w:vAlign w:val="center"/>
            <w:shd w:fill="FFFFFF"/>
          </w:tcPr>
          <w:p>
            <w:pPr>
              <w:spacing w:after="0"/>
            </w:pPr>
            <w:r/>
            <w:r>
              <w:rPr>
                <w:rFonts w:ascii="Aptos" w:hAnsi="Aptos"/>
                <w:b w:val="0"/>
                <w:sz w:val="16"/>
              </w:rPr>
              <w:t>Protects continuity, privacy, auditability, and institutional ownership.</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The Cottage fiscal and purchasing procedures</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Clarifies revenue, expenses, approvals, inventory, and permissible student-enterprise use.</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Olympia client-centered learning model</w:t>
            </w:r>
          </w:p>
        </w:tc>
        <w:tc>
          <w:tcPr>
            <w:tcW w:type="dxa" w:w="6408"/>
            <w:tcMar>
              <w:top w:w="90" w:type="dxa"/>
              <w:start w:w="90" w:type="dxa"/>
              <w:bottom w:w="90" w:type="dxa"/>
              <w:end w:w="90" w:type="dxa"/>
            </w:tcMar>
            <w:vAlign w:val="center"/>
            <w:shd w:fill="FFFFFF"/>
          </w:tcPr>
          <w:p>
            <w:pPr>
              <w:spacing w:after="0"/>
            </w:pPr>
            <w:r/>
            <w:r>
              <w:rPr>
                <w:rFonts w:ascii="Aptos" w:hAnsi="Aptos"/>
                <w:b w:val="0"/>
                <w:sz w:val="16"/>
              </w:rPr>
              <w:t>Confirms how Gateway 4 evidence and catering or SBE opportunities are provided across buildings.</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Employer-development capacity and first-cohort limit</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Determines the number and geography of supportable training stations.</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6"/>
              </w:rPr>
              <w:t>SkillsUSA support and funding</w:t>
            </w:r>
          </w:p>
        </w:tc>
        <w:tc>
          <w:tcPr>
            <w:tcW w:type="dxa" w:w="6408"/>
            <w:tcMar>
              <w:top w:w="90" w:type="dxa"/>
              <w:start w:w="90" w:type="dxa"/>
              <w:bottom w:w="90" w:type="dxa"/>
              <w:end w:w="90" w:type="dxa"/>
            </w:tcMar>
            <w:vAlign w:val="center"/>
            <w:shd w:fill="FFFFFF"/>
          </w:tcPr>
          <w:p>
            <w:pPr>
              <w:spacing w:after="0"/>
            </w:pPr>
            <w:r/>
            <w:r>
              <w:rPr>
                <w:rFonts w:ascii="Aptos" w:hAnsi="Aptos"/>
                <w:b w:val="0"/>
                <w:sz w:val="16"/>
              </w:rPr>
              <w:t>Determines the realistic scope of leadership, competition, travel, fees, and student-enterprise support.</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6"/>
              </w:rPr>
              <w:t>Pathway-wide capstone ownership and schedule</w:t>
            </w:r>
          </w:p>
        </w:tc>
        <w:tc>
          <w:tcPr>
            <w:tcW w:type="dxa" w:w="6408"/>
            <w:tcMar>
              <w:top w:w="90" w:type="dxa"/>
              <w:start w:w="90" w:type="dxa"/>
              <w:bottom w:w="90" w:type="dxa"/>
              <w:end w:w="90" w:type="dxa"/>
            </w:tcMar>
            <w:vAlign w:val="center"/>
            <w:shd w:fill="EAF2F8"/>
          </w:tcPr>
          <w:p>
            <w:pPr>
              <w:spacing w:after="0"/>
            </w:pPr>
            <w:r/>
            <w:r>
              <w:rPr>
                <w:rFonts w:ascii="Aptos" w:hAnsi="Aptos"/>
                <w:b w:val="0"/>
                <w:sz w:val="16"/>
              </w:rPr>
              <w:t>Determines whether and when a public culminating experience becomes part of implementation.</w:t>
            </w:r>
          </w:p>
        </w:tc>
      </w:tr>
    </w:tbl>
    <w:p>
      <w:pPr>
        <w:spacing w:after="0"/>
      </w:pPr>
    </w:p>
    <w:p>
      <w:pPr>
        <w:pStyle w:val="Heading1"/>
      </w:pPr>
      <w:r>
        <w:t>Chapter 15: SkillsUSA and Public Culminating Experiences</w:t>
      </w:r>
    </w:p>
    <w:p>
      <w:r>
        <w:t>SkillsUSA and a pathway-wide public capstone may strengthen leadership, professional identity, technical demonstration, community engagement, and program visibility. Neither creates a new Gateway or replaces required course evidence.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96"/>
            <w:tcMar>
              <w:top w:w="90" w:type="dxa"/>
              <w:start w:w="90" w:type="dxa"/>
              <w:bottom w:w="90" w:type="dxa"/>
              <w:end w:w="90" w:type="dxa"/>
            </w:tcMar>
            <w:vAlign w:val="center"/>
            <w:shd w:fill="1F4E78"/>
          </w:tcPr>
          <w:p>
            <w:pPr>
              <w:spacing w:after="0"/>
            </w:pPr>
            <w:r/>
            <w:r>
              <w:rPr>
                <w:rFonts w:ascii="Aptos" w:hAnsi="Aptos"/>
                <w:b/>
                <w:color w:val="FFFFFF"/>
                <w:sz w:val="17"/>
              </w:rPr>
              <w:t>Opportunity</w:t>
            </w:r>
          </w:p>
        </w:tc>
        <w:tc>
          <w:tcPr>
            <w:tcW w:type="dxa" w:w="6984"/>
            <w:tcMar>
              <w:top w:w="90" w:type="dxa"/>
              <w:start w:w="90" w:type="dxa"/>
              <w:bottom w:w="90" w:type="dxa"/>
              <w:end w:w="90" w:type="dxa"/>
            </w:tcMar>
            <w:vAlign w:val="center"/>
            <w:shd w:fill="1F4E78"/>
          </w:tcPr>
          <w:p>
            <w:pPr>
              <w:spacing w:after="0"/>
            </w:pPr>
            <w:r/>
            <w:r>
              <w:rPr>
                <w:rFonts w:ascii="Aptos" w:hAnsi="Aptos"/>
                <w:b/>
                <w:color w:val="FFFFFF"/>
                <w:sz w:val="17"/>
              </w:rPr>
              <w:t>Board-level treatment</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SkillsUSA</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Authorize exploration of chapter participation, competition opportunities, advisor capacity, student access, travel, fees, fundraising, and appropriate use of School-Based Enterprise resources through normal district review.</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Pathway-wide public capstone</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Support formal planning for a culminating public demonstration involving the pathway. Culinary 1 and 2 students may support production, Advanced Culinary students may carry greater client and execution responsibility, and Kitchen Management students may coordinate managerial functions.</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Implementation status</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Treat both as phased opportunities. Scope, funding, calendar, ownership, accessibility, and approval must be confirmed before they are represented as required pathway components.</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Build Leaders, Not Just Cooks</w:t>
            </w:r>
          </w:p>
          <w:p>
            <w:pPr>
              <w:spacing w:after="0"/>
            </w:pPr>
            <w:r>
              <w:rPr>
                <w:sz w:val="18"/>
              </w:rPr>
              <w:t>Competitions and public culminating work are valuable when they develop leadership, professional judgment, communication, teamwork, and technical excellence within the existing pathway.</w:t>
            </w:r>
          </w:p>
        </w:tc>
      </w:tr>
    </w:tbl>
    <w:p>
      <w:pPr>
        <w:spacing w:after="0"/>
      </w:pPr>
    </w:p>
    <w:p>
      <w:pPr>
        <w:pStyle w:val="Heading1"/>
      </w:pPr>
      <w:r>
        <w:t>Chapter 16: Recommended Board Action</w:t>
      </w:r>
    </w:p>
    <w:p>
      <w:r>
        <w:t>A staged decision provides clear educational direction without representing unresolved implementation work as complete.</w:t>
      </w:r>
    </w:p>
    <w:p>
      <w:pPr>
        <w:spacing w:after="40"/>
        <w:ind w:left="259" w:hanging="259"/>
      </w:pPr>
      <w:r>
        <w:t>1. Endorse the Culinary Pathway as a three-year competency continuum using the Culinary Passport and six Canon Gateways.</w:t>
      </w:r>
    </w:p>
    <w:p>
      <w:pPr>
        <w:spacing w:after="40"/>
        <w:ind w:left="259" w:hanging="259"/>
      </w:pPr>
      <w:r>
        <w:t>2. Authorize 2026-27 curriculum, registration, staffing, transportation, fiscal, legal, insurance, records, access, partner-development, and implementation planning for the senior Culinary External Work-Based Learning course.</w:t>
      </w:r>
    </w:p>
    <w:p>
      <w:pPr>
        <w:spacing w:after="40"/>
        <w:ind w:left="259" w:hanging="259"/>
      </w:pPr>
      <w:r>
        <w:t>3. Require a written launch-readiness report documenting completion of the conditions in Chapter 13.</w:t>
      </w:r>
    </w:p>
    <w:p>
      <w:pPr>
        <w:spacing w:after="40"/>
        <w:ind w:left="259" w:hanging="259"/>
      </w:pPr>
      <w:r>
        <w:t>4. Reserve final authorization to launch the senior course until the readiness report, course approvals, required registration, fiscal note, staffing, transportation, safety, access, and partner conditions are complete.</w:t>
      </w:r>
    </w:p>
    <w:p>
      <w:pPr>
        <w:spacing w:after="40"/>
        <w:ind w:left="259" w:hanging="259"/>
      </w:pPr>
      <w:r>
        <w:t>5. Require an annual public report and evidence-based recommendation to continue, modify, pause, stop, or expand.</w:t>
      </w:r>
    </w:p>
    <w:p>
      <w:pPr>
        <w:pStyle w:val="Heading2"/>
      </w:pPr>
      <w:r>
        <w:t>Proposed Resolution Language</w:t>
      </w:r>
    </w:p>
    <w:p>
      <w:r>
        <w:t>RESOLVED, that the Greece Central School District Board of Education endorses the proposed Culinary Pathway direction as a three-year competency continuum connecting Culinary 1, Culinary 2, Advanced Culinary, Kitchen Management, The Cottage, the Culinary Passport, and a proposed Grade 12 Culinary External Work-Based Learning course; and</w:t>
      </w:r>
    </w:p>
    <w:p>
      <w:r>
        <w:t>BE IT FURTHER RESOLVED, that the Superintendent or designee is authorized to complete the curriculum, staffing, registration, transportation, fiscal, legal, insurance, accessibility, records, partner-development, and implementation planning required for district consideration of the senior course; and</w:t>
      </w:r>
    </w:p>
    <w:p>
      <w:r>
        <w:t>BE IT FURTHER RESOLVED, that no senior External Work-Based Learning cohort shall launch until the Superintendent or designee presents written confirmation that required local and state approvals, qualified coordination, course and fiscal arrangements, training-station standards, transportation, student supports, safety, insurance, records, and communication systems are complete; and</w:t>
      </w:r>
    </w:p>
    <w:p>
      <w:r>
        <w:t>BE IT FURTHER RESOLVED, that final launch shall require the additional authorization specified by the District after review of the launch-readiness report; and</w:t>
      </w:r>
    </w:p>
    <w:p>
      <w:r>
        <w:t>BE IT FURTHER RESOLVED, that the District shall provide an annual report addressing implementation, student outcomes, training-station quality, access, safety, capacity, fiscal impact, and recommended next action before expansion.</w:t>
      </w: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F4F8FA"/>
            <w:tcMar>
              <w:top w:w="115" w:type="dxa"/>
              <w:start w:w="130" w:type="dxa"/>
              <w:bottom w:w="115" w:type="dxa"/>
              <w:end w:w="130" w:type="dxa"/>
            </w:tcMar>
          </w:tcPr>
          <w:p>
            <w:pPr>
              <w:spacing w:after="30"/>
            </w:pPr>
            <w:r/>
            <w:r>
              <w:rPr>
                <w:b/>
                <w:color w:val="1C8C8C"/>
                <w:sz w:val="20"/>
              </w:rPr>
              <w:t>Resolution Note</w:t>
            </w:r>
          </w:p>
          <w:p>
            <w:pPr>
              <w:spacing w:after="0"/>
            </w:pPr>
            <w:r>
              <w:rPr>
                <w:sz w:val="18"/>
              </w:rPr>
              <w:t>Final wording must be reviewed and issued through the District's authorized legal, administrative, fiscal, curriculum, and Board processes.</w:t>
            </w:r>
          </w:p>
        </w:tc>
      </w:tr>
    </w:tbl>
    <w:p>
      <w:pPr>
        <w:spacing w:after="0"/>
      </w:pPr>
    </w:p>
    <w:p>
      <w:r>
        <w:br w:type="page"/>
      </w:r>
    </w:p>
    <w:p>
      <w:pPr>
        <w:pStyle w:val="Heading1"/>
      </w:pPr>
      <w:r>
        <w:t>Chapter 17: Immediate Next Steps After Endorsement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328"/>
            <w:tcMar>
              <w:top w:w="90" w:type="dxa"/>
              <w:start w:w="90" w:type="dxa"/>
              <w:bottom w:w="90" w:type="dxa"/>
              <w:end w:w="90" w:type="dxa"/>
            </w:tcMar>
            <w:vAlign w:val="center"/>
            <w:shd w:fill="1F4E78"/>
          </w:tcPr>
          <w:p>
            <w:pPr>
              <w:spacing w:after="0"/>
            </w:pPr>
            <w:r/>
            <w:r>
              <w:rPr>
                <w:rFonts w:ascii="Aptos" w:hAnsi="Aptos"/>
                <w:b/>
                <w:color w:val="FFFFFF"/>
                <w:sz w:val="17"/>
              </w:rPr>
              <w:t>Immediate action</w:t>
            </w:r>
          </w:p>
        </w:tc>
        <w:tc>
          <w:tcPr>
            <w:tcW w:type="dxa" w:w="4752"/>
            <w:tcMar>
              <w:top w:w="90" w:type="dxa"/>
              <w:start w:w="90" w:type="dxa"/>
              <w:bottom w:w="90" w:type="dxa"/>
              <w:end w:w="90" w:type="dxa"/>
            </w:tcMar>
            <w:vAlign w:val="center"/>
            <w:shd w:fill="1F4E78"/>
          </w:tcPr>
          <w:p>
            <w:pPr>
              <w:spacing w:after="0"/>
            </w:pPr>
            <w:r/>
            <w:r>
              <w:rPr>
                <w:rFonts w:ascii="Aptos" w:hAnsi="Aptos"/>
                <w:b/>
                <w:color w:val="FFFFFF"/>
                <w:sz w:val="17"/>
              </w:rPr>
              <w:t>Responsible district function</w:t>
            </w:r>
          </w:p>
        </w:tc>
      </w:tr>
      <w:tr>
        <w:trPr>
          <w:cantSplit w:val="true"/>
        </w:trPr>
        <w:tc>
          <w:tcPr>
            <w:tcW w:type="dxa" w:w="5328"/>
            <w:tcMar>
              <w:top w:w="90" w:type="dxa"/>
              <w:start w:w="90" w:type="dxa"/>
              <w:bottom w:w="90" w:type="dxa"/>
              <w:end w:w="90" w:type="dxa"/>
            </w:tcMar>
            <w:vAlign w:val="center"/>
            <w:shd w:fill="EAF2F8"/>
          </w:tcPr>
          <w:p>
            <w:pPr>
              <w:spacing w:after="0"/>
            </w:pPr>
            <w:r/>
            <w:r>
              <w:rPr>
                <w:rFonts w:ascii="Aptos" w:hAnsi="Aptos"/>
                <w:b w:val="0"/>
                <w:sz w:val="16"/>
              </w:rPr>
              <w:t>Name accountable project leadership and the credentialed WBL Coordinator.</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Superintendent or designee / School to Career Pathways leadership.</w:t>
            </w:r>
          </w:p>
        </w:tc>
      </w:tr>
      <w:tr>
        <w:trPr>
          <w:cantSplit w:val="true"/>
        </w:trPr>
        <w:tc>
          <w:tcPr>
            <w:tcW w:type="dxa" w:w="5328"/>
            <w:tcMar>
              <w:top w:w="90" w:type="dxa"/>
              <w:start w:w="90" w:type="dxa"/>
              <w:bottom w:w="90" w:type="dxa"/>
              <w:end w:w="90" w:type="dxa"/>
            </w:tcMar>
            <w:vAlign w:val="center"/>
            <w:shd w:fill="FFFFFF"/>
          </w:tcPr>
          <w:p>
            <w:pPr>
              <w:spacing w:after="0"/>
            </w:pPr>
            <w:r/>
            <w:r>
              <w:rPr>
                <w:rFonts w:ascii="Aptos" w:hAnsi="Aptos"/>
                <w:b w:val="0"/>
                <w:sz w:val="16"/>
              </w:rPr>
              <w:t>Confirm project scope, decision calendar, and required approvals.</w:t>
            </w:r>
          </w:p>
        </w:tc>
        <w:tc>
          <w:tcPr>
            <w:tcW w:type="dxa" w:w="4752"/>
            <w:tcMar>
              <w:top w:w="90" w:type="dxa"/>
              <w:start w:w="90" w:type="dxa"/>
              <w:bottom w:w="90" w:type="dxa"/>
              <w:end w:w="90" w:type="dxa"/>
            </w:tcMar>
            <w:vAlign w:val="center"/>
            <w:shd w:fill="FFFFFF"/>
          </w:tcPr>
          <w:p>
            <w:pPr>
              <w:spacing w:after="0"/>
            </w:pPr>
            <w:r/>
            <w:r>
              <w:rPr>
                <w:rFonts w:ascii="Aptos" w:hAnsi="Aptos"/>
                <w:b w:val="0"/>
                <w:sz w:val="16"/>
              </w:rPr>
              <w:t>District administration.</w:t>
            </w:r>
          </w:p>
        </w:tc>
      </w:tr>
      <w:tr>
        <w:trPr>
          <w:cantSplit w:val="true"/>
        </w:trPr>
        <w:tc>
          <w:tcPr>
            <w:tcW w:type="dxa" w:w="5328"/>
            <w:tcMar>
              <w:top w:w="90" w:type="dxa"/>
              <w:start w:w="90" w:type="dxa"/>
              <w:bottom w:w="90" w:type="dxa"/>
              <w:end w:w="90" w:type="dxa"/>
            </w:tcMar>
            <w:vAlign w:val="center"/>
            <w:shd w:fill="EAF2F8"/>
          </w:tcPr>
          <w:p>
            <w:pPr>
              <w:spacing w:after="0"/>
            </w:pPr>
            <w:r/>
            <w:r>
              <w:rPr>
                <w:rFonts w:ascii="Aptos" w:hAnsi="Aptos"/>
                <w:b w:val="0"/>
                <w:sz w:val="16"/>
              </w:rPr>
              <w:t>Complete course design, schedule, related instruction, grading, and proposed registration package.</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Curriculum leadership, Culinary staff, and WBL coordination.</w:t>
            </w:r>
          </w:p>
        </w:tc>
      </w:tr>
      <w:tr>
        <w:trPr>
          <w:cantSplit w:val="true"/>
        </w:trPr>
        <w:tc>
          <w:tcPr>
            <w:tcW w:type="dxa" w:w="5328"/>
            <w:tcMar>
              <w:top w:w="90" w:type="dxa"/>
              <w:start w:w="90" w:type="dxa"/>
              <w:bottom w:w="90" w:type="dxa"/>
              <w:end w:w="90" w:type="dxa"/>
            </w:tcMar>
            <w:vAlign w:val="center"/>
            <w:shd w:fill="FFFFFF"/>
          </w:tcPr>
          <w:p>
            <w:pPr>
              <w:spacing w:after="0"/>
            </w:pPr>
            <w:r/>
            <w:r>
              <w:rPr>
                <w:rFonts w:ascii="Aptos" w:hAnsi="Aptos"/>
                <w:b w:val="0"/>
                <w:sz w:val="16"/>
              </w:rPr>
              <w:t>Complete legal, labor, insurance, transportation, accessibility, privacy, records, technology, and fiscal review.</w:t>
            </w:r>
          </w:p>
        </w:tc>
        <w:tc>
          <w:tcPr>
            <w:tcW w:type="dxa" w:w="4752"/>
            <w:tcMar>
              <w:top w:w="90" w:type="dxa"/>
              <w:start w:w="90" w:type="dxa"/>
              <w:bottom w:w="90" w:type="dxa"/>
              <w:end w:w="90" w:type="dxa"/>
            </w:tcMar>
            <w:vAlign w:val="center"/>
            <w:shd w:fill="FFFFFF"/>
          </w:tcPr>
          <w:p>
            <w:pPr>
              <w:spacing w:after="0"/>
            </w:pPr>
            <w:r/>
            <w:r>
              <w:rPr>
                <w:rFonts w:ascii="Aptos" w:hAnsi="Aptos"/>
                <w:b w:val="0"/>
                <w:sz w:val="16"/>
              </w:rPr>
              <w:t>Relevant district departments.</w:t>
            </w:r>
          </w:p>
        </w:tc>
      </w:tr>
      <w:tr>
        <w:trPr>
          <w:cantSplit w:val="true"/>
        </w:trPr>
        <w:tc>
          <w:tcPr>
            <w:tcW w:type="dxa" w:w="5328"/>
            <w:tcMar>
              <w:top w:w="90" w:type="dxa"/>
              <w:start w:w="90" w:type="dxa"/>
              <w:bottom w:w="90" w:type="dxa"/>
              <w:end w:w="90" w:type="dxa"/>
            </w:tcMar>
            <w:vAlign w:val="center"/>
            <w:shd w:fill="EAF2F8"/>
          </w:tcPr>
          <w:p>
            <w:pPr>
              <w:spacing w:after="0"/>
            </w:pPr>
            <w:r/>
            <w:r>
              <w:rPr>
                <w:rFonts w:ascii="Aptos" w:hAnsi="Aptos"/>
                <w:b w:val="0"/>
                <w:sz w:val="16"/>
              </w:rPr>
              <w:t>Pilot or implement the Culinary Passport within existing courses.</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Culinary teachers and pathway leadership.</w:t>
            </w:r>
          </w:p>
        </w:tc>
      </w:tr>
      <w:tr>
        <w:trPr>
          <w:cantSplit w:val="true"/>
        </w:trPr>
        <w:tc>
          <w:tcPr>
            <w:tcW w:type="dxa" w:w="5328"/>
            <w:tcMar>
              <w:top w:w="90" w:type="dxa"/>
              <w:start w:w="90" w:type="dxa"/>
              <w:bottom w:w="90" w:type="dxa"/>
              <w:end w:w="90" w:type="dxa"/>
            </w:tcMar>
            <w:vAlign w:val="center"/>
            <w:shd w:fill="FFFFFF"/>
          </w:tcPr>
          <w:p>
            <w:pPr>
              <w:spacing w:after="0"/>
            </w:pPr>
            <w:r/>
            <w:r>
              <w:rPr>
                <w:rFonts w:ascii="Aptos" w:hAnsi="Aptos"/>
                <w:b w:val="0"/>
                <w:sz w:val="16"/>
              </w:rPr>
              <w:t>Confirm Arcadia Cottage procedures and Olympia's corresponding client-centered model.</w:t>
            </w:r>
          </w:p>
        </w:tc>
        <w:tc>
          <w:tcPr>
            <w:tcW w:type="dxa" w:w="4752"/>
            <w:tcMar>
              <w:top w:w="90" w:type="dxa"/>
              <w:start w:w="90" w:type="dxa"/>
              <w:bottom w:w="90" w:type="dxa"/>
              <w:end w:w="90" w:type="dxa"/>
            </w:tcMar>
            <w:vAlign w:val="center"/>
            <w:shd w:fill="FFFFFF"/>
          </w:tcPr>
          <w:p>
            <w:pPr>
              <w:spacing w:after="0"/>
            </w:pPr>
            <w:r/>
            <w:r>
              <w:rPr>
                <w:rFonts w:ascii="Aptos" w:hAnsi="Aptos"/>
                <w:b w:val="0"/>
                <w:sz w:val="16"/>
              </w:rPr>
              <w:t>Culinary staff, building leadership, and School to Career Pathways leadership.</w:t>
            </w:r>
          </w:p>
        </w:tc>
      </w:tr>
      <w:tr>
        <w:trPr>
          <w:cantSplit w:val="true"/>
        </w:trPr>
        <w:tc>
          <w:tcPr>
            <w:tcW w:type="dxa" w:w="5328"/>
            <w:tcMar>
              <w:top w:w="90" w:type="dxa"/>
              <w:start w:w="90" w:type="dxa"/>
              <w:bottom w:w="90" w:type="dxa"/>
              <w:end w:w="90" w:type="dxa"/>
            </w:tcMar>
            <w:vAlign w:val="center"/>
            <w:shd w:fill="EAF2F8"/>
          </w:tcPr>
          <w:p>
            <w:pPr>
              <w:spacing w:after="0"/>
            </w:pPr>
            <w:r/>
            <w:r>
              <w:rPr>
                <w:rFonts w:ascii="Aptos" w:hAnsi="Aptos"/>
                <w:b w:val="0"/>
                <w:sz w:val="16"/>
              </w:rPr>
              <w:t>Develop and screen potential training stations.</w:t>
            </w:r>
          </w:p>
        </w:tc>
        <w:tc>
          <w:tcPr>
            <w:tcW w:type="dxa" w:w="4752"/>
            <w:tcMar>
              <w:top w:w="90" w:type="dxa"/>
              <w:start w:w="90" w:type="dxa"/>
              <w:bottom w:w="90" w:type="dxa"/>
              <w:end w:w="90" w:type="dxa"/>
            </w:tcMar>
            <w:vAlign w:val="center"/>
            <w:shd w:fill="EAF2F8"/>
          </w:tcPr>
          <w:p>
            <w:pPr>
              <w:spacing w:after="0"/>
            </w:pPr>
            <w:r/>
            <w:r>
              <w:rPr>
                <w:rFonts w:ascii="Aptos" w:hAnsi="Aptos"/>
                <w:b w:val="0"/>
                <w:sz w:val="16"/>
              </w:rPr>
              <w:t>Credentialed WBL Coordinator and district pathway leadership.</w:t>
            </w:r>
          </w:p>
        </w:tc>
      </w:tr>
      <w:tr>
        <w:trPr>
          <w:cantSplit w:val="true"/>
        </w:trPr>
        <w:tc>
          <w:tcPr>
            <w:tcW w:type="dxa" w:w="5328"/>
            <w:tcMar>
              <w:top w:w="90" w:type="dxa"/>
              <w:start w:w="90" w:type="dxa"/>
              <w:bottom w:w="90" w:type="dxa"/>
              <w:end w:w="90" w:type="dxa"/>
            </w:tcMar>
            <w:vAlign w:val="center"/>
            <w:shd w:fill="FFFFFF"/>
          </w:tcPr>
          <w:p>
            <w:pPr>
              <w:spacing w:after="0"/>
            </w:pPr>
            <w:r/>
            <w:r>
              <w:rPr>
                <w:rFonts w:ascii="Aptos" w:hAnsi="Aptos"/>
                <w:b w:val="0"/>
                <w:sz w:val="16"/>
              </w:rPr>
              <w:t>Prepare the launch-readiness report and final Board action.</w:t>
            </w:r>
          </w:p>
        </w:tc>
        <w:tc>
          <w:tcPr>
            <w:tcW w:type="dxa" w:w="4752"/>
            <w:tcMar>
              <w:top w:w="90" w:type="dxa"/>
              <w:start w:w="90" w:type="dxa"/>
              <w:bottom w:w="90" w:type="dxa"/>
              <w:end w:w="90" w:type="dxa"/>
            </w:tcMar>
            <w:vAlign w:val="center"/>
            <w:shd w:fill="FFFFFF"/>
          </w:tcPr>
          <w:p>
            <w:pPr>
              <w:spacing w:after="0"/>
            </w:pPr>
            <w:r/>
            <w:r>
              <w:rPr>
                <w:rFonts w:ascii="Aptos" w:hAnsi="Aptos"/>
                <w:b w:val="0"/>
                <w:sz w:val="16"/>
              </w:rPr>
              <w:t>Superintendent or designee.</w:t>
            </w:r>
          </w:p>
        </w:tc>
      </w:tr>
    </w:tbl>
    <w:p>
      <w:pPr>
        <w:spacing w:after="0"/>
      </w:pPr>
    </w:p>
    <w:p>
      <w:pPr>
        <w:pStyle w:val="PartTitle"/>
      </w:pPr>
      <w:r>
        <w:t>PART IV</w:t>
        <w:br/>
        <w:t>Board Presentation Package</w:t>
      </w:r>
    </w:p>
    <w:p>
      <w:pPr>
        <w:pStyle w:val="Heading3"/>
      </w:pPr>
      <w:r>
        <w:t>A concise public story supported by the four-book series.</w:t>
      </w:r>
    </w:p>
    <w:p>
      <w:pPr>
        <w:pStyle w:val="Heading1"/>
      </w:pPr>
      <w:r>
        <w:t>Chapter 18: Presentation Design</w:t>
      </w:r>
    </w:p>
    <w:p>
      <w:r>
        <w:t>The live presentation is not a spoken version of the four books. The books establish credibility and provide supporting detail. The presentation explains the educational direction, three-year pathway, competency progression, senior course, safeguards, resources, accountability, and requested action clearly enough for a Board and community audience to understand.</w:t>
      </w:r>
    </w:p>
    <w:p>
      <w:pPr>
        <w:pStyle w:val="ListBullet"/>
        <w:spacing w:after="40"/>
      </w:pPr>
      <w:r>
        <w:t>Target 12 to 14 minutes within a 15-minute presentation window.</w:t>
      </w:r>
    </w:p>
    <w:p>
      <w:pPr>
        <w:pStyle w:val="ListBullet"/>
        <w:spacing w:after="40"/>
      </w:pPr>
      <w:r>
        <w:t>Use approximately 10 slides with one central idea per slide.</w:t>
      </w:r>
    </w:p>
    <w:p>
      <w:pPr>
        <w:pStyle w:val="ListBullet"/>
        <w:spacing w:after="40"/>
      </w:pPr>
      <w:r>
        <w:t>Use authentic district photographs, a three-year pathway graphic, a six-Gateway graphic, and a limited number of meaningful data points.</w:t>
      </w:r>
    </w:p>
    <w:p>
      <w:pPr>
        <w:pStyle w:val="ListBullet"/>
        <w:spacing w:after="40"/>
      </w:pPr>
      <w:r>
        <w:t>Keep slide text brief. The speaker explains; the media focuses attention and makes student learning visible.</w:t>
      </w:r>
    </w:p>
    <w:p>
      <w:pPr>
        <w:pStyle w:val="ListBullet"/>
        <w:spacing w:after="40"/>
      </w:pPr>
      <w:r>
        <w:t>Use readable type, strong contrast, alt text, captions or transcript, logical reading order, and accessible attachments.</w:t>
      </w:r>
    </w:p>
    <w:p>
      <w:pPr>
        <w:pStyle w:val="ListBullet"/>
        <w:spacing w:after="40"/>
      </w:pPr>
      <w:r>
        <w:t>Provide a one-page decision brief and make the four-book series available as supporting material.</w:t>
      </w: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Presentation Standard</w:t>
            </w:r>
          </w:p>
          <w:p>
            <w:pPr>
              <w:spacing w:after="0"/>
            </w:pPr>
            <w:r>
              <w:rPr>
                <w:sz w:val="18"/>
              </w:rPr>
              <w:t>The Board presentation shows the retail display: concise structures, clear decisions, authentic evidence, and responsible implementation. The four books remain available for the full system behind it.</w:t>
            </w:r>
          </w:p>
        </w:tc>
      </w:tr>
    </w:tbl>
    <w:p>
      <w:pPr>
        <w:spacing w:after="0"/>
      </w:pPr>
    </w:p>
    <w:p>
      <w:pPr>
        <w:pStyle w:val="Heading1"/>
      </w:pPr>
      <w:r>
        <w:t>Chapter 19: Ten-Slide Presentation Plan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504"/>
            <w:tcMar>
              <w:top w:w="90" w:type="dxa"/>
              <w:start w:w="90" w:type="dxa"/>
              <w:bottom w:w="90" w:type="dxa"/>
              <w:end w:w="90" w:type="dxa"/>
            </w:tcMar>
            <w:vAlign w:val="center"/>
            <w:shd w:fill="1F4E78"/>
          </w:tcPr>
          <w:p>
            <w:pPr>
              <w:spacing w:after="0"/>
            </w:pPr>
            <w:r/>
            <w:r>
              <w:rPr>
                <w:rFonts w:ascii="Aptos" w:hAnsi="Aptos"/>
                <w:b/>
                <w:color w:val="FFFFFF"/>
                <w:sz w:val="17"/>
              </w:rPr>
              <w:t>#</w:t>
            </w:r>
          </w:p>
        </w:tc>
        <w:tc>
          <w:tcPr>
            <w:tcW w:type="dxa" w:w="2232"/>
            <w:tcMar>
              <w:top w:w="90" w:type="dxa"/>
              <w:start w:w="90" w:type="dxa"/>
              <w:bottom w:w="90" w:type="dxa"/>
              <w:end w:w="90" w:type="dxa"/>
            </w:tcMar>
            <w:vAlign w:val="center"/>
            <w:shd w:fill="1F4E78"/>
          </w:tcPr>
          <w:p>
            <w:pPr>
              <w:spacing w:after="0"/>
            </w:pPr>
            <w:r/>
            <w:r>
              <w:rPr>
                <w:rFonts w:ascii="Aptos" w:hAnsi="Aptos"/>
                <w:b/>
                <w:color w:val="FFFFFF"/>
                <w:sz w:val="17"/>
              </w:rPr>
              <w:t>Slide</w:t>
            </w:r>
          </w:p>
        </w:tc>
        <w:tc>
          <w:tcPr>
            <w:tcW w:type="dxa" w:w="3672"/>
            <w:tcMar>
              <w:top w:w="90" w:type="dxa"/>
              <w:start w:w="90" w:type="dxa"/>
              <w:bottom w:w="90" w:type="dxa"/>
              <w:end w:w="90" w:type="dxa"/>
            </w:tcMar>
            <w:vAlign w:val="center"/>
            <w:shd w:fill="1F4E78"/>
          </w:tcPr>
          <w:p>
            <w:pPr>
              <w:spacing w:after="0"/>
            </w:pPr>
            <w:r/>
            <w:r>
              <w:rPr>
                <w:rFonts w:ascii="Aptos" w:hAnsi="Aptos"/>
                <w:b/>
                <w:color w:val="FFFFFF"/>
                <w:sz w:val="17"/>
              </w:rPr>
              <w:t>Purpose</w:t>
            </w:r>
          </w:p>
        </w:tc>
        <w:tc>
          <w:tcPr>
            <w:tcW w:type="dxa" w:w="2952"/>
            <w:tcMar>
              <w:top w:w="90" w:type="dxa"/>
              <w:start w:w="90" w:type="dxa"/>
              <w:bottom w:w="90" w:type="dxa"/>
              <w:end w:w="90" w:type="dxa"/>
            </w:tcMar>
            <w:vAlign w:val="center"/>
            <w:shd w:fill="1F4E78"/>
          </w:tcPr>
          <w:p>
            <w:pPr>
              <w:spacing w:after="0"/>
            </w:pPr>
            <w:r/>
            <w:r>
              <w:rPr>
                <w:rFonts w:ascii="Aptos" w:hAnsi="Aptos"/>
                <w:b/>
                <w:color w:val="FFFFFF"/>
                <w:sz w:val="17"/>
              </w:rPr>
              <w:t>Suggested media</w:t>
            </w:r>
          </w:p>
        </w:tc>
        <w:tc>
          <w:tcPr>
            <w:tcW w:type="dxa" w:w="720"/>
            <w:tcMar>
              <w:top w:w="90" w:type="dxa"/>
              <w:start w:w="90" w:type="dxa"/>
              <w:bottom w:w="90" w:type="dxa"/>
              <w:end w:w="90" w:type="dxa"/>
            </w:tcMar>
            <w:vAlign w:val="center"/>
            <w:shd w:fill="1F4E78"/>
          </w:tcPr>
          <w:p>
            <w:pPr>
              <w:spacing w:after="0"/>
            </w:pPr>
            <w:r/>
            <w:r>
              <w:rPr>
                <w:rFonts w:ascii="Aptos" w:hAnsi="Aptos"/>
                <w:b/>
                <w:color w:val="FFFFFF"/>
                <w:sz w:val="17"/>
              </w:rPr>
              <w:t>Time</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5"/>
              </w:rPr>
              <w:t>1</w:t>
            </w:r>
          </w:p>
        </w:tc>
        <w:tc>
          <w:tcPr>
            <w:tcW w:type="dxa" w:w="2232"/>
            <w:tcMar>
              <w:top w:w="90" w:type="dxa"/>
              <w:start w:w="90" w:type="dxa"/>
              <w:bottom w:w="90" w:type="dxa"/>
              <w:end w:w="90" w:type="dxa"/>
            </w:tcMar>
            <w:vAlign w:val="center"/>
            <w:shd w:fill="EAF2F8"/>
          </w:tcPr>
          <w:p>
            <w:pPr>
              <w:spacing w:after="0"/>
            </w:pPr>
            <w:r/>
            <w:r>
              <w:rPr>
                <w:rFonts w:ascii="Aptos" w:hAnsi="Aptos"/>
                <w:b w:val="0"/>
                <w:sz w:val="15"/>
              </w:rPr>
              <w:t>From Classroom to Culinary Career</w:t>
            </w:r>
          </w:p>
        </w:tc>
        <w:tc>
          <w:tcPr>
            <w:tcW w:type="dxa" w:w="3672"/>
            <w:tcMar>
              <w:top w:w="90" w:type="dxa"/>
              <w:start w:w="90" w:type="dxa"/>
              <w:bottom w:w="90" w:type="dxa"/>
              <w:end w:w="90" w:type="dxa"/>
            </w:tcMar>
            <w:vAlign w:val="center"/>
            <w:shd w:fill="EAF2F8"/>
          </w:tcPr>
          <w:p>
            <w:pPr>
              <w:spacing w:after="0"/>
            </w:pPr>
            <w:r/>
            <w:r>
              <w:rPr>
                <w:rFonts w:ascii="Aptos" w:hAnsi="Aptos"/>
                <w:b w:val="0"/>
                <w:sz w:val="15"/>
              </w:rPr>
              <w:t>State the proposal and staged Board action.</w:t>
            </w:r>
          </w:p>
        </w:tc>
        <w:tc>
          <w:tcPr>
            <w:tcW w:type="dxa" w:w="2952"/>
            <w:tcMar>
              <w:top w:w="90" w:type="dxa"/>
              <w:start w:w="90" w:type="dxa"/>
              <w:bottom w:w="90" w:type="dxa"/>
              <w:end w:w="90" w:type="dxa"/>
            </w:tcMar>
            <w:vAlign w:val="center"/>
            <w:shd w:fill="EAF2F8"/>
          </w:tcPr>
          <w:p>
            <w:pPr>
              <w:spacing w:after="0"/>
            </w:pPr>
            <w:r/>
            <w:r>
              <w:rPr>
                <w:rFonts w:ascii="Aptos" w:hAnsi="Aptos"/>
                <w:b w:val="0"/>
                <w:sz w:val="15"/>
              </w:rPr>
              <w:t>District or pathway image; one-sentence decision statement.</w:t>
            </w:r>
          </w:p>
        </w:tc>
        <w:tc>
          <w:tcPr>
            <w:tcW w:type="dxa" w:w="720"/>
            <w:tcMar>
              <w:top w:w="90" w:type="dxa"/>
              <w:start w:w="90" w:type="dxa"/>
              <w:bottom w:w="90" w:type="dxa"/>
              <w:end w:w="90" w:type="dxa"/>
            </w:tcMar>
            <w:vAlign w:val="center"/>
            <w:shd w:fill="EAF2F8"/>
          </w:tcPr>
          <w:p>
            <w:pPr>
              <w:spacing w:after="0"/>
            </w:pPr>
            <w:r/>
            <w:r>
              <w:rPr>
                <w:rFonts w:ascii="Aptos" w:hAnsi="Aptos"/>
                <w:b w:val="0"/>
                <w:sz w:val="15"/>
              </w:rPr>
              <w:t>0:50</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5"/>
              </w:rPr>
              <w:t>2</w:t>
            </w:r>
          </w:p>
        </w:tc>
        <w:tc>
          <w:tcPr>
            <w:tcW w:type="dxa" w:w="2232"/>
            <w:tcMar>
              <w:top w:w="90" w:type="dxa"/>
              <w:start w:w="90" w:type="dxa"/>
              <w:bottom w:w="90" w:type="dxa"/>
              <w:end w:w="90" w:type="dxa"/>
            </w:tcMar>
            <w:vAlign w:val="center"/>
            <w:shd w:fill="FFFFFF"/>
          </w:tcPr>
          <w:p>
            <w:pPr>
              <w:spacing w:after="0"/>
            </w:pPr>
            <w:r/>
            <w:r>
              <w:rPr>
                <w:rFonts w:ascii="Aptos" w:hAnsi="Aptos"/>
                <w:b w:val="0"/>
                <w:sz w:val="15"/>
              </w:rPr>
              <w:t>Building From Strength</w:t>
            </w:r>
          </w:p>
        </w:tc>
        <w:tc>
          <w:tcPr>
            <w:tcW w:type="dxa" w:w="3672"/>
            <w:tcMar>
              <w:top w:w="90" w:type="dxa"/>
              <w:start w:w="90" w:type="dxa"/>
              <w:bottom w:w="90" w:type="dxa"/>
              <w:end w:w="90" w:type="dxa"/>
            </w:tcMar>
            <w:vAlign w:val="center"/>
            <w:shd w:fill="FFFFFF"/>
          </w:tcPr>
          <w:p>
            <w:pPr>
              <w:spacing w:after="0"/>
            </w:pPr>
            <w:r/>
            <w:r>
              <w:rPr>
                <w:rFonts w:ascii="Aptos" w:hAnsi="Aptos"/>
                <w:b w:val="0"/>
                <w:sz w:val="15"/>
              </w:rPr>
              <w:t>Show existing courses, The Cottage, credentials, Employability Profile, and authentic work.</w:t>
            </w:r>
          </w:p>
        </w:tc>
        <w:tc>
          <w:tcPr>
            <w:tcW w:type="dxa" w:w="2952"/>
            <w:tcMar>
              <w:top w:w="90" w:type="dxa"/>
              <w:start w:w="90" w:type="dxa"/>
              <w:bottom w:w="90" w:type="dxa"/>
              <w:end w:w="90" w:type="dxa"/>
            </w:tcMar>
            <w:vAlign w:val="center"/>
            <w:shd w:fill="FFFFFF"/>
          </w:tcPr>
          <w:p>
            <w:pPr>
              <w:spacing w:after="0"/>
            </w:pPr>
            <w:r/>
            <w:r>
              <w:rPr>
                <w:rFonts w:ascii="Aptos" w:hAnsi="Aptos"/>
                <w:b w:val="0"/>
                <w:sz w:val="15"/>
              </w:rPr>
              <w:t>Four or five authentic photographs.</w:t>
            </w:r>
          </w:p>
        </w:tc>
        <w:tc>
          <w:tcPr>
            <w:tcW w:type="dxa" w:w="720"/>
            <w:tcMar>
              <w:top w:w="90" w:type="dxa"/>
              <w:start w:w="90" w:type="dxa"/>
              <w:bottom w:w="90" w:type="dxa"/>
              <w:end w:w="90" w:type="dxa"/>
            </w:tcMar>
            <w:vAlign w:val="center"/>
            <w:shd w:fill="FFFFFF"/>
          </w:tcPr>
          <w:p>
            <w:pPr>
              <w:spacing w:after="0"/>
            </w:pPr>
            <w:r/>
            <w:r>
              <w:rPr>
                <w:rFonts w:ascii="Aptos" w:hAnsi="Aptos"/>
                <w:b w:val="0"/>
                <w:sz w:val="15"/>
              </w:rPr>
              <w:t>1:10</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5"/>
              </w:rPr>
              <w:t>3</w:t>
            </w:r>
          </w:p>
        </w:tc>
        <w:tc>
          <w:tcPr>
            <w:tcW w:type="dxa" w:w="2232"/>
            <w:tcMar>
              <w:top w:w="90" w:type="dxa"/>
              <w:start w:w="90" w:type="dxa"/>
              <w:bottom w:w="90" w:type="dxa"/>
              <w:end w:w="90" w:type="dxa"/>
            </w:tcMar>
            <w:vAlign w:val="center"/>
            <w:shd w:fill="EAF2F8"/>
          </w:tcPr>
          <w:p>
            <w:pPr>
              <w:spacing w:after="0"/>
            </w:pPr>
            <w:r/>
            <w:r>
              <w:rPr>
                <w:rFonts w:ascii="Aptos" w:hAnsi="Aptos"/>
                <w:b w:val="0"/>
                <w:sz w:val="15"/>
              </w:rPr>
              <w:t>The Three-Year Pathway</w:t>
            </w:r>
          </w:p>
        </w:tc>
        <w:tc>
          <w:tcPr>
            <w:tcW w:type="dxa" w:w="3672"/>
            <w:tcMar>
              <w:top w:w="90" w:type="dxa"/>
              <w:start w:w="90" w:type="dxa"/>
              <w:bottom w:w="90" w:type="dxa"/>
              <w:end w:w="90" w:type="dxa"/>
            </w:tcMar>
            <w:vAlign w:val="center"/>
            <w:shd w:fill="EAF2F8"/>
          </w:tcPr>
          <w:p>
            <w:pPr>
              <w:spacing w:after="0"/>
            </w:pPr>
            <w:r/>
            <w:r>
              <w:rPr>
                <w:rFonts w:ascii="Aptos" w:hAnsi="Aptos"/>
                <w:b w:val="0"/>
                <w:sz w:val="15"/>
              </w:rPr>
              <w:t>Show Grade 10 foundation, Grade 11 professional practice and leadership, and Grade 12 workplace learning.</w:t>
            </w:r>
          </w:p>
        </w:tc>
        <w:tc>
          <w:tcPr>
            <w:tcW w:type="dxa" w:w="2952"/>
            <w:tcMar>
              <w:top w:w="90" w:type="dxa"/>
              <w:start w:w="90" w:type="dxa"/>
              <w:bottom w:w="90" w:type="dxa"/>
              <w:end w:w="90" w:type="dxa"/>
            </w:tcMar>
            <w:vAlign w:val="center"/>
            <w:shd w:fill="EAF2F8"/>
          </w:tcPr>
          <w:p>
            <w:pPr>
              <w:spacing w:after="0"/>
            </w:pPr>
            <w:r/>
            <w:r>
              <w:rPr>
                <w:rFonts w:ascii="Aptos" w:hAnsi="Aptos"/>
                <w:b w:val="0"/>
                <w:sz w:val="15"/>
              </w:rPr>
              <w:t>Simple three-column pathway graphic.</w:t>
            </w:r>
          </w:p>
        </w:tc>
        <w:tc>
          <w:tcPr>
            <w:tcW w:type="dxa" w:w="720"/>
            <w:tcMar>
              <w:top w:w="90" w:type="dxa"/>
              <w:start w:w="90" w:type="dxa"/>
              <w:bottom w:w="90" w:type="dxa"/>
              <w:end w:w="90" w:type="dxa"/>
            </w:tcMar>
            <w:vAlign w:val="center"/>
            <w:shd w:fill="EAF2F8"/>
          </w:tcPr>
          <w:p>
            <w:pPr>
              <w:spacing w:after="0"/>
            </w:pPr>
            <w:r/>
            <w:r>
              <w:rPr>
                <w:rFonts w:ascii="Aptos" w:hAnsi="Aptos"/>
                <w:b w:val="0"/>
                <w:sz w:val="15"/>
              </w:rPr>
              <w:t>1:15</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5"/>
              </w:rPr>
              <w:t>4</w:t>
            </w:r>
          </w:p>
        </w:tc>
        <w:tc>
          <w:tcPr>
            <w:tcW w:type="dxa" w:w="2232"/>
            <w:tcMar>
              <w:top w:w="90" w:type="dxa"/>
              <w:start w:w="90" w:type="dxa"/>
              <w:bottom w:w="90" w:type="dxa"/>
              <w:end w:w="90" w:type="dxa"/>
            </w:tcMar>
            <w:vAlign w:val="center"/>
            <w:shd w:fill="FFFFFF"/>
          </w:tcPr>
          <w:p>
            <w:pPr>
              <w:spacing w:after="0"/>
            </w:pPr>
            <w:r/>
            <w:r>
              <w:rPr>
                <w:rFonts w:ascii="Aptos" w:hAnsi="Aptos"/>
                <w:b w:val="0"/>
                <w:sz w:val="15"/>
              </w:rPr>
              <w:t>Competency Opens Opportunity</w:t>
            </w:r>
          </w:p>
        </w:tc>
        <w:tc>
          <w:tcPr>
            <w:tcW w:type="dxa" w:w="3672"/>
            <w:tcMar>
              <w:top w:w="90" w:type="dxa"/>
              <w:start w:w="90" w:type="dxa"/>
              <w:bottom w:w="90" w:type="dxa"/>
              <w:end w:w="90" w:type="dxa"/>
            </w:tcMar>
            <w:vAlign w:val="center"/>
            <w:shd w:fill="FFFFFF"/>
          </w:tcPr>
          <w:p>
            <w:pPr>
              <w:spacing w:after="0"/>
            </w:pPr>
            <w:r/>
            <w:r>
              <w:rPr>
                <w:rFonts w:ascii="Aptos" w:hAnsi="Aptos"/>
                <w:b w:val="0"/>
                <w:sz w:val="15"/>
              </w:rPr>
              <w:t>Explain the Culinary Passport and six Gateways.</w:t>
            </w:r>
          </w:p>
        </w:tc>
        <w:tc>
          <w:tcPr>
            <w:tcW w:type="dxa" w:w="2952"/>
            <w:tcMar>
              <w:top w:w="90" w:type="dxa"/>
              <w:start w:w="90" w:type="dxa"/>
              <w:bottom w:w="90" w:type="dxa"/>
              <w:end w:w="90" w:type="dxa"/>
            </w:tcMar>
            <w:vAlign w:val="center"/>
            <w:shd w:fill="FFFFFF"/>
          </w:tcPr>
          <w:p>
            <w:pPr>
              <w:spacing w:after="0"/>
            </w:pPr>
            <w:r/>
            <w:r>
              <w:rPr>
                <w:rFonts w:ascii="Aptos" w:hAnsi="Aptos"/>
                <w:b w:val="0"/>
                <w:sz w:val="15"/>
              </w:rPr>
              <w:t>Gateway staircase or progression graphic.</w:t>
            </w:r>
          </w:p>
        </w:tc>
        <w:tc>
          <w:tcPr>
            <w:tcW w:type="dxa" w:w="720"/>
            <w:tcMar>
              <w:top w:w="90" w:type="dxa"/>
              <w:start w:w="90" w:type="dxa"/>
              <w:bottom w:w="90" w:type="dxa"/>
              <w:end w:w="90" w:type="dxa"/>
            </w:tcMar>
            <w:vAlign w:val="center"/>
            <w:shd w:fill="FFFFFF"/>
          </w:tcPr>
          <w:p>
            <w:pPr>
              <w:spacing w:after="0"/>
            </w:pPr>
            <w:r/>
            <w:r>
              <w:rPr>
                <w:rFonts w:ascii="Aptos" w:hAnsi="Aptos"/>
                <w:b w:val="0"/>
                <w:sz w:val="15"/>
              </w:rPr>
              <w:t>1:20</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5"/>
              </w:rPr>
              <w:t>5</w:t>
            </w:r>
          </w:p>
        </w:tc>
        <w:tc>
          <w:tcPr>
            <w:tcW w:type="dxa" w:w="2232"/>
            <w:tcMar>
              <w:top w:w="90" w:type="dxa"/>
              <w:start w:w="90" w:type="dxa"/>
              <w:bottom w:w="90" w:type="dxa"/>
              <w:end w:w="90" w:type="dxa"/>
            </w:tcMar>
            <w:vAlign w:val="center"/>
            <w:shd w:fill="EAF2F8"/>
          </w:tcPr>
          <w:p>
            <w:pPr>
              <w:spacing w:after="0"/>
            </w:pPr>
            <w:r/>
            <w:r>
              <w:rPr>
                <w:rFonts w:ascii="Aptos" w:hAnsi="Aptos"/>
                <w:b w:val="0"/>
                <w:sz w:val="15"/>
              </w:rPr>
              <w:t>Authentic Practice Before External Work</w:t>
            </w:r>
          </w:p>
        </w:tc>
        <w:tc>
          <w:tcPr>
            <w:tcW w:type="dxa" w:w="3672"/>
            <w:tcMar>
              <w:top w:w="90" w:type="dxa"/>
              <w:start w:w="90" w:type="dxa"/>
              <w:bottom w:w="90" w:type="dxa"/>
              <w:end w:w="90" w:type="dxa"/>
            </w:tcMar>
            <w:vAlign w:val="center"/>
            <w:shd w:fill="EAF2F8"/>
          </w:tcPr>
          <w:p>
            <w:pPr>
              <w:spacing w:after="0"/>
            </w:pPr>
            <w:r/>
            <w:r>
              <w:rPr>
                <w:rFonts w:ascii="Aptos" w:hAnsi="Aptos"/>
                <w:b w:val="0"/>
                <w:sz w:val="15"/>
              </w:rPr>
              <w:t>Show Advanced Culinary, The Cottage, client expectations, service, and quality.</w:t>
            </w:r>
          </w:p>
        </w:tc>
        <w:tc>
          <w:tcPr>
            <w:tcW w:type="dxa" w:w="2952"/>
            <w:tcMar>
              <w:top w:w="90" w:type="dxa"/>
              <w:start w:w="90" w:type="dxa"/>
              <w:bottom w:w="90" w:type="dxa"/>
              <w:end w:w="90" w:type="dxa"/>
            </w:tcMar>
            <w:vAlign w:val="center"/>
            <w:shd w:fill="EAF2F8"/>
          </w:tcPr>
          <w:p>
            <w:pPr>
              <w:spacing w:after="0"/>
            </w:pPr>
            <w:r/>
            <w:r>
              <w:rPr>
                <w:rFonts w:ascii="Aptos" w:hAnsi="Aptos"/>
                <w:b w:val="0"/>
                <w:sz w:val="15"/>
              </w:rPr>
              <w:t>Catering or SBE photographs.</w:t>
            </w:r>
          </w:p>
        </w:tc>
        <w:tc>
          <w:tcPr>
            <w:tcW w:type="dxa" w:w="720"/>
            <w:tcMar>
              <w:top w:w="90" w:type="dxa"/>
              <w:start w:w="90" w:type="dxa"/>
              <w:bottom w:w="90" w:type="dxa"/>
              <w:end w:w="90" w:type="dxa"/>
            </w:tcMar>
            <w:vAlign w:val="center"/>
            <w:shd w:fill="EAF2F8"/>
          </w:tcPr>
          <w:p>
            <w:pPr>
              <w:spacing w:after="0"/>
            </w:pPr>
            <w:r/>
            <w:r>
              <w:rPr>
                <w:rFonts w:ascii="Aptos" w:hAnsi="Aptos"/>
                <w:b w:val="0"/>
                <w:sz w:val="15"/>
              </w:rPr>
              <w:t>1:10</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5"/>
              </w:rPr>
              <w:t>6</w:t>
            </w:r>
          </w:p>
        </w:tc>
        <w:tc>
          <w:tcPr>
            <w:tcW w:type="dxa" w:w="2232"/>
            <w:tcMar>
              <w:top w:w="90" w:type="dxa"/>
              <w:start w:w="90" w:type="dxa"/>
              <w:bottom w:w="90" w:type="dxa"/>
              <w:end w:w="90" w:type="dxa"/>
            </w:tcMar>
            <w:vAlign w:val="center"/>
            <w:shd w:fill="FFFFFF"/>
          </w:tcPr>
          <w:p>
            <w:pPr>
              <w:spacing w:after="0"/>
            </w:pPr>
            <w:r/>
            <w:r>
              <w:rPr>
                <w:rFonts w:ascii="Aptos" w:hAnsi="Aptos"/>
                <w:b w:val="0"/>
                <w:sz w:val="15"/>
              </w:rPr>
              <w:t>Kitchen Management Builds Leaders</w:t>
            </w:r>
          </w:p>
        </w:tc>
        <w:tc>
          <w:tcPr>
            <w:tcW w:type="dxa" w:w="3672"/>
            <w:tcMar>
              <w:top w:w="90" w:type="dxa"/>
              <w:start w:w="90" w:type="dxa"/>
              <w:bottom w:w="90" w:type="dxa"/>
              <w:end w:w="90" w:type="dxa"/>
            </w:tcMar>
            <w:vAlign w:val="center"/>
            <w:shd w:fill="FFFFFF"/>
          </w:tcPr>
          <w:p>
            <w:pPr>
              <w:spacing w:after="0"/>
            </w:pPr>
            <w:r/>
            <w:r>
              <w:rPr>
                <w:rFonts w:ascii="Aptos" w:hAnsi="Aptos"/>
                <w:b w:val="0"/>
                <w:sz w:val="15"/>
              </w:rPr>
              <w:t>Explain Gateway 5 and Travel Rights.</w:t>
            </w:r>
          </w:p>
        </w:tc>
        <w:tc>
          <w:tcPr>
            <w:tcW w:type="dxa" w:w="2952"/>
            <w:tcMar>
              <w:top w:w="90" w:type="dxa"/>
              <w:start w:w="90" w:type="dxa"/>
              <w:bottom w:w="90" w:type="dxa"/>
              <w:end w:w="90" w:type="dxa"/>
            </w:tcMar>
            <w:vAlign w:val="center"/>
            <w:shd w:fill="FFFFFF"/>
          </w:tcPr>
          <w:p>
            <w:pPr>
              <w:spacing w:after="0"/>
            </w:pPr>
            <w:r/>
            <w:r>
              <w:rPr>
                <w:rFonts w:ascii="Aptos" w:hAnsi="Aptos"/>
                <w:b w:val="0"/>
                <w:sz w:val="15"/>
              </w:rPr>
              <w:t>Leadership and operations image.</w:t>
            </w:r>
          </w:p>
        </w:tc>
        <w:tc>
          <w:tcPr>
            <w:tcW w:type="dxa" w:w="720"/>
            <w:tcMar>
              <w:top w:w="90" w:type="dxa"/>
              <w:start w:w="90" w:type="dxa"/>
              <w:bottom w:w="90" w:type="dxa"/>
              <w:end w:w="90" w:type="dxa"/>
            </w:tcMar>
            <w:vAlign w:val="center"/>
            <w:shd w:fill="FFFFFF"/>
          </w:tcPr>
          <w:p>
            <w:pPr>
              <w:spacing w:after="0"/>
            </w:pPr>
            <w:r/>
            <w:r>
              <w:rPr>
                <w:rFonts w:ascii="Aptos" w:hAnsi="Aptos"/>
                <w:b w:val="0"/>
                <w:sz w:val="15"/>
              </w:rPr>
              <w:t>1:05</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5"/>
              </w:rPr>
              <w:t>7</w:t>
            </w:r>
          </w:p>
        </w:tc>
        <w:tc>
          <w:tcPr>
            <w:tcW w:type="dxa" w:w="2232"/>
            <w:tcMar>
              <w:top w:w="90" w:type="dxa"/>
              <w:start w:w="90" w:type="dxa"/>
              <w:bottom w:w="90" w:type="dxa"/>
              <w:end w:w="90" w:type="dxa"/>
            </w:tcMar>
            <w:vAlign w:val="center"/>
            <w:shd w:fill="EAF2F8"/>
          </w:tcPr>
          <w:p>
            <w:pPr>
              <w:spacing w:after="0"/>
            </w:pPr>
            <w:r/>
            <w:r>
              <w:rPr>
                <w:rFonts w:ascii="Aptos" w:hAnsi="Aptos"/>
                <w:b w:val="0"/>
                <w:sz w:val="15"/>
              </w:rPr>
              <w:t>The Senior WBL Course</w:t>
            </w:r>
          </w:p>
        </w:tc>
        <w:tc>
          <w:tcPr>
            <w:tcW w:type="dxa" w:w="3672"/>
            <w:tcMar>
              <w:top w:w="90" w:type="dxa"/>
              <w:start w:w="90" w:type="dxa"/>
              <w:bottom w:w="90" w:type="dxa"/>
              <w:end w:w="90" w:type="dxa"/>
            </w:tcMar>
            <w:vAlign w:val="center"/>
            <w:shd w:fill="EAF2F8"/>
          </w:tcPr>
          <w:p>
            <w:pPr>
              <w:spacing w:after="0"/>
            </w:pPr>
            <w:r/>
            <w:r>
              <w:rPr>
                <w:rFonts w:ascii="Aptos" w:hAnsi="Aptos"/>
                <w:b w:val="0"/>
                <w:sz w:val="15"/>
              </w:rPr>
              <w:t>Explain 1.0 credit, 300 hours, flexible scheduling, portfolio, evaluations, and final presentation.</w:t>
            </w:r>
          </w:p>
        </w:tc>
        <w:tc>
          <w:tcPr>
            <w:tcW w:type="dxa" w:w="2952"/>
            <w:tcMar>
              <w:top w:w="90" w:type="dxa"/>
              <w:start w:w="90" w:type="dxa"/>
              <w:bottom w:w="90" w:type="dxa"/>
              <w:end w:w="90" w:type="dxa"/>
            </w:tcMar>
            <w:vAlign w:val="center"/>
            <w:shd w:fill="EAF2F8"/>
          </w:tcPr>
          <w:p>
            <w:pPr>
              <w:spacing w:after="0"/>
            </w:pPr>
            <w:r/>
            <w:r>
              <w:rPr>
                <w:rFonts w:ascii="Aptos" w:hAnsi="Aptos"/>
                <w:b w:val="0"/>
                <w:sz w:val="15"/>
              </w:rPr>
              <w:t>Course requirements graphic.</w:t>
            </w:r>
          </w:p>
        </w:tc>
        <w:tc>
          <w:tcPr>
            <w:tcW w:type="dxa" w:w="720"/>
            <w:tcMar>
              <w:top w:w="90" w:type="dxa"/>
              <w:start w:w="90" w:type="dxa"/>
              <w:bottom w:w="90" w:type="dxa"/>
              <w:end w:w="90" w:type="dxa"/>
            </w:tcMar>
            <w:vAlign w:val="center"/>
            <w:shd w:fill="EAF2F8"/>
          </w:tcPr>
          <w:p>
            <w:pPr>
              <w:spacing w:after="0"/>
            </w:pPr>
            <w:r/>
            <w:r>
              <w:rPr>
                <w:rFonts w:ascii="Aptos" w:hAnsi="Aptos"/>
                <w:b w:val="0"/>
                <w:sz w:val="15"/>
              </w:rPr>
              <w:t>1:25</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5"/>
              </w:rPr>
              <w:t>8</w:t>
            </w:r>
          </w:p>
        </w:tc>
        <w:tc>
          <w:tcPr>
            <w:tcW w:type="dxa" w:w="2232"/>
            <w:tcMar>
              <w:top w:w="90" w:type="dxa"/>
              <w:start w:w="90" w:type="dxa"/>
              <w:bottom w:w="90" w:type="dxa"/>
              <w:end w:w="90" w:type="dxa"/>
            </w:tcMar>
            <w:vAlign w:val="center"/>
            <w:shd w:fill="FFFFFF"/>
          </w:tcPr>
          <w:p>
            <w:pPr>
              <w:spacing w:after="0"/>
            </w:pPr>
            <w:r/>
            <w:r>
              <w:rPr>
                <w:rFonts w:ascii="Aptos" w:hAnsi="Aptos"/>
                <w:b w:val="0"/>
                <w:sz w:val="15"/>
              </w:rPr>
              <w:t>Safe, Supported, and Supervised</w:t>
            </w:r>
          </w:p>
        </w:tc>
        <w:tc>
          <w:tcPr>
            <w:tcW w:type="dxa" w:w="3672"/>
            <w:tcMar>
              <w:top w:w="90" w:type="dxa"/>
              <w:start w:w="90" w:type="dxa"/>
              <w:bottom w:w="90" w:type="dxa"/>
              <w:end w:w="90" w:type="dxa"/>
            </w:tcMar>
            <w:vAlign w:val="center"/>
            <w:shd w:fill="FFFFFF"/>
          </w:tcPr>
          <w:p>
            <w:pPr>
              <w:spacing w:after="0"/>
            </w:pPr>
            <w:r/>
            <w:r>
              <w:rPr>
                <w:rFonts w:ascii="Aptos" w:hAnsi="Aptos"/>
                <w:b w:val="0"/>
                <w:sz w:val="15"/>
              </w:rPr>
              <w:t>Explain qualified coordination, site approval, transportation, access, and authority to pause.</w:t>
            </w:r>
          </w:p>
        </w:tc>
        <w:tc>
          <w:tcPr>
            <w:tcW w:type="dxa" w:w="2952"/>
            <w:tcMar>
              <w:top w:w="90" w:type="dxa"/>
              <w:start w:w="90" w:type="dxa"/>
              <w:bottom w:w="90" w:type="dxa"/>
              <w:end w:w="90" w:type="dxa"/>
            </w:tcMar>
            <w:vAlign w:val="center"/>
            <w:shd w:fill="FFFFFF"/>
          </w:tcPr>
          <w:p>
            <w:pPr>
              <w:spacing w:after="0"/>
            </w:pPr>
            <w:r/>
            <w:r>
              <w:rPr>
                <w:rFonts w:ascii="Aptos" w:hAnsi="Aptos"/>
                <w:b w:val="0"/>
                <w:sz w:val="15"/>
              </w:rPr>
              <w:t>Responsibility diagram; short boundary list.</w:t>
            </w:r>
          </w:p>
        </w:tc>
        <w:tc>
          <w:tcPr>
            <w:tcW w:type="dxa" w:w="720"/>
            <w:tcMar>
              <w:top w:w="90" w:type="dxa"/>
              <w:start w:w="90" w:type="dxa"/>
              <w:bottom w:w="90" w:type="dxa"/>
              <w:end w:w="90" w:type="dxa"/>
            </w:tcMar>
            <w:vAlign w:val="center"/>
            <w:shd w:fill="FFFFFF"/>
          </w:tcPr>
          <w:p>
            <w:pPr>
              <w:spacing w:after="0"/>
            </w:pPr>
            <w:r/>
            <w:r>
              <w:rPr>
                <w:rFonts w:ascii="Aptos" w:hAnsi="Aptos"/>
                <w:b w:val="0"/>
                <w:sz w:val="15"/>
              </w:rPr>
              <w:t>1:25</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5"/>
              </w:rPr>
              <w:t>9</w:t>
            </w:r>
          </w:p>
        </w:tc>
        <w:tc>
          <w:tcPr>
            <w:tcW w:type="dxa" w:w="2232"/>
            <w:tcMar>
              <w:top w:w="90" w:type="dxa"/>
              <w:start w:w="90" w:type="dxa"/>
              <w:bottom w:w="90" w:type="dxa"/>
              <w:end w:w="90" w:type="dxa"/>
            </w:tcMar>
            <w:vAlign w:val="center"/>
            <w:shd w:fill="EAF2F8"/>
          </w:tcPr>
          <w:p>
            <w:pPr>
              <w:spacing w:after="0"/>
            </w:pPr>
            <w:r/>
            <w:r>
              <w:rPr>
                <w:rFonts w:ascii="Aptos" w:hAnsi="Aptos"/>
                <w:b w:val="0"/>
                <w:sz w:val="15"/>
              </w:rPr>
              <w:t>Resources and Accountability</w:t>
            </w:r>
          </w:p>
        </w:tc>
        <w:tc>
          <w:tcPr>
            <w:tcW w:type="dxa" w:w="3672"/>
            <w:tcMar>
              <w:top w:w="90" w:type="dxa"/>
              <w:start w:w="90" w:type="dxa"/>
              <w:bottom w:w="90" w:type="dxa"/>
              <w:end w:w="90" w:type="dxa"/>
            </w:tcMar>
            <w:vAlign w:val="center"/>
            <w:shd w:fill="EAF2F8"/>
          </w:tcPr>
          <w:p>
            <w:pPr>
              <w:spacing w:after="0"/>
            </w:pPr>
            <w:r/>
            <w:r>
              <w:rPr>
                <w:rFonts w:ascii="Aptos" w:hAnsi="Aptos"/>
                <w:b w:val="0"/>
                <w:sz w:val="15"/>
              </w:rPr>
              <w:t>Explain staged fiscal planning, capacity, annual evidence, SkillsUSA/capstone possibilities, and expansion only after review.</w:t>
            </w:r>
          </w:p>
        </w:tc>
        <w:tc>
          <w:tcPr>
            <w:tcW w:type="dxa" w:w="2952"/>
            <w:tcMar>
              <w:top w:w="90" w:type="dxa"/>
              <w:start w:w="90" w:type="dxa"/>
              <w:bottom w:w="90" w:type="dxa"/>
              <w:end w:w="90" w:type="dxa"/>
            </w:tcMar>
            <w:vAlign w:val="center"/>
            <w:shd w:fill="EAF2F8"/>
          </w:tcPr>
          <w:p>
            <w:pPr>
              <w:spacing w:after="0"/>
            </w:pPr>
            <w:r/>
            <w:r>
              <w:rPr>
                <w:rFonts w:ascii="Aptos" w:hAnsi="Aptos"/>
                <w:b w:val="0"/>
                <w:sz w:val="15"/>
              </w:rPr>
              <w:t>Resource categories and Board reporting graphic.</w:t>
            </w:r>
          </w:p>
        </w:tc>
        <w:tc>
          <w:tcPr>
            <w:tcW w:type="dxa" w:w="720"/>
            <w:tcMar>
              <w:top w:w="90" w:type="dxa"/>
              <w:start w:w="90" w:type="dxa"/>
              <w:bottom w:w="90" w:type="dxa"/>
              <w:end w:w="90" w:type="dxa"/>
            </w:tcMar>
            <w:vAlign w:val="center"/>
            <w:shd w:fill="EAF2F8"/>
          </w:tcPr>
          <w:p>
            <w:pPr>
              <w:spacing w:after="0"/>
            </w:pPr>
            <w:r/>
            <w:r>
              <w:rPr>
                <w:rFonts w:ascii="Aptos" w:hAnsi="Aptos"/>
                <w:b w:val="0"/>
                <w:sz w:val="15"/>
              </w:rPr>
              <w:t>1:15</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5"/>
              </w:rPr>
              <w:t>10</w:t>
            </w:r>
          </w:p>
        </w:tc>
        <w:tc>
          <w:tcPr>
            <w:tcW w:type="dxa" w:w="2232"/>
            <w:tcMar>
              <w:top w:w="90" w:type="dxa"/>
              <w:start w:w="90" w:type="dxa"/>
              <w:bottom w:w="90" w:type="dxa"/>
              <w:end w:w="90" w:type="dxa"/>
            </w:tcMar>
            <w:vAlign w:val="center"/>
            <w:shd w:fill="FFFFFF"/>
          </w:tcPr>
          <w:p>
            <w:pPr>
              <w:spacing w:after="0"/>
            </w:pPr>
            <w:r/>
            <w:r>
              <w:rPr>
                <w:rFonts w:ascii="Aptos" w:hAnsi="Aptos"/>
                <w:b w:val="0"/>
                <w:sz w:val="15"/>
              </w:rPr>
              <w:t>The Decision Requested</w:t>
            </w:r>
          </w:p>
        </w:tc>
        <w:tc>
          <w:tcPr>
            <w:tcW w:type="dxa" w:w="3672"/>
            <w:tcMar>
              <w:top w:w="90" w:type="dxa"/>
              <w:start w:w="90" w:type="dxa"/>
              <w:bottom w:w="90" w:type="dxa"/>
              <w:end w:w="90" w:type="dxa"/>
            </w:tcMar>
            <w:vAlign w:val="center"/>
            <w:shd w:fill="FFFFFF"/>
          </w:tcPr>
          <w:p>
            <w:pPr>
              <w:spacing w:after="0"/>
            </w:pPr>
            <w:r/>
            <w:r>
              <w:rPr>
                <w:rFonts w:ascii="Aptos" w:hAnsi="Aptos"/>
                <w:b w:val="0"/>
                <w:sz w:val="15"/>
              </w:rPr>
              <w:t>Restate endorsement, planning authorization, readiness report, final launch authorization, and annual accountability.</w:t>
            </w:r>
          </w:p>
        </w:tc>
        <w:tc>
          <w:tcPr>
            <w:tcW w:type="dxa" w:w="2952"/>
            <w:tcMar>
              <w:top w:w="90" w:type="dxa"/>
              <w:start w:w="90" w:type="dxa"/>
              <w:bottom w:w="90" w:type="dxa"/>
              <w:end w:w="90" w:type="dxa"/>
            </w:tcMar>
            <w:vAlign w:val="center"/>
            <w:shd w:fill="FFFFFF"/>
          </w:tcPr>
          <w:p>
            <w:pPr>
              <w:spacing w:after="0"/>
            </w:pPr>
            <w:r/>
            <w:r>
              <w:rPr>
                <w:rFonts w:ascii="Aptos" w:hAnsi="Aptos"/>
                <w:b w:val="0"/>
                <w:sz w:val="15"/>
              </w:rPr>
              <w:t>Five-part decision statement.</w:t>
            </w:r>
          </w:p>
        </w:tc>
        <w:tc>
          <w:tcPr>
            <w:tcW w:type="dxa" w:w="720"/>
            <w:tcMar>
              <w:top w:w="90" w:type="dxa"/>
              <w:start w:w="90" w:type="dxa"/>
              <w:bottom w:w="90" w:type="dxa"/>
              <w:end w:w="90" w:type="dxa"/>
            </w:tcMar>
            <w:vAlign w:val="center"/>
            <w:shd w:fill="FFFFFF"/>
          </w:tcPr>
          <w:p>
            <w:pPr>
              <w:spacing w:after="0"/>
            </w:pPr>
            <w:r/>
            <w:r>
              <w:rPr>
                <w:rFonts w:ascii="Aptos" w:hAnsi="Aptos"/>
                <w:b w:val="0"/>
                <w:sz w:val="15"/>
              </w:rPr>
              <w:t>1:05</w:t>
            </w:r>
          </w:p>
        </w:tc>
      </w:tr>
    </w:tbl>
    <w:p>
      <w:pPr>
        <w:spacing w:after="0"/>
      </w:pPr>
    </w:p>
    <w:p>
      <w:pPr>
        <w:pStyle w:val="Heading1"/>
      </w:pPr>
      <w:r>
        <w:t>Chapter 20: Board Presentation Script</w:t>
      </w:r>
    </w:p>
    <w:p>
      <w:pPr>
        <w:pStyle w:val="Heading2"/>
      </w:pPr>
      <w:r>
        <w:t>Slide 1 - From Classroom to Culinary Career</w:t>
      </w:r>
    </w:p>
    <w:p>
      <w:r>
        <w:t>Good evening. Greece already has a strong Culinary Arts foundation. Tonight I am asking the Board to support a coherent next step: connect Culinary 1 and 2, Advanced Culinary, Kitchen Management, The Cottage, and a proposed senior Work-Based Learning course into one three-year competency pathway. The decision is staged. We are asking the Board to endorse the direction, authorize the planning, require a readiness report, and reserve final launch authorization until the required conditions are complete.</w:t>
      </w:r>
    </w:p>
    <w:p>
      <w:pPr>
        <w:pStyle w:val="Heading2"/>
      </w:pPr>
      <w:r>
        <w:t>Slide 2 - Building From Strength</w:t>
      </w:r>
    </w:p>
    <w:p>
      <w:r>
        <w:t>This proposal does not replace the work already occurring. Students already learn safety, sanitation, equipment, production, communication, service, and employability skills. They complete authentic catering and client work. The district already has the Culinary Employability Profile, credentials, technical assessment, community relationships, and The Cottage. The proposal gives those assets one repeatable structure.</w:t>
      </w:r>
    </w:p>
    <w:p>
      <w:pPr>
        <w:pStyle w:val="Heading2"/>
      </w:pPr>
      <w:r>
        <w:t>Slide 3 - The Three-Year Pathway</w:t>
      </w:r>
    </w:p>
    <w:p>
      <w:r>
        <w:t>In Grade 10, Culinary 1 and 2 establish safe kitchen participation, effective kitchen work, and foundational culinary competence. In Grade 11, Advanced Culinary and The Cottage move students into client-centered performance, while Kitchen Management develops leadership, supervision, and career readiness. In Grade 12, eligible students may complete a separate 1.0-credit External Work-Based Learning course in an approved professional setting.</w:t>
      </w:r>
    </w:p>
    <w:p>
      <w:pPr>
        <w:pStyle w:val="Heading2"/>
      </w:pPr>
      <w:r>
        <w:t>Slide 4 - Competency Opens Opportunity</w:t>
      </w:r>
    </w:p>
    <w:p>
      <w:r>
        <w:t>Students do not move forward simply because time has passed. The Culinary Passport records six Gateways. Each Gateway confirms readiness for the next level of responsibility. Experiences provide evidence. Competencies determine progression. The result is clear direction for students, teachers, families, and employers.</w:t>
      </w:r>
    </w:p>
    <w:p>
      <w:pPr>
        <w:pStyle w:val="Heading2"/>
      </w:pPr>
      <w:r>
        <w:t>Slide 5 - Authentic Practice Before External Work</w:t>
      </w:r>
    </w:p>
    <w:p>
      <w:r>
        <w:t>External placement is not the first authentic experience. Advanced Culinary and The Cottage place students in front of real client, production, timing, quality, and service expectations while the district still controls the environment. This is where students demonstrate that they can transfer classroom learning into accountable professional performance.</w:t>
      </w:r>
    </w:p>
    <w:p>
      <w:pPr>
        <w:pStyle w:val="Heading2"/>
      </w:pPr>
      <w:r>
        <w:t>Slide 6 - Kitchen Management Builds Leaders</w:t>
      </w:r>
    </w:p>
    <w:p>
      <w:r>
        <w:t>Kitchen Management is not simply another cooking course. It is the bridge from individual performance to leadership. Students learn to organize work, supervise others, protect standards, manage resources, prepare employment materials, interview, and present professional evidence. Gateway 5 earns External WBL Educational Readiness, or Travel Rights.</w:t>
      </w:r>
    </w:p>
    <w:p>
      <w:pPr>
        <w:pStyle w:val="Heading2"/>
      </w:pPr>
      <w:r>
        <w:t>Slide 7 - The Senior WBL Course</w:t>
      </w:r>
    </w:p>
    <w:p>
      <w:r>
        <w:t>The senior course is proposed as a full-year, 1.0-credit experience through the registered CO-OP model, subject to district and state approval. Students complete 300 verified hours, a portfolio, employer feedback, coordinator evaluation, and a final presentation. Paid and unpaid placements may be approved across culinary, hospitality, retail food, nutrition, product development, events, food systems, and food media. The credentialed coordinator determines the final educational evaluation.</w:t>
      </w:r>
    </w:p>
    <w:p>
      <w:pPr>
        <w:pStyle w:val="Heading2"/>
      </w:pPr>
      <w:r>
        <w:t>Slide 8 - Safe, Supported, and Supervised</w:t>
      </w:r>
    </w:p>
    <w:p>
      <w:r>
        <w:t>Travel Rights do not guarantee a placement. The student, site, duties, schedule, mentor, transportation, support, insurance, safety, agreement, and training plan must all be approved. The district must assign qualified coordination with protected time for employer development, site review, visits, student conferences, records, and intervention. When a condition is not safe, lawful, educationally meaningful, accessible, or supportable, the district pauses or ends the experience.</w:t>
      </w:r>
    </w:p>
    <w:p>
      <w:pPr>
        <w:pStyle w:val="Heading2"/>
      </w:pPr>
      <w:r>
        <w:t>Slide 9 - Resources and Accountability</w:t>
      </w:r>
    </w:p>
    <w:p>
      <w:r>
        <w:t>The largest recurring commitment is qualified coordination. Transportation, student access, records, partner development, legal and insurance review, curriculum, and evaluation must also be planned. A fiscal note will identify existing, one-time, and recurring costs before launch. The Board will receive launch-readiness evidence and an annual report before continuation or expansion. SkillsUSA and a pathway-wide public capstone can be developed as phased opportunities within the same system.</w:t>
      </w:r>
    </w:p>
    <w:p>
      <w:pPr>
        <w:pStyle w:val="Heading2"/>
      </w:pPr>
      <w:r>
        <w:t>Slide 10 - The Decision Requested</w:t>
      </w:r>
    </w:p>
    <w:p>
      <w:r>
        <w:t>The requested action is straightforward: endorse the three-year Culinary Pathway and six-Gateway model; authorize the 2026-27 planning and approval work; require a written launch-readiness report; reserve final authorization until all conditions are complete; and require annual public accountability. This allows the district to move forward with clear direction without pretending unresolved implementation work is already finished.</w:t>
      </w:r>
    </w:p>
    <w:p>
      <w:pPr>
        <w:pStyle w:val="Heading1"/>
      </w:pPr>
      <w:r>
        <w:t>Chapter 21: Anticipated Board Questions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672"/>
            <w:tcMar>
              <w:top w:w="90" w:type="dxa"/>
              <w:start w:w="90" w:type="dxa"/>
              <w:bottom w:w="90" w:type="dxa"/>
              <w:end w:w="90" w:type="dxa"/>
            </w:tcMar>
            <w:vAlign w:val="center"/>
            <w:shd w:fill="1F4E78"/>
          </w:tcPr>
          <w:p>
            <w:pPr>
              <w:spacing w:after="0"/>
            </w:pPr>
            <w:r/>
            <w:r>
              <w:rPr>
                <w:rFonts w:ascii="Aptos" w:hAnsi="Aptos"/>
                <w:b/>
                <w:color w:val="FFFFFF"/>
                <w:sz w:val="17"/>
              </w:rPr>
              <w:t>Question</w:t>
            </w:r>
          </w:p>
        </w:tc>
        <w:tc>
          <w:tcPr>
            <w:tcW w:type="dxa" w:w="6408"/>
            <w:tcMar>
              <w:top w:w="90" w:type="dxa"/>
              <w:start w:w="90" w:type="dxa"/>
              <w:bottom w:w="90" w:type="dxa"/>
              <w:end w:w="90" w:type="dxa"/>
            </w:tcMar>
            <w:vAlign w:val="center"/>
            <w:shd w:fill="1F4E78"/>
          </w:tcPr>
          <w:p>
            <w:pPr>
              <w:spacing w:after="0"/>
            </w:pPr>
            <w:r/>
            <w:r>
              <w:rPr>
                <w:rFonts w:ascii="Aptos" w:hAnsi="Aptos"/>
                <w:b/>
                <w:color w:val="FFFFFF"/>
                <w:sz w:val="17"/>
              </w:rPr>
              <w:t>Concise response</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Is this a new program or a reorganization of existing work?</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It organizes and extends the existing approved Culinary pathway. The primary new instructional component is the proposed senior External WBL course.</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Does Board endorsement guarantee every student a placement?</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No. Students must earn Gateway 5, and every placement must meet site, support, transportation, safety, and capacity standards.</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Why is the senior course separate from the other classes?</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The four school-based courses provide the related technical, professional, client-centered, and leadership preparation. Grade 12 applies that learning through sustained approved workplace practice.</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Why require 300 hours?</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The pathway has adopted 300 verified hours as a non-negotiable course completion threshold. The approved course and registration review will confirm all current requirements before launch.</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Can students use an existing job?</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Yes, when the district approves the site, mentor, duties, schedule, supervision, safety, support, agreement, and training plan.</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Who assigns the grade?</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The credentialed WBL Coordinator determines the final standards-based evaluation using portfolio evidence, workplace performance, employer feedback, coordinator reviews, self-evaluation, and the final presentation.</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What is the primary recurring cost?</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Qualified WBL coordination with sufficient protected time and travel capacity. Transportation and access may also create significant recurring costs depending on student placement needs.</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How will the district protect access?</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Transportation, accommodations, cost barriers, equipment, language access, scheduling, and support are resolved before placement approval. Family transportation is not assumed as the only model.</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What happens when a site is unsafe or low quality?</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The student may stop work and seek help. The district may correct, pause, change, or end the placement and may discontinue the training station.</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When would the course launch?</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No earlier than 2027-28, and only after required approvals and the launch-readiness report are complete.</w:t>
            </w:r>
          </w:p>
        </w:tc>
      </w:tr>
      <w:tr>
        <w:trPr>
          <w:cantSplit w:val="true"/>
        </w:trPr>
        <w:tc>
          <w:tcPr>
            <w:tcW w:type="dxa" w:w="3672"/>
            <w:tcMar>
              <w:top w:w="90" w:type="dxa"/>
              <w:start w:w="90" w:type="dxa"/>
              <w:bottom w:w="90" w:type="dxa"/>
              <w:end w:w="90" w:type="dxa"/>
            </w:tcMar>
            <w:vAlign w:val="center"/>
            <w:shd w:fill="EAF2F8"/>
          </w:tcPr>
          <w:p>
            <w:pPr>
              <w:spacing w:after="0"/>
            </w:pPr>
            <w:r/>
            <w:r>
              <w:rPr>
                <w:rFonts w:ascii="Aptos" w:hAnsi="Aptos"/>
                <w:b w:val="0"/>
                <w:sz w:val="15"/>
              </w:rPr>
              <w:t>Where do SkillsUSA and the public capstone fit?</w:t>
            </w:r>
          </w:p>
        </w:tc>
        <w:tc>
          <w:tcPr>
            <w:tcW w:type="dxa" w:w="6408"/>
            <w:tcMar>
              <w:top w:w="90" w:type="dxa"/>
              <w:start w:w="90" w:type="dxa"/>
              <w:bottom w:w="90" w:type="dxa"/>
              <w:end w:w="90" w:type="dxa"/>
            </w:tcMar>
            <w:vAlign w:val="center"/>
            <w:shd w:fill="EAF2F8"/>
          </w:tcPr>
          <w:p>
            <w:pPr>
              <w:spacing w:after="0"/>
            </w:pPr>
            <w:r/>
            <w:r>
              <w:rPr>
                <w:rFonts w:ascii="Aptos" w:hAnsi="Aptos"/>
                <w:b w:val="0"/>
                <w:sz w:val="15"/>
              </w:rPr>
              <w:t>They are phased leadership and public-demonstration opportunities within the existing pathway. They do not create new Gateways or replace required course evidence.</w:t>
            </w:r>
          </w:p>
        </w:tc>
      </w:tr>
      <w:tr>
        <w:trPr>
          <w:cantSplit w:val="true"/>
        </w:trPr>
        <w:tc>
          <w:tcPr>
            <w:tcW w:type="dxa" w:w="3672"/>
            <w:tcMar>
              <w:top w:w="90" w:type="dxa"/>
              <w:start w:w="90" w:type="dxa"/>
              <w:bottom w:w="90" w:type="dxa"/>
              <w:end w:w="90" w:type="dxa"/>
            </w:tcMar>
            <w:vAlign w:val="center"/>
            <w:shd w:fill="FFFFFF"/>
          </w:tcPr>
          <w:p>
            <w:pPr>
              <w:spacing w:after="0"/>
            </w:pPr>
            <w:r/>
            <w:r>
              <w:rPr>
                <w:rFonts w:ascii="Aptos" w:hAnsi="Aptos"/>
                <w:b w:val="0"/>
                <w:sz w:val="15"/>
              </w:rPr>
              <w:t>How will the Board know whether the program is working?</w:t>
            </w:r>
          </w:p>
        </w:tc>
        <w:tc>
          <w:tcPr>
            <w:tcW w:type="dxa" w:w="6408"/>
            <w:tcMar>
              <w:top w:w="90" w:type="dxa"/>
              <w:start w:w="90" w:type="dxa"/>
              <w:bottom w:w="90" w:type="dxa"/>
              <w:end w:w="90" w:type="dxa"/>
            </w:tcMar>
            <w:vAlign w:val="center"/>
            <w:shd w:fill="FFFFFF"/>
          </w:tcPr>
          <w:p>
            <w:pPr>
              <w:spacing w:after="0"/>
            </w:pPr>
            <w:r/>
            <w:r>
              <w:rPr>
                <w:rFonts w:ascii="Aptos" w:hAnsi="Aptos"/>
                <w:b w:val="0"/>
                <w:sz w:val="15"/>
              </w:rPr>
              <w:t>The Board receives implementation, outcomes, site quality, access, safety, capacity, fiscal, and improvement evidence before continuation or expansion decisions.</w:t>
            </w:r>
          </w:p>
        </w:tc>
      </w:tr>
    </w:tbl>
    <w:p>
      <w:pPr>
        <w:spacing w:after="0"/>
      </w:pPr>
    </w:p>
    <w:p>
      <w:pPr>
        <w:pStyle w:val="PartTitle"/>
      </w:pPr>
      <w:r>
        <w:t>APPENDICES</w:t>
      </w:r>
    </w:p>
    <w:p>
      <w:pPr>
        <w:pStyle w:val="Heading3"/>
      </w:pPr>
      <w:r>
        <w:t>Decision tools and reference materials for district and Board review.</w:t>
      </w:r>
    </w:p>
    <w:p>
      <w:pPr>
        <w:pStyle w:val="Heading1"/>
      </w:pPr>
      <w:r>
        <w:t>Appendix A: One-Page Decision Brief</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Decision element</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Proposed direction</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Educational direction</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A three-year Culinary Pathway connecting four school-based courses, the Culinary Passport, six Gateways, The Cottage, leadership, and senior External WBL.</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Student progression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Grade 10 Gateways 1-3; Grade 11 Gateways 4-5 and Travel Rights; Grade 12 Gateway 6.</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Senior course</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Full-year, 1.0 credit; proposed registered CO-OP model; 300 verified hours; portfolio; evaluations; final presentation.</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Placement access</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Approved paid or unpaid work across culinary, hospitality, food systems, retail food, nutrition, research, product development, events, and food media.</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Primary recurring commitment</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Appropriately credentialed WBL coordination with protected time, travel capacity, and supportable caseload.</w:t>
            </w:r>
          </w:p>
        </w:tc>
      </w:tr>
      <w:tr>
        <w:trPr>
          <w:cantSplit w:val="true"/>
        </w:trPr>
        <w:tc>
          <w:tcPr>
            <w:tcW w:type="dxa" w:w="2880"/>
            <w:tcMar>
              <w:top w:w="90" w:type="dxa"/>
              <w:start w:w="90" w:type="dxa"/>
              <w:bottom w:w="90" w:type="dxa"/>
              <w:end w:w="90" w:type="dxa"/>
            </w:tcMar>
            <w:vAlign w:val="center"/>
            <w:shd w:fill="FFFFFF"/>
          </w:tcPr>
          <w:p>
            <w:pPr>
              <w:spacing w:after="0"/>
            </w:pPr>
            <w:r/>
            <w:r>
              <w:rPr>
                <w:rFonts w:ascii="Aptos" w:hAnsi="Aptos"/>
                <w:b w:val="0"/>
                <w:sz w:val="16"/>
              </w:rPr>
              <w:t>Implementation</w:t>
            </w:r>
          </w:p>
        </w:tc>
        <w:tc>
          <w:tcPr>
            <w:tcW w:type="dxa" w:w="7200"/>
            <w:tcMar>
              <w:top w:w="90" w:type="dxa"/>
              <w:start w:w="90" w:type="dxa"/>
              <w:bottom w:w="90" w:type="dxa"/>
              <w:end w:w="90" w:type="dxa"/>
            </w:tcMar>
            <w:vAlign w:val="center"/>
            <w:shd w:fill="FFFFFF"/>
          </w:tcPr>
          <w:p>
            <w:pPr>
              <w:spacing w:after="0"/>
            </w:pPr>
            <w:r/>
            <w:r>
              <w:rPr>
                <w:rFonts w:ascii="Aptos" w:hAnsi="Aptos"/>
                <w:b w:val="0"/>
                <w:sz w:val="16"/>
              </w:rPr>
              <w:t>2026-27 planning and approval; proposed earliest full cohort 2027-28 after launch-readiness certification and final authorization.</w:t>
            </w:r>
          </w:p>
        </w:tc>
      </w:tr>
      <w:tr>
        <w:trPr>
          <w:cantSplit w:val="true"/>
        </w:trPr>
        <w:tc>
          <w:tcPr>
            <w:tcW w:type="dxa" w:w="2880"/>
            <w:tcMar>
              <w:top w:w="90" w:type="dxa"/>
              <w:start w:w="90" w:type="dxa"/>
              <w:bottom w:w="90" w:type="dxa"/>
              <w:end w:w="90" w:type="dxa"/>
            </w:tcMar>
            <w:vAlign w:val="center"/>
            <w:shd w:fill="EAF2F8"/>
          </w:tcPr>
          <w:p>
            <w:pPr>
              <w:spacing w:after="0"/>
            </w:pPr>
            <w:r/>
            <w:r>
              <w:rPr>
                <w:rFonts w:ascii="Aptos" w:hAnsi="Aptos"/>
                <w:b w:val="0"/>
                <w:sz w:val="16"/>
              </w:rPr>
              <w:t>Board action</w:t>
            </w:r>
          </w:p>
        </w:tc>
        <w:tc>
          <w:tcPr>
            <w:tcW w:type="dxa" w:w="7200"/>
            <w:tcMar>
              <w:top w:w="90" w:type="dxa"/>
              <w:start w:w="90" w:type="dxa"/>
              <w:bottom w:w="90" w:type="dxa"/>
              <w:end w:w="90" w:type="dxa"/>
            </w:tcMar>
            <w:vAlign w:val="center"/>
            <w:shd w:fill="EAF2F8"/>
          </w:tcPr>
          <w:p>
            <w:pPr>
              <w:spacing w:after="0"/>
            </w:pPr>
            <w:r/>
            <w:r>
              <w:rPr>
                <w:rFonts w:ascii="Aptos" w:hAnsi="Aptos"/>
                <w:b w:val="0"/>
                <w:sz w:val="16"/>
              </w:rPr>
              <w:t>Endorse direction; authorize planning; require readiness report; reserve final launch authorization; require annual accountability.</w:t>
            </w:r>
          </w:p>
        </w:tc>
      </w:tr>
    </w:tbl>
    <w:p>
      <w:pPr>
        <w:spacing w:after="0"/>
      </w:pPr>
    </w:p>
    <w:p>
      <w:pPr>
        <w:pStyle w:val="Heading1"/>
      </w:pPr>
      <w:r>
        <w:t>Appendix B: Launch-Readiness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504"/>
            <w:tcMar>
              <w:top w:w="90" w:type="dxa"/>
              <w:start w:w="90" w:type="dxa"/>
              <w:bottom w:w="90" w:type="dxa"/>
              <w:end w:w="90" w:type="dxa"/>
            </w:tcMar>
            <w:vAlign w:val="center"/>
            <w:shd w:fill="1F4E78"/>
          </w:tcPr>
          <w:p>
            <w:pPr>
              <w:spacing w:after="0"/>
            </w:pPr>
            <w:r/>
            <w:r>
              <w:rPr>
                <w:rFonts w:ascii="Aptos" w:hAnsi="Aptos"/>
                <w:b/>
                <w:color w:val="FFFFFF"/>
                <w:sz w:val="17"/>
              </w:rPr>
            </w:r>
          </w:p>
        </w:tc>
        <w:tc>
          <w:tcPr>
            <w:tcW w:type="dxa" w:w="6840"/>
            <w:tcMar>
              <w:top w:w="90" w:type="dxa"/>
              <w:start w:w="90" w:type="dxa"/>
              <w:bottom w:w="90" w:type="dxa"/>
              <w:end w:w="90" w:type="dxa"/>
            </w:tcMar>
            <w:vAlign w:val="center"/>
            <w:shd w:fill="1F4E78"/>
          </w:tcPr>
          <w:p>
            <w:pPr>
              <w:spacing w:after="0"/>
            </w:pPr>
            <w:r/>
            <w:r>
              <w:rPr>
                <w:rFonts w:ascii="Aptos" w:hAnsi="Aptos"/>
                <w:b/>
                <w:color w:val="FFFFFF"/>
                <w:sz w:val="17"/>
              </w:rPr>
              <w:t>Readiness condition</w:t>
            </w:r>
          </w:p>
        </w:tc>
        <w:tc>
          <w:tcPr>
            <w:tcW w:type="dxa" w:w="2736"/>
            <w:tcMar>
              <w:top w:w="90" w:type="dxa"/>
              <w:start w:w="90" w:type="dxa"/>
              <w:bottom w:w="90" w:type="dxa"/>
              <w:end w:w="90" w:type="dxa"/>
            </w:tcMar>
            <w:vAlign w:val="center"/>
            <w:shd w:fill="1F4E78"/>
          </w:tcPr>
          <w:p>
            <w:pPr>
              <w:spacing w:after="0"/>
            </w:pPr>
            <w:r/>
            <w:r>
              <w:rPr>
                <w:rFonts w:ascii="Aptos" w:hAnsi="Aptos"/>
                <w:b/>
                <w:color w:val="FFFFFF"/>
                <w:sz w:val="17"/>
              </w:rPr>
              <w:t>Verification</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Accountable administrator and credentialed WBL Coordinator named.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6"/>
              </w:rPr>
              <w:t>☐</w:t>
            </w:r>
          </w:p>
        </w:tc>
        <w:tc>
          <w:tcPr>
            <w:tcW w:type="dxa" w:w="6840"/>
            <w:tcMar>
              <w:top w:w="90" w:type="dxa"/>
              <w:start w:w="90" w:type="dxa"/>
              <w:bottom w:w="90" w:type="dxa"/>
              <w:end w:w="90" w:type="dxa"/>
            </w:tcMar>
            <w:vAlign w:val="center"/>
            <w:shd w:fill="FFFFFF"/>
          </w:tcPr>
          <w:p>
            <w:pPr>
              <w:spacing w:after="0"/>
            </w:pPr>
            <w:r/>
            <w:r>
              <w:rPr>
                <w:rFonts w:ascii="Aptos" w:hAnsi="Aptos"/>
                <w:b w:val="0"/>
                <w:sz w:val="16"/>
              </w:rPr>
              <w:t>Local course, credit, schedule, related instruction, syllabus, grading, and current state review complete.</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Coordinator protected time, travel, caseload, support, and coverage approved.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6"/>
              </w:rPr>
              <w:t>☐</w:t>
            </w:r>
          </w:p>
        </w:tc>
        <w:tc>
          <w:tcPr>
            <w:tcW w:type="dxa" w:w="6840"/>
            <w:tcMar>
              <w:top w:w="90" w:type="dxa"/>
              <w:start w:w="90" w:type="dxa"/>
              <w:bottom w:w="90" w:type="dxa"/>
              <w:end w:w="90" w:type="dxa"/>
            </w:tcMar>
            <w:vAlign w:val="center"/>
            <w:shd w:fill="FFFFFF"/>
          </w:tcPr>
          <w:p>
            <w:pPr>
              <w:spacing w:after="0"/>
            </w:pPr>
            <w:r/>
            <w:r>
              <w:rPr>
                <w:rFonts w:ascii="Aptos" w:hAnsi="Aptos"/>
                <w:b w:val="0"/>
                <w:sz w:val="16"/>
              </w:rPr>
              <w:t>Student eligibility, Gateway 5, orientation, family information, legal requirements, transportation, and supports complete.</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Each training station, mentor, duties, schedule, supervision, safety, agreement, and training plan approved.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6"/>
              </w:rPr>
              <w:t>☐</w:t>
            </w:r>
          </w:p>
        </w:tc>
        <w:tc>
          <w:tcPr>
            <w:tcW w:type="dxa" w:w="6840"/>
            <w:tcMar>
              <w:top w:w="90" w:type="dxa"/>
              <w:start w:w="90" w:type="dxa"/>
              <w:bottom w:w="90" w:type="dxa"/>
              <w:end w:w="90" w:type="dxa"/>
            </w:tcMar>
            <w:vAlign w:val="center"/>
            <w:shd w:fill="FFFFFF"/>
          </w:tcPr>
          <w:p>
            <w:pPr>
              <w:spacing w:after="0"/>
            </w:pPr>
            <w:r/>
            <w:r>
              <w:rPr>
                <w:rFonts w:ascii="Aptos" w:hAnsi="Aptos"/>
                <w:b w:val="0"/>
                <w:sz w:val="16"/>
              </w:rPr>
              <w:t>Transportation, accommodations, cost supports, equipment, meals, language access, and technology resolved.</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Legal, labor, insurance, emergency, reporting, and stop-work procedures approved.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6"/>
              </w:rPr>
              <w:t>☐</w:t>
            </w:r>
          </w:p>
        </w:tc>
        <w:tc>
          <w:tcPr>
            <w:tcW w:type="dxa" w:w="6840"/>
            <w:tcMar>
              <w:top w:w="90" w:type="dxa"/>
              <w:start w:w="90" w:type="dxa"/>
              <w:bottom w:w="90" w:type="dxa"/>
              <w:end w:w="90" w:type="dxa"/>
            </w:tcMar>
            <w:vAlign w:val="center"/>
            <w:shd w:fill="FFFFFF"/>
          </w:tcPr>
          <w:p>
            <w:pPr>
              <w:spacing w:after="0"/>
            </w:pPr>
            <w:r/>
            <w:r>
              <w:rPr>
                <w:rFonts w:ascii="Aptos" w:hAnsi="Aptos"/>
                <w:b w:val="0"/>
                <w:sz w:val="16"/>
              </w:rPr>
              <w:t>Passport, hours, portfolio, evaluation, incident, privacy, retention, and communication systems approved.</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Fiscal note approved.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FFFFFF"/>
          </w:tcPr>
          <w:p>
            <w:pPr>
              <w:spacing w:after="0"/>
            </w:pPr>
            <w:r/>
            <w:r>
              <w:rPr>
                <w:rFonts w:ascii="Aptos" w:hAnsi="Aptos"/>
                <w:b w:val="0"/>
                <w:sz w:val="16"/>
              </w:rPr>
              <w:t>☐</w:t>
            </w:r>
          </w:p>
        </w:tc>
        <w:tc>
          <w:tcPr>
            <w:tcW w:type="dxa" w:w="6840"/>
            <w:tcMar>
              <w:top w:w="90" w:type="dxa"/>
              <w:start w:w="90" w:type="dxa"/>
              <w:bottom w:w="90" w:type="dxa"/>
              <w:end w:w="90" w:type="dxa"/>
            </w:tcMar>
            <w:vAlign w:val="center"/>
            <w:shd w:fill="FFFFFF"/>
          </w:tcPr>
          <w:p>
            <w:pPr>
              <w:spacing w:after="0"/>
            </w:pPr>
            <w:r/>
            <w:r>
              <w:rPr>
                <w:rFonts w:ascii="Aptos" w:hAnsi="Aptos"/>
                <w:b w:val="0"/>
                <w:sz w:val="16"/>
              </w:rPr>
              <w:t>Accessible student, family, employer, staff, and Board materials approved.</w:t>
            </w:r>
          </w:p>
        </w:tc>
        <w:tc>
          <w:tcPr>
            <w:tcW w:type="dxa" w:w="2736"/>
            <w:tcMar>
              <w:top w:w="90" w:type="dxa"/>
              <w:start w:w="90" w:type="dxa"/>
              <w:bottom w:w="90" w:type="dxa"/>
              <w:end w:w="90" w:type="dxa"/>
            </w:tcMar>
            <w:vAlign w:val="center"/>
            <w:shd w:fill="FFFFFF"/>
          </w:tcPr>
          <w:p>
            <w:pPr>
              <w:spacing w:after="0"/>
            </w:pPr>
            <w:r/>
            <w:r>
              <w:rPr>
                <w:rFonts w:ascii="Aptos" w:hAnsi="Aptos"/>
                <w:b w:val="0"/>
                <w:sz w:val="16"/>
              </w:rPr>
              <w:t>Owner: __________  Date: __________</w:t>
            </w:r>
          </w:p>
        </w:tc>
      </w:tr>
      <w:tr>
        <w:trPr>
          <w:cantSplit w:val="true"/>
        </w:trPr>
        <w:tc>
          <w:tcPr>
            <w:tcW w:type="dxa" w:w="504"/>
            <w:tcMar>
              <w:top w:w="90" w:type="dxa"/>
              <w:start w:w="90" w:type="dxa"/>
              <w:bottom w:w="90" w:type="dxa"/>
              <w:end w:w="90" w:type="dxa"/>
            </w:tcMar>
            <w:vAlign w:val="center"/>
            <w:shd w:fill="EAF2F8"/>
          </w:tcPr>
          <w:p>
            <w:pPr>
              <w:spacing w:after="0"/>
            </w:pPr>
            <w:r/>
            <w:r>
              <w:rPr>
                <w:rFonts w:ascii="Aptos" w:hAnsi="Aptos"/>
                <w:b w:val="0"/>
                <w:sz w:val="16"/>
              </w:rPr>
              <w:t>☐</w:t>
            </w:r>
          </w:p>
        </w:tc>
        <w:tc>
          <w:tcPr>
            <w:tcW w:type="dxa" w:w="6840"/>
            <w:tcMar>
              <w:top w:w="90" w:type="dxa"/>
              <w:start w:w="90" w:type="dxa"/>
              <w:bottom w:w="90" w:type="dxa"/>
              <w:end w:w="90" w:type="dxa"/>
            </w:tcMar>
            <w:vAlign w:val="center"/>
            <w:shd w:fill="EAF2F8"/>
          </w:tcPr>
          <w:p>
            <w:pPr>
              <w:spacing w:after="0"/>
            </w:pPr>
            <w:r/>
            <w:r>
              <w:rPr>
                <w:rFonts w:ascii="Aptos" w:hAnsi="Aptos"/>
                <w:b w:val="0"/>
                <w:sz w:val="16"/>
              </w:rPr>
              <w:t>Launch-readiness report accepted and final launch authorization granted.</w:t>
            </w:r>
          </w:p>
        </w:tc>
        <w:tc>
          <w:tcPr>
            <w:tcW w:type="dxa" w:w="2736"/>
            <w:tcMar>
              <w:top w:w="90" w:type="dxa"/>
              <w:start w:w="90" w:type="dxa"/>
              <w:bottom w:w="90" w:type="dxa"/>
              <w:end w:w="90" w:type="dxa"/>
            </w:tcMar>
            <w:vAlign w:val="center"/>
            <w:shd w:fill="EAF2F8"/>
          </w:tcPr>
          <w:p>
            <w:pPr>
              <w:spacing w:after="0"/>
            </w:pPr>
            <w:r/>
            <w:r>
              <w:rPr>
                <w:rFonts w:ascii="Aptos" w:hAnsi="Aptos"/>
                <w:b w:val="0"/>
                <w:sz w:val="16"/>
              </w:rPr>
              <w:t>Owner: __________  Date: __________</w:t>
            </w:r>
          </w:p>
        </w:tc>
      </w:tr>
    </w:tbl>
    <w:p>
      <w:pPr>
        <w:spacing w:after="0"/>
      </w:pPr>
    </w:p>
    <w:p>
      <w:pPr>
        <w:pStyle w:val="Heading1"/>
      </w:pPr>
      <w:r>
        <w:t>Appendix C: Fiscal Note Worksheet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1944"/>
            <w:tcMar>
              <w:top w:w="90" w:type="dxa"/>
              <w:start w:w="90" w:type="dxa"/>
              <w:bottom w:w="90" w:type="dxa"/>
              <w:end w:w="90" w:type="dxa"/>
            </w:tcMar>
            <w:vAlign w:val="center"/>
            <w:shd w:fill="1F4E78"/>
          </w:tcPr>
          <w:p>
            <w:pPr>
              <w:spacing w:after="0"/>
            </w:pPr>
            <w:r/>
            <w:r>
              <w:rPr>
                <w:rFonts w:ascii="Aptos" w:hAnsi="Aptos"/>
                <w:b/>
                <w:color w:val="FFFFFF"/>
                <w:sz w:val="17"/>
              </w:rPr>
              <w:t>Category</w:t>
            </w:r>
          </w:p>
        </w:tc>
        <w:tc>
          <w:tcPr>
            <w:tcW w:type="dxa" w:w="4968"/>
            <w:tcMar>
              <w:top w:w="90" w:type="dxa"/>
              <w:start w:w="90" w:type="dxa"/>
              <w:bottom w:w="90" w:type="dxa"/>
              <w:end w:w="90" w:type="dxa"/>
            </w:tcMar>
            <w:vAlign w:val="center"/>
            <w:shd w:fill="1F4E78"/>
          </w:tcPr>
          <w:p>
            <w:pPr>
              <w:spacing w:after="0"/>
            </w:pPr>
            <w:r/>
            <w:r>
              <w:rPr>
                <w:rFonts w:ascii="Aptos" w:hAnsi="Aptos"/>
                <w:b/>
                <w:color w:val="FFFFFF"/>
                <w:sz w:val="17"/>
              </w:rPr>
              <w:t>Assumptions / items</w:t>
            </w:r>
          </w:p>
        </w:tc>
        <w:tc>
          <w:tcPr>
            <w:tcW w:type="dxa" w:w="1008"/>
            <w:tcMar>
              <w:top w:w="90" w:type="dxa"/>
              <w:start w:w="90" w:type="dxa"/>
              <w:bottom w:w="90" w:type="dxa"/>
              <w:end w:w="90" w:type="dxa"/>
            </w:tcMar>
            <w:vAlign w:val="center"/>
            <w:shd w:fill="1F4E78"/>
          </w:tcPr>
          <w:p>
            <w:pPr>
              <w:spacing w:after="0"/>
            </w:pPr>
            <w:r/>
            <w:r>
              <w:rPr>
                <w:rFonts w:ascii="Aptos" w:hAnsi="Aptos"/>
                <w:b/>
                <w:color w:val="FFFFFF"/>
                <w:sz w:val="17"/>
              </w:rPr>
              <w:t>Existing</w:t>
            </w:r>
          </w:p>
        </w:tc>
        <w:tc>
          <w:tcPr>
            <w:tcW w:type="dxa" w:w="1008"/>
            <w:tcMar>
              <w:top w:w="90" w:type="dxa"/>
              <w:start w:w="90" w:type="dxa"/>
              <w:bottom w:w="90" w:type="dxa"/>
              <w:end w:w="90" w:type="dxa"/>
            </w:tcMar>
            <w:vAlign w:val="center"/>
            <w:shd w:fill="1F4E78"/>
          </w:tcPr>
          <w:p>
            <w:pPr>
              <w:spacing w:after="0"/>
            </w:pPr>
            <w:r/>
            <w:r>
              <w:rPr>
                <w:rFonts w:ascii="Aptos" w:hAnsi="Aptos"/>
                <w:b/>
                <w:color w:val="FFFFFF"/>
                <w:sz w:val="17"/>
              </w:rPr>
              <w:t>One-time</w:t>
            </w:r>
          </w:p>
        </w:tc>
        <w:tc>
          <w:tcPr>
            <w:tcW w:type="dxa" w:w="1152"/>
            <w:tcMar>
              <w:top w:w="90" w:type="dxa"/>
              <w:start w:w="90" w:type="dxa"/>
              <w:bottom w:w="90" w:type="dxa"/>
              <w:end w:w="90" w:type="dxa"/>
            </w:tcMar>
            <w:vAlign w:val="center"/>
            <w:shd w:fill="1F4E78"/>
          </w:tcPr>
          <w:p>
            <w:pPr>
              <w:spacing w:after="0"/>
            </w:pPr>
            <w:r/>
            <w:r>
              <w:rPr>
                <w:rFonts w:ascii="Aptos" w:hAnsi="Aptos"/>
                <w:b/>
                <w:color w:val="FFFFFF"/>
                <w:sz w:val="17"/>
              </w:rPr>
              <w:t>Recurring</w:t>
            </w:r>
          </w:p>
        </w:tc>
      </w:tr>
      <w:tr>
        <w:trPr>
          <w:cantSplit w:val="true"/>
        </w:trPr>
        <w:tc>
          <w:tcPr>
            <w:tcW w:type="dxa" w:w="1944"/>
            <w:tcMar>
              <w:top w:w="90" w:type="dxa"/>
              <w:start w:w="90" w:type="dxa"/>
              <w:bottom w:w="90" w:type="dxa"/>
              <w:end w:w="90" w:type="dxa"/>
            </w:tcMar>
            <w:vAlign w:val="center"/>
            <w:shd w:fill="EAF2F8"/>
          </w:tcPr>
          <w:p>
            <w:pPr>
              <w:spacing w:after="0"/>
            </w:pPr>
            <w:r/>
            <w:r>
              <w:rPr>
                <w:rFonts w:ascii="Aptos" w:hAnsi="Aptos"/>
                <w:b w:val="0"/>
                <w:sz w:val="15"/>
              </w:rPr>
              <w:t>Personnel</w:t>
            </w:r>
          </w:p>
        </w:tc>
        <w:tc>
          <w:tcPr>
            <w:tcW w:type="dxa" w:w="4968"/>
            <w:tcMar>
              <w:top w:w="90" w:type="dxa"/>
              <w:start w:w="90" w:type="dxa"/>
              <w:bottom w:w="90" w:type="dxa"/>
              <w:end w:w="90" w:type="dxa"/>
            </w:tcMar>
            <w:vAlign w:val="center"/>
            <w:shd w:fill="EAF2F8"/>
          </w:tcPr>
          <w:p>
            <w:pPr>
              <w:spacing w:after="0"/>
            </w:pPr>
            <w:r/>
            <w:r>
              <w:rPr>
                <w:rFonts w:ascii="Aptos" w:hAnsi="Aptos"/>
                <w:b w:val="0"/>
                <w:sz w:val="15"/>
              </w:rPr>
              <w:t>WBL coordination, protected time, course staffing, coverage, clerical support, professional learning, additional assignments.</w:t>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152"/>
            <w:tcMar>
              <w:top w:w="90" w:type="dxa"/>
              <w:start w:w="90" w:type="dxa"/>
              <w:bottom w:w="90" w:type="dxa"/>
              <w:end w:w="90" w:type="dxa"/>
            </w:tcMar>
            <w:vAlign w:val="center"/>
            <w:shd w:fill="EAF2F8"/>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FFFFFF"/>
          </w:tcPr>
          <w:p>
            <w:pPr>
              <w:spacing w:after="0"/>
            </w:pPr>
            <w:r/>
            <w:r>
              <w:rPr>
                <w:rFonts w:ascii="Aptos" w:hAnsi="Aptos"/>
                <w:b w:val="0"/>
                <w:sz w:val="15"/>
              </w:rPr>
              <w:t>Transportation</w:t>
            </w:r>
          </w:p>
        </w:tc>
        <w:tc>
          <w:tcPr>
            <w:tcW w:type="dxa" w:w="4968"/>
            <w:tcMar>
              <w:top w:w="90" w:type="dxa"/>
              <w:start w:w="90" w:type="dxa"/>
              <w:bottom w:w="90" w:type="dxa"/>
              <w:end w:w="90" w:type="dxa"/>
            </w:tcMar>
            <w:vAlign w:val="center"/>
            <w:shd w:fill="FFFFFF"/>
          </w:tcPr>
          <w:p>
            <w:pPr>
              <w:spacing w:after="0"/>
            </w:pPr>
            <w:r/>
            <w:r>
              <w:rPr>
                <w:rFonts w:ascii="Aptos" w:hAnsi="Aptos"/>
                <w:b w:val="0"/>
                <w:sz w:val="15"/>
              </w:rPr>
              <w:t>District vehicle, contract, shared route, mileage, public transit, other approved access.</w:t>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152"/>
            <w:tcMar>
              <w:top w:w="90" w:type="dxa"/>
              <w:start w:w="90" w:type="dxa"/>
              <w:bottom w:w="90" w:type="dxa"/>
              <w:end w:w="90" w:type="dxa"/>
            </w:tcMar>
            <w:vAlign w:val="center"/>
            <w:shd w:fill="FFFFFF"/>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EAF2F8"/>
          </w:tcPr>
          <w:p>
            <w:pPr>
              <w:spacing w:after="0"/>
            </w:pPr>
            <w:r/>
            <w:r>
              <w:rPr>
                <w:rFonts w:ascii="Aptos" w:hAnsi="Aptos"/>
                <w:b w:val="0"/>
                <w:sz w:val="15"/>
              </w:rPr>
              <w:t>Technology and records</w:t>
            </w:r>
          </w:p>
        </w:tc>
        <w:tc>
          <w:tcPr>
            <w:tcW w:type="dxa" w:w="4968"/>
            <w:tcMar>
              <w:top w:w="90" w:type="dxa"/>
              <w:start w:w="90" w:type="dxa"/>
              <w:bottom w:w="90" w:type="dxa"/>
              <w:end w:w="90" w:type="dxa"/>
            </w:tcMar>
            <w:vAlign w:val="center"/>
            <w:shd w:fill="EAF2F8"/>
          </w:tcPr>
          <w:p>
            <w:pPr>
              <w:spacing w:after="0"/>
            </w:pPr>
            <w:r/>
            <w:r>
              <w:rPr>
                <w:rFonts w:ascii="Aptos" w:hAnsi="Aptos"/>
                <w:b w:val="0"/>
                <w:sz w:val="15"/>
              </w:rPr>
              <w:t>Passport, hours, portfolio, forms, storage, devices, licenses, privacy and retention.</w:t>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152"/>
            <w:tcMar>
              <w:top w:w="90" w:type="dxa"/>
              <w:start w:w="90" w:type="dxa"/>
              <w:bottom w:w="90" w:type="dxa"/>
              <w:end w:w="90" w:type="dxa"/>
            </w:tcMar>
            <w:vAlign w:val="center"/>
            <w:shd w:fill="EAF2F8"/>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FFFFFF"/>
          </w:tcPr>
          <w:p>
            <w:pPr>
              <w:spacing w:after="0"/>
            </w:pPr>
            <w:r/>
            <w:r>
              <w:rPr>
                <w:rFonts w:ascii="Aptos" w:hAnsi="Aptos"/>
                <w:b w:val="0"/>
                <w:sz w:val="15"/>
              </w:rPr>
              <w:t>Student access</w:t>
            </w:r>
          </w:p>
        </w:tc>
        <w:tc>
          <w:tcPr>
            <w:tcW w:type="dxa" w:w="4968"/>
            <w:tcMar>
              <w:top w:w="90" w:type="dxa"/>
              <w:start w:w="90" w:type="dxa"/>
              <w:bottom w:w="90" w:type="dxa"/>
              <w:end w:w="90" w:type="dxa"/>
            </w:tcMar>
            <w:vAlign w:val="center"/>
            <w:shd w:fill="FFFFFF"/>
          </w:tcPr>
          <w:p>
            <w:pPr>
              <w:spacing w:after="0"/>
            </w:pPr>
            <w:r/>
            <w:r>
              <w:rPr>
                <w:rFonts w:ascii="Aptos" w:hAnsi="Aptos"/>
                <w:b w:val="0"/>
                <w:sz w:val="15"/>
              </w:rPr>
              <w:t>Uniforms, equipment, credentials, meals, language access, accommodations, other barriers.</w:t>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152"/>
            <w:tcMar>
              <w:top w:w="90" w:type="dxa"/>
              <w:start w:w="90" w:type="dxa"/>
              <w:bottom w:w="90" w:type="dxa"/>
              <w:end w:w="90" w:type="dxa"/>
            </w:tcMar>
            <w:vAlign w:val="center"/>
            <w:shd w:fill="FFFFFF"/>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EAF2F8"/>
          </w:tcPr>
          <w:p>
            <w:pPr>
              <w:spacing w:after="0"/>
            </w:pPr>
            <w:r/>
            <w:r>
              <w:rPr>
                <w:rFonts w:ascii="Aptos" w:hAnsi="Aptos"/>
                <w:b w:val="0"/>
                <w:sz w:val="15"/>
              </w:rPr>
              <w:t>Partner/site development</w:t>
            </w:r>
          </w:p>
        </w:tc>
        <w:tc>
          <w:tcPr>
            <w:tcW w:type="dxa" w:w="4968"/>
            <w:tcMar>
              <w:top w:w="90" w:type="dxa"/>
              <w:start w:w="90" w:type="dxa"/>
              <w:bottom w:w="90" w:type="dxa"/>
              <w:end w:w="90" w:type="dxa"/>
            </w:tcMar>
            <w:vAlign w:val="center"/>
            <w:shd w:fill="EAF2F8"/>
          </w:tcPr>
          <w:p>
            <w:pPr>
              <w:spacing w:after="0"/>
            </w:pPr>
            <w:r/>
            <w:r>
              <w:rPr>
                <w:rFonts w:ascii="Aptos" w:hAnsi="Aptos"/>
                <w:b w:val="0"/>
                <w:sz w:val="15"/>
              </w:rPr>
              <w:t>Outreach, review, orientation, agreements, recognition, renewal, compliance.</w:t>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152"/>
            <w:tcMar>
              <w:top w:w="90" w:type="dxa"/>
              <w:start w:w="90" w:type="dxa"/>
              <w:bottom w:w="90" w:type="dxa"/>
              <w:end w:w="90" w:type="dxa"/>
            </w:tcMar>
            <w:vAlign w:val="center"/>
            <w:shd w:fill="EAF2F8"/>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FFFFFF"/>
          </w:tcPr>
          <w:p>
            <w:pPr>
              <w:spacing w:after="0"/>
            </w:pPr>
            <w:r/>
            <w:r>
              <w:rPr>
                <w:rFonts w:ascii="Aptos" w:hAnsi="Aptos"/>
                <w:b w:val="0"/>
                <w:sz w:val="15"/>
              </w:rPr>
              <w:t>Instruction and credentials</w:t>
            </w:r>
          </w:p>
        </w:tc>
        <w:tc>
          <w:tcPr>
            <w:tcW w:type="dxa" w:w="4968"/>
            <w:tcMar>
              <w:top w:w="90" w:type="dxa"/>
              <w:start w:w="90" w:type="dxa"/>
              <w:bottom w:w="90" w:type="dxa"/>
              <w:end w:w="90" w:type="dxa"/>
            </w:tcMar>
            <w:vAlign w:val="center"/>
            <w:shd w:fill="FFFFFF"/>
          </w:tcPr>
          <w:p>
            <w:pPr>
              <w:spacing w:after="0"/>
            </w:pPr>
            <w:r/>
            <w:r>
              <w:rPr>
                <w:rFonts w:ascii="Aptos" w:hAnsi="Aptos"/>
                <w:b w:val="0"/>
                <w:sz w:val="15"/>
              </w:rPr>
              <w:t>Curriculum development, assessment tools, materials, approved credentials and testing.</w:t>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152"/>
            <w:tcMar>
              <w:top w:w="90" w:type="dxa"/>
              <w:start w:w="90" w:type="dxa"/>
              <w:bottom w:w="90" w:type="dxa"/>
              <w:end w:w="90" w:type="dxa"/>
            </w:tcMar>
            <w:vAlign w:val="center"/>
            <w:shd w:fill="FFFFFF"/>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EAF2F8"/>
          </w:tcPr>
          <w:p>
            <w:pPr>
              <w:spacing w:after="0"/>
            </w:pPr>
            <w:r/>
            <w:r>
              <w:rPr>
                <w:rFonts w:ascii="Aptos" w:hAnsi="Aptos"/>
                <w:b w:val="0"/>
                <w:sz w:val="15"/>
              </w:rPr>
              <w:t>Legal/insurance/risk</w:t>
            </w:r>
          </w:p>
        </w:tc>
        <w:tc>
          <w:tcPr>
            <w:tcW w:type="dxa" w:w="4968"/>
            <w:tcMar>
              <w:top w:w="90" w:type="dxa"/>
              <w:start w:w="90" w:type="dxa"/>
              <w:bottom w:w="90" w:type="dxa"/>
              <w:end w:w="90" w:type="dxa"/>
            </w:tcMar>
            <w:vAlign w:val="center"/>
            <w:shd w:fill="EAF2F8"/>
          </w:tcPr>
          <w:p>
            <w:pPr>
              <w:spacing w:after="0"/>
            </w:pPr>
            <w:r/>
            <w:r>
              <w:rPr>
                <w:rFonts w:ascii="Aptos" w:hAnsi="Aptos"/>
                <w:b w:val="0"/>
                <w:sz w:val="15"/>
              </w:rPr>
              <w:t>Counsel review, insurance, agreements, incident systems, required training.</w:t>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008"/>
            <w:tcMar>
              <w:top w:w="90" w:type="dxa"/>
              <w:start w:w="90" w:type="dxa"/>
              <w:bottom w:w="90" w:type="dxa"/>
              <w:end w:w="90" w:type="dxa"/>
            </w:tcMar>
            <w:vAlign w:val="center"/>
            <w:shd w:fill="EAF2F8"/>
          </w:tcPr>
          <w:p>
            <w:pPr>
              <w:spacing w:after="0"/>
            </w:pPr>
            <w:r/>
            <w:r>
              <w:rPr>
                <w:rFonts w:ascii="Aptos" w:hAnsi="Aptos"/>
                <w:b w:val="0"/>
                <w:sz w:val="15"/>
              </w:rPr>
            </w:r>
          </w:p>
        </w:tc>
        <w:tc>
          <w:tcPr>
            <w:tcW w:type="dxa" w:w="1152"/>
            <w:tcMar>
              <w:top w:w="90" w:type="dxa"/>
              <w:start w:w="90" w:type="dxa"/>
              <w:bottom w:w="90" w:type="dxa"/>
              <w:end w:w="90" w:type="dxa"/>
            </w:tcMar>
            <w:vAlign w:val="center"/>
            <w:shd w:fill="EAF2F8"/>
          </w:tcPr>
          <w:p>
            <w:pPr>
              <w:spacing w:after="0"/>
            </w:pPr>
            <w:r/>
            <w:r>
              <w:rPr>
                <w:rFonts w:ascii="Aptos" w:hAnsi="Aptos"/>
                <w:b w:val="0"/>
                <w:sz w:val="15"/>
              </w:rPr>
            </w:r>
          </w:p>
        </w:tc>
      </w:tr>
      <w:tr>
        <w:trPr>
          <w:cantSplit w:val="true"/>
        </w:trPr>
        <w:tc>
          <w:tcPr>
            <w:tcW w:type="dxa" w:w="1944"/>
            <w:tcMar>
              <w:top w:w="90" w:type="dxa"/>
              <w:start w:w="90" w:type="dxa"/>
              <w:bottom w:w="90" w:type="dxa"/>
              <w:end w:w="90" w:type="dxa"/>
            </w:tcMar>
            <w:vAlign w:val="center"/>
            <w:shd w:fill="FFFFFF"/>
          </w:tcPr>
          <w:p>
            <w:pPr>
              <w:spacing w:after="0"/>
            </w:pPr>
            <w:r/>
            <w:r>
              <w:rPr>
                <w:rFonts w:ascii="Aptos" w:hAnsi="Aptos"/>
                <w:b w:val="0"/>
                <w:sz w:val="15"/>
              </w:rPr>
              <w:t>Evaluation/reporting</w:t>
            </w:r>
          </w:p>
        </w:tc>
        <w:tc>
          <w:tcPr>
            <w:tcW w:type="dxa" w:w="4968"/>
            <w:tcMar>
              <w:top w:w="90" w:type="dxa"/>
              <w:start w:w="90" w:type="dxa"/>
              <w:bottom w:w="90" w:type="dxa"/>
              <w:end w:w="90" w:type="dxa"/>
            </w:tcMar>
            <w:vAlign w:val="center"/>
            <w:shd w:fill="FFFFFF"/>
          </w:tcPr>
          <w:p>
            <w:pPr>
              <w:spacing w:after="0"/>
            </w:pPr>
            <w:r/>
            <w:r>
              <w:rPr>
                <w:rFonts w:ascii="Aptos" w:hAnsi="Aptos"/>
                <w:b w:val="0"/>
                <w:sz w:val="15"/>
              </w:rPr>
              <w:t>Accessible Board materials, surveys, annual review, public reporting.</w:t>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008"/>
            <w:tcMar>
              <w:top w:w="90" w:type="dxa"/>
              <w:start w:w="90" w:type="dxa"/>
              <w:bottom w:w="90" w:type="dxa"/>
              <w:end w:w="90" w:type="dxa"/>
            </w:tcMar>
            <w:vAlign w:val="center"/>
            <w:shd w:fill="FFFFFF"/>
          </w:tcPr>
          <w:p>
            <w:pPr>
              <w:spacing w:after="0"/>
            </w:pPr>
            <w:r/>
            <w:r>
              <w:rPr>
                <w:rFonts w:ascii="Aptos" w:hAnsi="Aptos"/>
                <w:b w:val="0"/>
                <w:sz w:val="15"/>
              </w:rPr>
            </w:r>
          </w:p>
        </w:tc>
        <w:tc>
          <w:tcPr>
            <w:tcW w:type="dxa" w:w="1152"/>
            <w:tcMar>
              <w:top w:w="90" w:type="dxa"/>
              <w:start w:w="90" w:type="dxa"/>
              <w:bottom w:w="90" w:type="dxa"/>
              <w:end w:w="90" w:type="dxa"/>
            </w:tcMar>
            <w:vAlign w:val="center"/>
            <w:shd w:fill="FFFFFF"/>
          </w:tcPr>
          <w:p>
            <w:pPr>
              <w:spacing w:after="0"/>
            </w:pPr>
            <w:r/>
            <w:r>
              <w:rPr>
                <w:rFonts w:ascii="Aptos" w:hAnsi="Aptos"/>
                <w:b w:val="0"/>
                <w:sz w:val="15"/>
              </w:rPr>
            </w:r>
          </w:p>
        </w:tc>
      </w:tr>
    </w:tbl>
    <w:p>
      <w:pPr>
        <w:spacing w:after="0"/>
      </w:pPr>
    </w:p>
    <w:p>
      <w:r>
        <w:t>Fiscal note prepared by: ______________________________    Date: ____________________</w:t>
      </w:r>
    </w:p>
    <w:p>
      <w:r>
        <w:t>Administrative review: ________________________________    Budget year: ______________</w:t>
      </w:r>
    </w:p>
    <w:p>
      <w:pPr>
        <w:pStyle w:val="Heading1"/>
      </w:pPr>
      <w:r>
        <w:t>Appendix D: Presentation and Board Materials Checklist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96"/>
            <w:tcMar>
              <w:top w:w="90" w:type="dxa"/>
              <w:start w:w="90" w:type="dxa"/>
              <w:bottom w:w="90" w:type="dxa"/>
              <w:end w:w="90" w:type="dxa"/>
            </w:tcMar>
            <w:vAlign w:val="center"/>
            <w:shd w:fill="1F4E78"/>
          </w:tcPr>
          <w:p>
            <w:pPr>
              <w:spacing w:after="0"/>
            </w:pPr>
            <w:r/>
            <w:r>
              <w:rPr>
                <w:rFonts w:ascii="Aptos" w:hAnsi="Aptos"/>
                <w:b/>
                <w:color w:val="FFFFFF"/>
                <w:sz w:val="17"/>
              </w:rPr>
              <w:t>Item</w:t>
            </w:r>
          </w:p>
        </w:tc>
        <w:tc>
          <w:tcPr>
            <w:tcW w:type="dxa" w:w="6984"/>
            <w:tcMar>
              <w:top w:w="90" w:type="dxa"/>
              <w:start w:w="90" w:type="dxa"/>
              <w:bottom w:w="90" w:type="dxa"/>
              <w:end w:w="90" w:type="dxa"/>
            </w:tcMar>
            <w:vAlign w:val="center"/>
            <w:shd w:fill="1F4E78"/>
          </w:tcPr>
          <w:p>
            <w:pPr>
              <w:spacing w:after="0"/>
            </w:pPr>
            <w:r/>
            <w:r>
              <w:rPr>
                <w:rFonts w:ascii="Aptos" w:hAnsi="Aptos"/>
                <w:b/>
                <w:color w:val="FFFFFF"/>
                <w:sz w:val="17"/>
              </w:rPr>
              <w:t>Purpose</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Ten-slide Board deck</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Executive presentation based on Chapter 19.</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Speaker script</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Rehearsed 12- to 14-minute delivery based on Chapter 20.</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One-page decision brief</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Appendix A adapted to district format.</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Authentic photographs</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Culinary labs, The Cottage, client service, leadership, credentials, competitions, and approved workplace learning with permissions.</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Three-year pathway graphic</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Grade 10 Culinary 1 and 2; Grade 11 Advanced Culinary and Kitchen Management; Grade 12 Culinary External WBL.</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Six-Gateway graphic</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Gateway 1 through Gateway 6 with brief titles and increasing responsibility.</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Senior-course graphic</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Proposed CO-OP, 1.0 credit, 300 hours, paid or unpaid, portfolio, employer feedback, coordinator evaluation, final presentation.</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Implementation graphic</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2026-27 planning and approval; proposed 2027-28 launch; 2028 first annual review.</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Resource graphic</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Personnel, transportation, access, technology and records, site development, instruction and credentials, legal and insurance, evaluation.</w:t>
            </w:r>
          </w:p>
        </w:tc>
      </w:tr>
      <w:tr>
        <w:trPr>
          <w:cantSplit w:val="true"/>
        </w:trPr>
        <w:tc>
          <w:tcPr>
            <w:tcW w:type="dxa" w:w="3096"/>
            <w:tcMar>
              <w:top w:w="90" w:type="dxa"/>
              <w:start w:w="90" w:type="dxa"/>
              <w:bottom w:w="90" w:type="dxa"/>
              <w:end w:w="90" w:type="dxa"/>
            </w:tcMar>
            <w:vAlign w:val="center"/>
            <w:shd w:fill="FFFFFF"/>
          </w:tcPr>
          <w:p>
            <w:pPr>
              <w:spacing w:after="0"/>
            </w:pPr>
            <w:r/>
            <w:r>
              <w:rPr>
                <w:rFonts w:ascii="Aptos" w:hAnsi="Aptos"/>
                <w:b w:val="0"/>
                <w:sz w:val="16"/>
              </w:rPr>
              <w:t>Supporting materials</w:t>
            </w:r>
          </w:p>
        </w:tc>
        <w:tc>
          <w:tcPr>
            <w:tcW w:type="dxa" w:w="6984"/>
            <w:tcMar>
              <w:top w:w="90" w:type="dxa"/>
              <w:start w:w="90" w:type="dxa"/>
              <w:bottom w:w="90" w:type="dxa"/>
              <w:end w:w="90" w:type="dxa"/>
            </w:tcMar>
            <w:vAlign w:val="center"/>
            <w:shd w:fill="FFFFFF"/>
          </w:tcPr>
          <w:p>
            <w:pPr>
              <w:spacing w:after="0"/>
            </w:pPr>
            <w:r/>
            <w:r>
              <w:rPr>
                <w:rFonts w:ascii="Aptos" w:hAnsi="Aptos"/>
                <w:b w:val="0"/>
                <w:sz w:val="16"/>
              </w:rPr>
              <w:t>Books One through Four, Employability Profile, Skills Map, course documents, proposed resolution, fiscal note, and current official guidance.</w:t>
            </w:r>
          </w:p>
        </w:tc>
      </w:tr>
      <w:tr>
        <w:trPr>
          <w:cantSplit w:val="true"/>
        </w:trPr>
        <w:tc>
          <w:tcPr>
            <w:tcW w:type="dxa" w:w="3096"/>
            <w:tcMar>
              <w:top w:w="90" w:type="dxa"/>
              <w:start w:w="90" w:type="dxa"/>
              <w:bottom w:w="90" w:type="dxa"/>
              <w:end w:w="90" w:type="dxa"/>
            </w:tcMar>
            <w:vAlign w:val="center"/>
            <w:shd w:fill="EAF2F8"/>
          </w:tcPr>
          <w:p>
            <w:pPr>
              <w:spacing w:after="0"/>
            </w:pPr>
            <w:r/>
            <w:r>
              <w:rPr>
                <w:rFonts w:ascii="Aptos" w:hAnsi="Aptos"/>
                <w:b w:val="0"/>
                <w:sz w:val="16"/>
              </w:rPr>
              <w:t>Accessibility review</w:t>
            </w:r>
          </w:p>
        </w:tc>
        <w:tc>
          <w:tcPr>
            <w:tcW w:type="dxa" w:w="6984"/>
            <w:tcMar>
              <w:top w:w="90" w:type="dxa"/>
              <w:start w:w="90" w:type="dxa"/>
              <w:bottom w:w="90" w:type="dxa"/>
              <w:end w:w="90" w:type="dxa"/>
            </w:tcMar>
            <w:vAlign w:val="center"/>
            <w:shd w:fill="EAF2F8"/>
          </w:tcPr>
          <w:p>
            <w:pPr>
              <w:spacing w:after="0"/>
            </w:pPr>
            <w:r/>
            <w:r>
              <w:rPr>
                <w:rFonts w:ascii="Aptos" w:hAnsi="Aptos"/>
                <w:b w:val="0"/>
                <w:sz w:val="16"/>
              </w:rPr>
              <w:t>Readable type, contrast, alt text, captions or transcript, logical reading order, accessible handout, and microphone/audio check.</w:t>
            </w:r>
          </w:p>
        </w:tc>
      </w:tr>
    </w:tbl>
    <w:p>
      <w:pPr>
        <w:spacing w:after="0"/>
      </w:pPr>
    </w:p>
    <w:p>
      <w:pPr>
        <w:pStyle w:val="Heading1"/>
      </w:pPr>
      <w:r>
        <w:t>Appendix E: Supporting Sources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4032"/>
            <w:tcMar>
              <w:top w:w="90" w:type="dxa"/>
              <w:start w:w="90" w:type="dxa"/>
              <w:bottom w:w="90" w:type="dxa"/>
              <w:end w:w="90" w:type="dxa"/>
            </w:tcMar>
            <w:vAlign w:val="center"/>
            <w:shd w:fill="1F4E78"/>
          </w:tcPr>
          <w:p>
            <w:pPr>
              <w:spacing w:after="0"/>
            </w:pPr>
            <w:r/>
            <w:r>
              <w:rPr>
                <w:rFonts w:ascii="Aptos" w:hAnsi="Aptos"/>
                <w:b/>
                <w:color w:val="FFFFFF"/>
                <w:sz w:val="17"/>
              </w:rPr>
              <w:t>Source</w:t>
            </w:r>
          </w:p>
        </w:tc>
        <w:tc>
          <w:tcPr>
            <w:tcW w:type="dxa" w:w="6048"/>
            <w:tcMar>
              <w:top w:w="90" w:type="dxa"/>
              <w:start w:w="90" w:type="dxa"/>
              <w:bottom w:w="90" w:type="dxa"/>
              <w:end w:w="90" w:type="dxa"/>
            </w:tcMar>
            <w:vAlign w:val="center"/>
            <w:shd w:fill="1F4E78"/>
          </w:tcPr>
          <w:p>
            <w:pPr>
              <w:spacing w:after="0"/>
            </w:pPr>
            <w:r/>
            <w:r>
              <w:rPr>
                <w:rFonts w:ascii="Aptos" w:hAnsi="Aptos"/>
                <w:b/>
                <w:color w:val="FFFFFF"/>
                <w:sz w:val="17"/>
              </w:rPr>
              <w:t>Use</w:t>
            </w:r>
          </w:p>
        </w:tc>
      </w:tr>
      <w:tr>
        <w:trPr>
          <w:cantSplit w:val="true"/>
        </w:trPr>
        <w:tc>
          <w:tcPr>
            <w:tcW w:type="dxa" w:w="4032"/>
            <w:tcMar>
              <w:top w:w="90" w:type="dxa"/>
              <w:start w:w="90" w:type="dxa"/>
              <w:bottom w:w="90" w:type="dxa"/>
              <w:end w:w="90" w:type="dxa"/>
            </w:tcMar>
            <w:vAlign w:val="center"/>
            <w:shd w:fill="EAF2F8"/>
          </w:tcPr>
          <w:p>
            <w:pPr>
              <w:spacing w:after="0"/>
            </w:pPr>
            <w:r/>
            <w:r>
              <w:rPr>
                <w:rFonts w:ascii="Aptos" w:hAnsi="Aptos"/>
                <w:b w:val="0"/>
                <w:sz w:val="16"/>
              </w:rPr>
              <w:t>Culinary Pathway Canon, Version 3.0</w:t>
            </w:r>
          </w:p>
        </w:tc>
        <w:tc>
          <w:tcPr>
            <w:tcW w:type="dxa" w:w="6048"/>
            <w:tcMar>
              <w:top w:w="90" w:type="dxa"/>
              <w:start w:w="90" w:type="dxa"/>
              <w:bottom w:w="90" w:type="dxa"/>
              <w:end w:w="90" w:type="dxa"/>
            </w:tcMar>
            <w:vAlign w:val="center"/>
            <w:shd w:fill="EAF2F8"/>
          </w:tcPr>
          <w:p>
            <w:pPr>
              <w:spacing w:after="0"/>
            </w:pPr>
            <w:r/>
            <w:r>
              <w:rPr>
                <w:rFonts w:ascii="Aptos" w:hAnsi="Aptos"/>
                <w:b w:val="0"/>
                <w:sz w:val="16"/>
              </w:rPr>
              <w:t>Authoritative mission, progression, Gateways, Culinary Passport, The Cottage, Kitchen Management, senior WBL, portfolio, evaluation, and governance.</w:t>
            </w:r>
          </w:p>
        </w:tc>
      </w:tr>
      <w:tr>
        <w:trPr>
          <w:cantSplit w:val="true"/>
        </w:trPr>
        <w:tc>
          <w:tcPr>
            <w:tcW w:type="dxa" w:w="4032"/>
            <w:tcMar>
              <w:top w:w="90" w:type="dxa"/>
              <w:start w:w="90" w:type="dxa"/>
              <w:bottom w:w="90" w:type="dxa"/>
              <w:end w:w="90" w:type="dxa"/>
            </w:tcMar>
            <w:vAlign w:val="center"/>
            <w:shd w:fill="FFFFFF"/>
          </w:tcPr>
          <w:p>
            <w:pPr>
              <w:spacing w:after="0"/>
            </w:pPr>
            <w:r/>
            <w:r>
              <w:rPr>
                <w:rFonts w:ascii="Aptos" w:hAnsi="Aptos"/>
                <w:b w:val="0"/>
                <w:sz w:val="16"/>
              </w:rPr>
              <w:t>Culinary Pathway Operating Principles, Version 1.0</w:t>
            </w:r>
          </w:p>
        </w:tc>
        <w:tc>
          <w:tcPr>
            <w:tcW w:type="dxa" w:w="6048"/>
            <w:tcMar>
              <w:top w:w="90" w:type="dxa"/>
              <w:start w:w="90" w:type="dxa"/>
              <w:bottom w:w="90" w:type="dxa"/>
              <w:end w:w="90" w:type="dxa"/>
            </w:tcMar>
            <w:vAlign w:val="center"/>
            <w:shd w:fill="FFFFFF"/>
          </w:tcPr>
          <w:p>
            <w:pPr>
              <w:spacing w:after="0"/>
            </w:pPr>
            <w:r/>
            <w:r>
              <w:rPr>
                <w:rFonts w:ascii="Aptos" w:hAnsi="Aptos"/>
                <w:b w:val="0"/>
                <w:sz w:val="16"/>
              </w:rPr>
              <w:t>Governing culture and implementation commitments.</w:t>
            </w:r>
          </w:p>
        </w:tc>
      </w:tr>
      <w:tr>
        <w:trPr>
          <w:cantSplit w:val="true"/>
        </w:trPr>
        <w:tc>
          <w:tcPr>
            <w:tcW w:type="dxa" w:w="4032"/>
            <w:tcMar>
              <w:top w:w="90" w:type="dxa"/>
              <w:start w:w="90" w:type="dxa"/>
              <w:bottom w:w="90" w:type="dxa"/>
              <w:end w:w="90" w:type="dxa"/>
            </w:tcMar>
            <w:vAlign w:val="center"/>
            <w:shd w:fill="EAF2F8"/>
          </w:tcPr>
          <w:p>
            <w:pPr>
              <w:spacing w:after="0"/>
            </w:pPr>
            <w:r/>
            <w:r>
              <w:rPr>
                <w:rFonts w:ascii="Aptos" w:hAnsi="Aptos"/>
                <w:b w:val="0"/>
                <w:sz w:val="16"/>
              </w:rPr>
              <w:t>Book One: Program Blueprint, Version 4.0 Refined</w:t>
            </w:r>
          </w:p>
        </w:tc>
        <w:tc>
          <w:tcPr>
            <w:tcW w:type="dxa" w:w="6048"/>
            <w:tcMar>
              <w:top w:w="90" w:type="dxa"/>
              <w:start w:w="90" w:type="dxa"/>
              <w:bottom w:w="90" w:type="dxa"/>
              <w:end w:w="90" w:type="dxa"/>
            </w:tcMar>
            <w:vAlign w:val="center"/>
            <w:shd w:fill="EAF2F8"/>
          </w:tcPr>
          <w:p>
            <w:pPr>
              <w:spacing w:after="0"/>
            </w:pPr>
            <w:r/>
            <w:r>
              <w:rPr>
                <w:rFonts w:ascii="Aptos" w:hAnsi="Aptos"/>
                <w:b w:val="0"/>
                <w:sz w:val="16"/>
              </w:rPr>
              <w:t>Public pathway architecture, authentic learning environments, governance, training-station quality, access, and responsible growth.</w:t>
            </w:r>
          </w:p>
        </w:tc>
      </w:tr>
      <w:tr>
        <w:trPr>
          <w:cantSplit w:val="true"/>
        </w:trPr>
        <w:tc>
          <w:tcPr>
            <w:tcW w:type="dxa" w:w="4032"/>
            <w:tcMar>
              <w:top w:w="90" w:type="dxa"/>
              <w:start w:w="90" w:type="dxa"/>
              <w:bottom w:w="90" w:type="dxa"/>
              <w:end w:w="90" w:type="dxa"/>
            </w:tcMar>
            <w:vAlign w:val="center"/>
            <w:shd w:fill="FFFFFF"/>
          </w:tcPr>
          <w:p>
            <w:pPr>
              <w:spacing w:after="0"/>
            </w:pPr>
            <w:r/>
            <w:r>
              <w:rPr>
                <w:rFonts w:ascii="Aptos" w:hAnsi="Aptos"/>
                <w:b w:val="0"/>
                <w:sz w:val="16"/>
              </w:rPr>
              <w:t>Book Two: Assessment, Evaluation &amp; Continuous Improvement, Version 4.0 Refined</w:t>
            </w:r>
          </w:p>
        </w:tc>
        <w:tc>
          <w:tcPr>
            <w:tcW w:type="dxa" w:w="6048"/>
            <w:tcMar>
              <w:top w:w="90" w:type="dxa"/>
              <w:start w:w="90" w:type="dxa"/>
              <w:bottom w:w="90" w:type="dxa"/>
              <w:end w:w="90" w:type="dxa"/>
            </w:tcMar>
            <w:vAlign w:val="center"/>
            <w:shd w:fill="FFFFFF"/>
          </w:tcPr>
          <w:p>
            <w:pPr>
              <w:spacing w:after="0"/>
            </w:pPr>
            <w:r/>
            <w:r>
              <w:rPr>
                <w:rFonts w:ascii="Aptos" w:hAnsi="Aptos"/>
                <w:b w:val="0"/>
                <w:sz w:val="16"/>
              </w:rPr>
              <w:t>Gateway evidence, standards-based evaluation, training-station evaluation, program evaluation, and annual improvement.</w:t>
            </w:r>
          </w:p>
        </w:tc>
      </w:tr>
      <w:tr>
        <w:trPr>
          <w:cantSplit w:val="true"/>
        </w:trPr>
        <w:tc>
          <w:tcPr>
            <w:tcW w:type="dxa" w:w="4032"/>
            <w:tcMar>
              <w:top w:w="90" w:type="dxa"/>
              <w:start w:w="90" w:type="dxa"/>
              <w:bottom w:w="90" w:type="dxa"/>
              <w:end w:w="90" w:type="dxa"/>
            </w:tcMar>
            <w:vAlign w:val="center"/>
            <w:shd w:fill="EAF2F8"/>
          </w:tcPr>
          <w:p>
            <w:pPr>
              <w:spacing w:after="0"/>
            </w:pPr>
            <w:r/>
            <w:r>
              <w:rPr>
                <w:rFonts w:ascii="Aptos" w:hAnsi="Aptos"/>
                <w:b w:val="0"/>
                <w:sz w:val="16"/>
              </w:rPr>
              <w:t>Book Three: Operations Manual, Version 4.0 Refined</w:t>
            </w:r>
          </w:p>
        </w:tc>
        <w:tc>
          <w:tcPr>
            <w:tcW w:type="dxa" w:w="6048"/>
            <w:tcMar>
              <w:top w:w="90" w:type="dxa"/>
              <w:start w:w="90" w:type="dxa"/>
              <w:bottom w:w="90" w:type="dxa"/>
              <w:end w:w="90" w:type="dxa"/>
            </w:tcMar>
            <w:vAlign w:val="center"/>
            <w:shd w:fill="EAF2F8"/>
          </w:tcPr>
          <w:p>
            <w:pPr>
              <w:spacing w:after="0"/>
            </w:pPr>
            <w:r/>
            <w:r>
              <w:rPr>
                <w:rFonts w:ascii="Aptos" w:hAnsi="Aptos"/>
                <w:b w:val="0"/>
                <w:sz w:val="16"/>
              </w:rPr>
              <w:t>Passport procedures, The Cottage, Kitchen Management, External WBL operations, records, communication, safety response, and closeout.</w:t>
            </w:r>
          </w:p>
        </w:tc>
      </w:tr>
      <w:tr>
        <w:trPr>
          <w:cantSplit w:val="true"/>
        </w:trPr>
        <w:tc>
          <w:tcPr>
            <w:tcW w:type="dxa" w:w="4032"/>
            <w:tcMar>
              <w:top w:w="90" w:type="dxa"/>
              <w:start w:w="90" w:type="dxa"/>
              <w:bottom w:w="90" w:type="dxa"/>
              <w:end w:w="90" w:type="dxa"/>
            </w:tcMar>
            <w:vAlign w:val="center"/>
            <w:shd w:fill="FFFFFF"/>
          </w:tcPr>
          <w:p>
            <w:pPr>
              <w:spacing w:after="0"/>
            </w:pPr>
            <w:r/>
            <w:r>
              <w:rPr>
                <w:rFonts w:ascii="Aptos" w:hAnsi="Aptos"/>
                <w:b w:val="0"/>
                <w:sz w:val="16"/>
              </w:rPr>
              <w:t>GCSD Culinary Employability Profile and Culinary Pathway Skills Map</w:t>
            </w:r>
          </w:p>
        </w:tc>
        <w:tc>
          <w:tcPr>
            <w:tcW w:type="dxa" w:w="6048"/>
            <w:tcMar>
              <w:top w:w="90" w:type="dxa"/>
              <w:start w:w="90" w:type="dxa"/>
              <w:bottom w:w="90" w:type="dxa"/>
              <w:end w:w="90" w:type="dxa"/>
            </w:tcMar>
            <w:vAlign w:val="center"/>
            <w:shd w:fill="FFFFFF"/>
          </w:tcPr>
          <w:p>
            <w:pPr>
              <w:spacing w:after="0"/>
            </w:pPr>
            <w:r/>
            <w:r>
              <w:rPr>
                <w:rFonts w:ascii="Aptos" w:hAnsi="Aptos"/>
                <w:b w:val="0"/>
                <w:sz w:val="16"/>
              </w:rPr>
              <w:t>Existing technical and professional evidence.</w:t>
            </w:r>
          </w:p>
        </w:tc>
      </w:tr>
      <w:tr>
        <w:trPr>
          <w:cantSplit w:val="true"/>
        </w:trPr>
        <w:tc>
          <w:tcPr>
            <w:tcW w:type="dxa" w:w="4032"/>
            <w:tcMar>
              <w:top w:w="90" w:type="dxa"/>
              <w:start w:w="90" w:type="dxa"/>
              <w:bottom w:w="90" w:type="dxa"/>
              <w:end w:w="90" w:type="dxa"/>
            </w:tcMar>
            <w:vAlign w:val="center"/>
            <w:shd w:fill="EAF2F8"/>
          </w:tcPr>
          <w:p>
            <w:pPr>
              <w:spacing w:after="0"/>
            </w:pPr>
            <w:r/>
            <w:r>
              <w:rPr>
                <w:rFonts w:ascii="Aptos" w:hAnsi="Aptos"/>
                <w:b w:val="0"/>
                <w:sz w:val="16"/>
              </w:rPr>
              <w:t>Culinary 1 and 2 learning objectives and Advanced Culinary scope and sequence</w:t>
            </w:r>
          </w:p>
        </w:tc>
        <w:tc>
          <w:tcPr>
            <w:tcW w:type="dxa" w:w="6048"/>
            <w:tcMar>
              <w:top w:w="90" w:type="dxa"/>
              <w:start w:w="90" w:type="dxa"/>
              <w:bottom w:w="90" w:type="dxa"/>
              <w:end w:w="90" w:type="dxa"/>
            </w:tcMar>
            <w:vAlign w:val="center"/>
            <w:shd w:fill="EAF2F8"/>
          </w:tcPr>
          <w:p>
            <w:pPr>
              <w:spacing w:after="0"/>
            </w:pPr>
            <w:r/>
            <w:r>
              <w:rPr>
                <w:rFonts w:ascii="Aptos" w:hAnsi="Aptos"/>
                <w:b w:val="0"/>
                <w:sz w:val="16"/>
              </w:rPr>
              <w:t>Existing instructional foundation.</w:t>
            </w:r>
          </w:p>
        </w:tc>
      </w:tr>
      <w:tr>
        <w:trPr>
          <w:cantSplit w:val="true"/>
        </w:trPr>
        <w:tc>
          <w:tcPr>
            <w:tcW w:type="dxa" w:w="4032"/>
            <w:tcMar>
              <w:top w:w="90" w:type="dxa"/>
              <w:start w:w="90" w:type="dxa"/>
              <w:bottom w:w="90" w:type="dxa"/>
              <w:end w:w="90" w:type="dxa"/>
            </w:tcMar>
            <w:vAlign w:val="center"/>
            <w:shd w:fill="FFFFFF"/>
          </w:tcPr>
          <w:p>
            <w:pPr>
              <w:spacing w:after="0"/>
            </w:pPr>
            <w:r/>
            <w:r>
              <w:rPr>
                <w:rFonts w:ascii="Aptos" w:hAnsi="Aptos"/>
                <w:b w:val="0"/>
                <w:sz w:val="16"/>
              </w:rPr>
              <w:t>Current district and official guidance</w:t>
            </w:r>
          </w:p>
        </w:tc>
        <w:tc>
          <w:tcPr>
            <w:tcW w:type="dxa" w:w="6048"/>
            <w:tcMar>
              <w:top w:w="90" w:type="dxa"/>
              <w:start w:w="90" w:type="dxa"/>
              <w:bottom w:w="90" w:type="dxa"/>
              <w:end w:w="90" w:type="dxa"/>
            </w:tcMar>
            <w:vAlign w:val="center"/>
            <w:shd w:fill="FFFFFF"/>
          </w:tcPr>
          <w:p>
            <w:pPr>
              <w:spacing w:after="0"/>
            </w:pPr>
            <w:r/>
            <w:r>
              <w:rPr>
                <w:rFonts w:ascii="Aptos" w:hAnsi="Aptos"/>
                <w:b w:val="0"/>
                <w:sz w:val="16"/>
              </w:rPr>
              <w:t>Current curriculum, labor, legal, insurance, transportation, accessibility, privacy, records, food-safety, and state program requirements control implementation.</w:t>
            </w:r>
          </w:p>
        </w:tc>
      </w:tr>
    </w:tbl>
    <w:p>
      <w:pPr>
        <w:spacing w:after="0"/>
      </w:pPr>
    </w:p>
    <w:p>
      <w:pPr>
        <w:pStyle w:val="Heading1"/>
      </w:pPr>
      <w:r>
        <w:t>Appendix F: Companion Document Map</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112"/>
            <w:tcMar>
              <w:top w:w="90" w:type="dxa"/>
              <w:start w:w="90" w:type="dxa"/>
              <w:bottom w:w="90" w:type="dxa"/>
              <w:end w:w="90" w:type="dxa"/>
            </w:tcMar>
            <w:vAlign w:val="center"/>
            <w:shd w:fill="1F4E78"/>
          </w:tcPr>
          <w:p>
            <w:pPr>
              <w:spacing w:after="0"/>
            </w:pPr>
            <w:r/>
            <w:r>
              <w:rPr>
                <w:rFonts w:ascii="Aptos" w:hAnsi="Aptos"/>
                <w:b/>
                <w:color w:val="FFFFFF"/>
                <w:sz w:val="17"/>
              </w:rPr>
              <w:t>Question</w:t>
            </w:r>
          </w:p>
        </w:tc>
        <w:tc>
          <w:tcPr>
            <w:tcW w:type="dxa" w:w="4968"/>
            <w:tcMar>
              <w:top w:w="90" w:type="dxa"/>
              <w:start w:w="90" w:type="dxa"/>
              <w:bottom w:w="90" w:type="dxa"/>
              <w:end w:w="90" w:type="dxa"/>
            </w:tcMar>
            <w:vAlign w:val="center"/>
            <w:shd w:fill="1F4E78"/>
          </w:tcPr>
          <w:p>
            <w:pPr>
              <w:spacing w:after="0"/>
            </w:pPr>
            <w:r/>
            <w:r>
              <w:rPr>
                <w:rFonts w:ascii="Aptos" w:hAnsi="Aptos"/>
                <w:b/>
                <w:color w:val="FFFFFF"/>
                <w:sz w:val="17"/>
              </w:rPr>
              <w:t>Primary source</w:t>
            </w:r>
          </w:p>
        </w:tc>
      </w:tr>
      <w:tr>
        <w:trPr>
          <w:cantSplit w:val="true"/>
        </w:trPr>
        <w:tc>
          <w:tcPr>
            <w:tcW w:type="dxa" w:w="5112"/>
            <w:tcMar>
              <w:top w:w="90" w:type="dxa"/>
              <w:start w:w="90" w:type="dxa"/>
              <w:bottom w:w="90" w:type="dxa"/>
              <w:end w:w="90" w:type="dxa"/>
            </w:tcMar>
            <w:vAlign w:val="center"/>
            <w:shd w:fill="EAF2F8"/>
          </w:tcPr>
          <w:p>
            <w:pPr>
              <w:spacing w:after="0"/>
            </w:pPr>
            <w:r/>
            <w:r>
              <w:rPr>
                <w:rFonts w:ascii="Aptos" w:hAnsi="Aptos"/>
                <w:b w:val="0"/>
                <w:sz w:val="16"/>
              </w:rPr>
              <w:t>What is the pathway, how do students progress, and which architecture controls?</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Book One: Program Blueprint.</w:t>
            </w:r>
          </w:p>
        </w:tc>
      </w:tr>
      <w:tr>
        <w:trPr>
          <w:cantSplit w:val="true"/>
        </w:trPr>
        <w:tc>
          <w:tcPr>
            <w:tcW w:type="dxa" w:w="5112"/>
            <w:tcMar>
              <w:top w:w="90" w:type="dxa"/>
              <w:start w:w="90" w:type="dxa"/>
              <w:bottom w:w="90" w:type="dxa"/>
              <w:end w:w="90" w:type="dxa"/>
            </w:tcMar>
            <w:vAlign w:val="center"/>
            <w:shd w:fill="FFFFFF"/>
          </w:tcPr>
          <w:p>
            <w:pPr>
              <w:spacing w:after="0"/>
            </w:pPr>
            <w:r/>
            <w:r>
              <w:rPr>
                <w:rFonts w:ascii="Aptos" w:hAnsi="Aptos"/>
                <w:b w:val="0"/>
                <w:sz w:val="16"/>
              </w:rPr>
              <w:t>What evidence is used, how is competency judged, and how are students, sites, and the pathway evaluated?</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Book Two: Assessment, Evaluation &amp; Continuous Improvement.</w:t>
            </w:r>
          </w:p>
        </w:tc>
      </w:tr>
      <w:tr>
        <w:trPr>
          <w:cantSplit w:val="true"/>
        </w:trPr>
        <w:tc>
          <w:tcPr>
            <w:tcW w:type="dxa" w:w="5112"/>
            <w:tcMar>
              <w:top w:w="90" w:type="dxa"/>
              <w:start w:w="90" w:type="dxa"/>
              <w:bottom w:w="90" w:type="dxa"/>
              <w:end w:w="90" w:type="dxa"/>
            </w:tcMar>
            <w:vAlign w:val="center"/>
            <w:shd w:fill="EAF2F8"/>
          </w:tcPr>
          <w:p>
            <w:pPr>
              <w:spacing w:after="0"/>
            </w:pPr>
            <w:r/>
            <w:r>
              <w:rPr>
                <w:rFonts w:ascii="Aptos" w:hAnsi="Aptos"/>
                <w:b w:val="0"/>
                <w:sz w:val="16"/>
              </w:rPr>
              <w:t>Who completes the next step, when, using which approved procedure or record?</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Book Three: Operations Manual.</w:t>
            </w:r>
          </w:p>
        </w:tc>
      </w:tr>
      <w:tr>
        <w:trPr>
          <w:cantSplit w:val="true"/>
        </w:trPr>
        <w:tc>
          <w:tcPr>
            <w:tcW w:type="dxa" w:w="5112"/>
            <w:tcMar>
              <w:top w:w="90" w:type="dxa"/>
              <w:start w:w="90" w:type="dxa"/>
              <w:bottom w:w="90" w:type="dxa"/>
              <w:end w:w="90" w:type="dxa"/>
            </w:tcMar>
            <w:vAlign w:val="center"/>
            <w:shd w:fill="FFFFFF"/>
          </w:tcPr>
          <w:p>
            <w:pPr>
              <w:spacing w:after="0"/>
            </w:pPr>
            <w:r/>
            <w:r>
              <w:rPr>
                <w:rFonts w:ascii="Aptos" w:hAnsi="Aptos"/>
                <w:b w:val="0"/>
                <w:sz w:val="16"/>
              </w:rPr>
              <w:t>What must the Board and district authorize, staff, fund, phase, communicate, or review?</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Book Four: Board Proposal &amp; Implementation Plan.</w:t>
            </w:r>
          </w:p>
        </w:tc>
      </w:tr>
      <w:tr>
        <w:trPr>
          <w:cantSplit w:val="true"/>
        </w:trPr>
        <w:tc>
          <w:tcPr>
            <w:tcW w:type="dxa" w:w="5112"/>
            <w:tcMar>
              <w:top w:w="90" w:type="dxa"/>
              <w:start w:w="90" w:type="dxa"/>
              <w:bottom w:w="90" w:type="dxa"/>
              <w:end w:w="90" w:type="dxa"/>
            </w:tcMar>
            <w:vAlign w:val="center"/>
            <w:shd w:fill="EAF2F8"/>
          </w:tcPr>
          <w:p>
            <w:pPr>
              <w:spacing w:after="0"/>
            </w:pPr>
            <w:r/>
            <w:r>
              <w:rPr>
                <w:rFonts w:ascii="Aptos" w:hAnsi="Aptos"/>
                <w:b w:val="0"/>
                <w:sz w:val="16"/>
              </w:rPr>
              <w:t>Which terms, Gateways, course roles, and philosophies are authoritative?</w:t>
            </w:r>
          </w:p>
        </w:tc>
        <w:tc>
          <w:tcPr>
            <w:tcW w:type="dxa" w:w="4968"/>
            <w:tcMar>
              <w:top w:w="90" w:type="dxa"/>
              <w:start w:w="90" w:type="dxa"/>
              <w:bottom w:w="90" w:type="dxa"/>
              <w:end w:w="90" w:type="dxa"/>
            </w:tcMar>
            <w:vAlign w:val="center"/>
            <w:shd w:fill="EAF2F8"/>
          </w:tcPr>
          <w:p>
            <w:pPr>
              <w:spacing w:after="0"/>
            </w:pPr>
            <w:r/>
            <w:r>
              <w:rPr>
                <w:rFonts w:ascii="Aptos" w:hAnsi="Aptos"/>
                <w:b w:val="0"/>
                <w:sz w:val="16"/>
              </w:rPr>
              <w:t>Culinary Pathway Canon, Version 3.0.</w:t>
            </w:r>
          </w:p>
        </w:tc>
      </w:tr>
      <w:tr>
        <w:trPr>
          <w:cantSplit w:val="true"/>
        </w:trPr>
        <w:tc>
          <w:tcPr>
            <w:tcW w:type="dxa" w:w="5112"/>
            <w:tcMar>
              <w:top w:w="90" w:type="dxa"/>
              <w:start w:w="90" w:type="dxa"/>
              <w:bottom w:w="90" w:type="dxa"/>
              <w:end w:w="90" w:type="dxa"/>
            </w:tcMar>
            <w:vAlign w:val="center"/>
            <w:shd w:fill="FFFFFF"/>
          </w:tcPr>
          <w:p>
            <w:pPr>
              <w:spacing w:after="0"/>
            </w:pPr>
            <w:r/>
            <w:r>
              <w:rPr>
                <w:rFonts w:ascii="Aptos" w:hAnsi="Aptos"/>
                <w:b w:val="0"/>
                <w:sz w:val="16"/>
              </w:rPr>
              <w:t>Which cultural commitments guide judgment and behavior?</w:t>
            </w:r>
          </w:p>
        </w:tc>
        <w:tc>
          <w:tcPr>
            <w:tcW w:type="dxa" w:w="4968"/>
            <w:tcMar>
              <w:top w:w="90" w:type="dxa"/>
              <w:start w:w="90" w:type="dxa"/>
              <w:bottom w:w="90" w:type="dxa"/>
              <w:end w:w="90" w:type="dxa"/>
            </w:tcMar>
            <w:vAlign w:val="center"/>
            <w:shd w:fill="FFFFFF"/>
          </w:tcPr>
          <w:p>
            <w:pPr>
              <w:spacing w:after="0"/>
            </w:pPr>
            <w:r/>
            <w:r>
              <w:rPr>
                <w:rFonts w:ascii="Aptos" w:hAnsi="Aptos"/>
                <w:b w:val="0"/>
                <w:sz w:val="16"/>
              </w:rPr>
              <w:t>Culinary Pathway Operating Principles, Version 1.0.</w:t>
            </w:r>
          </w:p>
        </w:tc>
      </w:tr>
    </w:tbl>
    <w:p>
      <w:pPr>
        <w:spacing w:after="0"/>
      </w:pPr>
    </w:p>
    <w:tbl>
      <w:tblPr>
        <w:tblStyle w:val="TableGrid"/>
        <w:tblW w:type="auto" w:w="0"/>
        <w:jc w:val="center"/>
        <w:tblLook w:firstColumn="1" w:firstRow="1" w:lastColumn="0" w:lastRow="0" w:noHBand="0" w:noVBand="1" w:val="04A0"/>
      </w:tblPr>
      <w:tblGrid>
        <w:gridCol w:w="10166"/>
      </w:tblGrid>
      <w:tr>
        <w:trPr>
          <w:cantSplit w:val="true"/>
        </w:trPr>
        <w:tc>
          <w:tcPr>
            <w:tcW w:type="dxa" w:w="10166"/>
            <w:shd w:fill="E8F5F5"/>
            <w:tcMar>
              <w:top w:w="115" w:type="dxa"/>
              <w:start w:w="130" w:type="dxa"/>
              <w:bottom w:w="115" w:type="dxa"/>
              <w:end w:w="130" w:type="dxa"/>
            </w:tcMar>
          </w:tcPr>
          <w:p>
            <w:pPr>
              <w:spacing w:after="30"/>
            </w:pPr>
            <w:r/>
            <w:r>
              <w:rPr>
                <w:b/>
                <w:color w:val="1C8C8C"/>
                <w:sz w:val="20"/>
              </w:rPr>
              <w:t>Final Board Standard</w:t>
            </w:r>
          </w:p>
          <w:p>
            <w:pPr>
              <w:spacing w:after="0"/>
            </w:pPr>
            <w:r>
              <w:rPr>
                <w:sz w:val="18"/>
              </w:rPr>
              <w:t>Endorse the direction. Authorize the planning. Verify readiness. Launch responsibly. Report the evidence. Expand only when quality can be preserved.</w:t>
            </w:r>
          </w:p>
        </w:tc>
      </w:tr>
    </w:tbl>
    <w:p>
      <w:pPr>
        <w:spacing w:after="0"/>
      </w:pP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Version 4.0 Refined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8"/>
        <w:sz w:val="17"/>
      </w:rPr>
      <w:t>GCSD CULINARY PATHWAY  |  BOOK FOUR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Theme="majorHAnsi" w:eastAsiaTheme="majorEastAsia" w:hAnsiTheme="majorHAnsi" w:cstheme="majorBidi" w:ascii="Aptos" w:hAnsi="Apto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90"/>
      <w:outlineLvl w:val="2"/>
    </w:pPr>
    <w:rPr>
      <w:rFonts w:asciiTheme="majorHAnsi" w:eastAsiaTheme="majorEastAsia" w:hAnsiTheme="majorHAnsi" w:cstheme="majorBidi" w:ascii="Aptos" w:hAnsi="Aptos"/>
      <w:b/>
      <w:bCs/>
      <w:color w:val="1C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90" w:line="240" w:lineRule="auto" w:before="180"/>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pageBreakBefore/>
      <w:spacing w:after="160"/>
    </w:pPr>
    <w:rPr>
      <w:rFonts w:ascii="Aptos Display" w:hAnsi="Aptos Display"/>
      <w:b/>
      <w:color w:val="1F4E78"/>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