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rlito" w:hAnsi="Carlito" w:eastAsia="Carlito"/>
          <w:b/>
          <w:color w:val="2E7D7A"/>
          <w:sz w:val="20"/>
        </w:rPr>
        <w:t>GCSD CULINARY PATHWAY | GOVERNANCE DOCUMENT</w:t>
      </w:r>
    </w:p>
    <w:p>
      <w:pPr>
        <w:spacing w:before="720"/>
        <w:jc w:val="center"/>
      </w:pPr>
      <w:r>
        <w:rPr>
          <w:rFonts w:ascii="Carlito" w:hAnsi="Carlito" w:eastAsia="Carlito"/>
          <w:b/>
          <w:color w:val="183A5A"/>
          <w:sz w:val="62"/>
        </w:rPr>
        <w:t>Culinary Pathway Canon</w:t>
      </w:r>
    </w:p>
    <w:p>
      <w:pPr>
        <w:jc w:val="center"/>
      </w:pPr>
      <w:r>
        <w:rPr>
          <w:rFonts w:ascii="Carlito" w:hAnsi="Carlito" w:eastAsia="Carlito"/>
          <w:b w:val="0"/>
          <w:color w:val="2E7D7A"/>
          <w:sz w:val="32"/>
        </w:rPr>
        <w:t>Architectural Standards and Definitions</w:t>
      </w:r>
    </w:p>
    <w:tbl>
      <w:tblPr>
        <w:tblW w:type="auto" w:w="0"/>
        <w:jc w:val="center"/>
        <w:tblLayout w:type="fixed"/>
        <w:tblLook w:firstColumn="1" w:firstRow="1" w:lastColumn="0" w:lastRow="0" w:noHBand="0" w:noVBand="1" w:val="04A0"/>
      </w:tblPr>
      <w:tblGrid>
        <w:gridCol w:w="6624"/>
      </w:tblGrid>
      <w:tr>
        <w:tc>
          <w:tcPr>
            <w:tcW w:type="dxa" w:w="10080"/>
            <w:shd w:fill="B58B3A"/>
            <w:tcMar>
              <w:top w:w="0" w:type="dxa"/>
              <w:start w:w="0" w:type="dxa"/>
              <w:bottom w:w="0" w:type="dxa"/>
              <w:end w:w="0" w:type="dxa"/>
            </w:tcMar>
          </w:tcPr>
          <w:p>
            <w:r/>
          </w:p>
        </w:tc>
      </w:tr>
    </w:tbl>
    <w:p/>
    <w:tbl>
      <w:tblPr>
        <w:tblW w:type="auto" w:w="0"/>
        <w:jc w:val="center"/>
        <w:tblLayout w:type="fixed"/>
        <w:tblLook w:firstColumn="1" w:firstRow="1" w:lastColumn="0" w:lastRow="0" w:noHBand="0" w:noVBand="1" w:val="04A0"/>
      </w:tblPr>
      <w:tblGrid>
        <w:gridCol w:w="5040"/>
        <w:gridCol w:w="5040"/>
      </w:tblGrid>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Version</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3.0</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Prepared by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Kevin McCann</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Date</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July 2026</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Status</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Planning document; not adopted district policy</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Authority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Authoritative reference for all Culinary Pathway documents</w:t>
            </w:r>
          </w:p>
        </w:tc>
      </w:tr>
    </w:tbl>
    <w:p>
      <w:pPr>
        <w:spacing w:before="720"/>
        <w:jc w:val="center"/>
      </w:pPr>
      <w:r>
        <w:rPr>
          <w:rFonts w:ascii="Carlito" w:hAnsi="Carlito" w:eastAsia="Carlito"/>
          <w:b/>
          <w:color w:val="2E7D7A"/>
          <w:sz w:val="22"/>
        </w:rPr>
        <w:t>Provide clear direction. Inspect what you expect.</w:t>
      </w:r>
    </w:p>
    <w:p>
      <w:pPr>
        <w:jc w:val="center"/>
      </w:pPr>
      <w:r>
        <w:rPr>
          <w:rFonts w:ascii="Carlito" w:hAnsi="Carlito" w:eastAsia="Carlito"/>
          <w:b/>
          <w:color w:val="183A5A"/>
          <w:sz w:val="22"/>
        </w:rPr>
        <w:t>Prepare students. Verify competence. Increase responsibility.</w:t>
      </w:r>
    </w:p>
    <w:p>
      <w:r>
        <w:br w:type="page"/>
      </w:r>
    </w:p>
    <w:p>
      <w:pPr>
        <w:pStyle w:val="Heading1"/>
      </w:pPr>
      <w:r>
        <w:t>Purpose</w:t>
      </w:r>
    </w:p>
    <w:p>
      <w:r>
        <w:t>The Culinary Pathway Canon serves as the authoritative source for terminology, philosophy, and system architecture used throughout all Culinary Pathway documentation. Every published document—including the Blueprint, Assessment Manual, Operations Manual, Board Proposal, website, forms, and future supporting materials—should remain consistent with these definitions.</w:t>
      </w:r>
    </w:p>
    <w:p>
      <w:pPr>
        <w:pStyle w:val="Heading1"/>
      </w:pPr>
      <w:r>
        <w:t>Mission</w:t>
      </w:r>
    </w:p>
    <w:p>
      <w:r>
        <w:t>Develop students through a structured educational continuum that progresses from foundational instruction to authentic professional practice by integrating classroom learning, school-based enterprise, leadership development, and supervised work-based learning.</w:t>
      </w:r>
    </w:p>
    <w:p>
      <w:pPr>
        <w:pStyle w:val="Heading1"/>
      </w:pPr>
      <w:r>
        <w:t>Educational Continuum</w:t>
      </w:r>
    </w:p>
    <w:p>
      <w:r>
        <w:t>The Culinary Pathway is designed as a progressive three-year instructional sequence culminating in a senior-year Work-Based Learning course.</w:t>
      </w:r>
    </w:p>
    <w:p>
      <w:pPr>
        <w:pStyle w:val="Commitment"/>
      </w:pPr>
      <w:r>
        <w:t>Students advance by demonstrating competency, not merely by completing coursework.</w:t>
      </w:r>
    </w:p>
    <w:p>
      <w:pPr>
        <w:pStyle w:val="Heading1"/>
      </w:pPr>
      <w:r>
        <w:t>Pathway Progression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368"/>
            <w:shd w:fill="183A5A"/>
            <w:tcMar>
              <w:top w:w="60" w:type="dxa"/>
              <w:start w:w="70" w:type="dxa"/>
              <w:bottom w:w="60" w:type="dxa"/>
              <w:end w:w="70" w:type="dxa"/>
            </w:tcMar>
          </w:tcPr>
          <w:p>
            <w:r>
              <w:rPr>
                <w:rFonts w:ascii="Carlito" w:hAnsi="Carlito" w:eastAsia="Carlito"/>
                <w:b/>
                <w:color w:val="FFFFFF"/>
                <w:sz w:val="18"/>
              </w:rPr>
              <w:t>Year</w:t>
            </w:r>
          </w:p>
        </w:tc>
        <w:tc>
          <w:tcPr>
            <w:tcW w:type="dxa" w:w="3240"/>
            <w:shd w:fill="183A5A"/>
            <w:tcMar>
              <w:top w:w="60" w:type="dxa"/>
              <w:start w:w="70" w:type="dxa"/>
              <w:bottom w:w="60" w:type="dxa"/>
              <w:end w:w="70" w:type="dxa"/>
            </w:tcMar>
          </w:tcPr>
          <w:p>
            <w:r>
              <w:rPr>
                <w:rFonts w:ascii="Carlito" w:hAnsi="Carlito" w:eastAsia="Carlito"/>
                <w:b/>
                <w:color w:val="FFFFFF"/>
                <w:sz w:val="18"/>
              </w:rPr>
              <w:t>Courses</w:t>
            </w:r>
          </w:p>
        </w:tc>
        <w:tc>
          <w:tcPr>
            <w:tcW w:type="dxa" w:w="3960"/>
            <w:shd w:fill="183A5A"/>
            <w:tcMar>
              <w:top w:w="60" w:type="dxa"/>
              <w:start w:w="70" w:type="dxa"/>
              <w:bottom w:w="60" w:type="dxa"/>
              <w:end w:w="70" w:type="dxa"/>
            </w:tcMar>
          </w:tcPr>
          <w:p>
            <w:r>
              <w:rPr>
                <w:rFonts w:ascii="Carlito" w:hAnsi="Carlito" w:eastAsia="Carlito"/>
                <w:b/>
                <w:color w:val="FFFFFF"/>
                <w:sz w:val="18"/>
              </w:rPr>
              <w:t>Focus</w:t>
            </w:r>
          </w:p>
        </w:tc>
        <w:tc>
          <w:tcPr>
            <w:tcW w:type="dxa" w:w="1800"/>
            <w:shd w:fill="183A5A"/>
            <w:tcMar>
              <w:top w:w="60" w:type="dxa"/>
              <w:start w:w="70" w:type="dxa"/>
              <w:bottom w:w="60" w:type="dxa"/>
              <w:end w:w="70" w:type="dxa"/>
            </w:tcMar>
          </w:tcPr>
          <w:p>
            <w:r>
              <w:rPr>
                <w:rFonts w:ascii="Carlito" w:hAnsi="Carlito" w:eastAsia="Carlito"/>
                <w:b/>
                <w:color w:val="FFFFFF"/>
                <w:sz w:val="18"/>
              </w:rPr>
              <w:t>Passport</w:t>
            </w:r>
          </w:p>
        </w:tc>
      </w:tr>
      <w:tr>
        <w:trPr>
          <w:cantSplit/>
        </w:trPr>
        <w:tc>
          <w:tcPr>
            <w:tcW w:type="dxa" w:w="1368"/>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Grade 10</w:t>
            </w:r>
          </w:p>
        </w:tc>
        <w:tc>
          <w:tcPr>
            <w:tcW w:type="dxa" w:w="324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Culinary 1 and Culinary 2</w:t>
            </w:r>
          </w:p>
        </w:tc>
        <w:tc>
          <w:tcPr>
            <w:tcW w:type="dxa" w:w="396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Safety; kitchen operations; foundational culinary techniques</w:t>
            </w:r>
          </w:p>
        </w:tc>
        <w:tc>
          <w:tcPr>
            <w:tcW w:type="dxa" w:w="180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Gateways 1–3</w:t>
            </w:r>
          </w:p>
        </w:tc>
      </w:tr>
      <w:tr>
        <w:trPr>
          <w:cantSplit/>
        </w:trPr>
        <w:tc>
          <w:tcPr>
            <w:tcW w:type="dxa" w:w="1368"/>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Grade 11</w:t>
            </w:r>
          </w:p>
        </w:tc>
        <w:tc>
          <w:tcPr>
            <w:tcW w:type="dxa" w:w="3240"/>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Advanced Culinary and Kitchen Management</w:t>
            </w:r>
          </w:p>
        </w:tc>
        <w:tc>
          <w:tcPr>
            <w:tcW w:type="dxa" w:w="3960"/>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Client-centered production; leadership; management; career readiness</w:t>
            </w:r>
          </w:p>
        </w:tc>
        <w:tc>
          <w:tcPr>
            <w:tcW w:type="dxa" w:w="1800"/>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Gateways 4–5</w:t>
            </w:r>
          </w:p>
        </w:tc>
      </w:tr>
      <w:tr>
        <w:trPr>
          <w:cantSplit/>
        </w:trPr>
        <w:tc>
          <w:tcPr>
            <w:tcW w:type="dxa" w:w="1368"/>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Grade 12</w:t>
            </w:r>
          </w:p>
        </w:tc>
        <w:tc>
          <w:tcPr>
            <w:tcW w:type="dxa" w:w="324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External Work-Based Learning (1.0 Credit)</w:t>
            </w:r>
          </w:p>
        </w:tc>
        <w:tc>
          <w:tcPr>
            <w:tcW w:type="dxa" w:w="396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Authentic professional employment; career transition; portfolio; reflection</w:t>
            </w:r>
          </w:p>
        </w:tc>
        <w:tc>
          <w:tcPr>
            <w:tcW w:type="dxa" w:w="180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Gateway 6</w:t>
            </w:r>
          </w:p>
        </w:tc>
      </w:tr>
    </w:tbl>
    <w:p>
      <w:pPr>
        <w:pStyle w:val="Heading1"/>
      </w:pPr>
      <w:r>
        <w:t>Six Gateway Model</w:t>
      </w:r>
    </w:p>
    <w:p>
      <w:r>
        <w:t>Students earn progressively greater opportunities by demonstrating competency.</w:t>
      </w:r>
    </w:p>
    <w:p>
      <w:pPr>
        <w:spacing w:before="180" w:after="40"/>
      </w:pPr>
      <w:r>
        <w:rPr>
          <w:rFonts w:ascii="Carlito" w:hAnsi="Carlito" w:eastAsia="Carlito"/>
          <w:b/>
          <w:color w:val="2E7D7A"/>
          <w:sz w:val="24"/>
        </w:rPr>
        <w:t xml:space="preserve">Gateway 1: </w:t>
      </w:r>
      <w:r>
        <w:rPr>
          <w:rFonts w:ascii="Carlito" w:hAnsi="Carlito" w:eastAsia="Carlito"/>
          <w:b/>
          <w:color w:val="183A5A"/>
          <w:sz w:val="24"/>
        </w:rPr>
        <w:t>Cleared for Supervised Kitchen Participation</w:t>
      </w:r>
    </w:p>
    <w:p>
      <w:pPr>
        <w:pStyle w:val="ListBullet"/>
        <w:spacing w:after="30"/>
        <w:ind w:left="360" w:hanging="216"/>
      </w:pPr>
      <w:r>
        <w:rPr>
          <w:rFonts w:ascii="Carlito" w:hAnsi="Carlito" w:eastAsia="Carlito"/>
          <w:color w:val="24323D"/>
          <w:sz w:val="19"/>
        </w:rPr>
        <w:t>Safety</w:t>
      </w:r>
    </w:p>
    <w:p>
      <w:pPr>
        <w:pStyle w:val="ListBullet"/>
        <w:spacing w:after="30"/>
        <w:ind w:left="360" w:hanging="216"/>
      </w:pPr>
      <w:r>
        <w:rPr>
          <w:rFonts w:ascii="Carlito" w:hAnsi="Carlito" w:eastAsia="Carlito"/>
          <w:color w:val="24323D"/>
          <w:sz w:val="19"/>
        </w:rPr>
        <w:t>Sanitation</w:t>
      </w:r>
    </w:p>
    <w:p>
      <w:pPr>
        <w:pStyle w:val="ListBullet"/>
        <w:spacing w:after="30"/>
        <w:ind w:left="360" w:hanging="216"/>
      </w:pPr>
      <w:r>
        <w:rPr>
          <w:rFonts w:ascii="Carlito" w:hAnsi="Carlito" w:eastAsia="Carlito"/>
          <w:color w:val="24323D"/>
          <w:sz w:val="19"/>
        </w:rPr>
        <w:t>Food safety</w:t>
      </w:r>
    </w:p>
    <w:p>
      <w:pPr>
        <w:pStyle w:val="ListBullet"/>
        <w:spacing w:after="30"/>
        <w:ind w:left="360" w:hanging="216"/>
      </w:pPr>
      <w:r>
        <w:rPr>
          <w:rFonts w:ascii="Carlito" w:hAnsi="Carlito" w:eastAsia="Carlito"/>
          <w:color w:val="24323D"/>
          <w:sz w:val="19"/>
        </w:rPr>
        <w:t>Personal hygiene</w:t>
      </w:r>
    </w:p>
    <w:p>
      <w:pPr>
        <w:pStyle w:val="ListBullet"/>
        <w:spacing w:after="30"/>
        <w:ind w:left="360" w:hanging="216"/>
      </w:pPr>
      <w:r>
        <w:rPr>
          <w:rFonts w:ascii="Carlito" w:hAnsi="Carlito" w:eastAsia="Carlito"/>
          <w:color w:val="24323D"/>
          <w:sz w:val="19"/>
        </w:rPr>
        <w:t>Emergency procedures</w:t>
      </w:r>
    </w:p>
    <w:p>
      <w:pPr>
        <w:pStyle w:val="ListBullet"/>
        <w:spacing w:after="30"/>
        <w:ind w:left="360" w:hanging="216"/>
      </w:pPr>
      <w:r>
        <w:rPr>
          <w:rFonts w:ascii="Carlito" w:hAnsi="Carlito" w:eastAsia="Carlito"/>
          <w:color w:val="24323D"/>
          <w:sz w:val="19"/>
        </w:rPr>
        <w:t>Basic equipment safety</w:t>
      </w:r>
    </w:p>
    <w:p>
      <w:pPr>
        <w:pStyle w:val="ListBullet"/>
        <w:spacing w:after="30"/>
        <w:ind w:left="360" w:hanging="216"/>
      </w:pPr>
      <w:r>
        <w:rPr>
          <w:rFonts w:ascii="Carlito" w:hAnsi="Carlito" w:eastAsia="Carlito"/>
          <w:color w:val="24323D"/>
          <w:sz w:val="19"/>
        </w:rPr>
        <w:t>Professional expectations</w:t>
      </w:r>
    </w:p>
    <w:p>
      <w:pPr>
        <w:spacing w:before="180" w:after="40"/>
      </w:pPr>
      <w:r>
        <w:rPr>
          <w:rFonts w:ascii="Carlito" w:hAnsi="Carlito" w:eastAsia="Carlito"/>
          <w:b/>
          <w:color w:val="2E7D7A"/>
          <w:sz w:val="24"/>
        </w:rPr>
        <w:t xml:space="preserve">Gateway 2: </w:t>
      </w:r>
      <w:r>
        <w:rPr>
          <w:rFonts w:ascii="Carlito" w:hAnsi="Carlito" w:eastAsia="Carlito"/>
          <w:b/>
          <w:color w:val="183A5A"/>
          <w:sz w:val="24"/>
        </w:rPr>
        <w:t>Demonstrated Kitchen-Work Readiness</w:t>
      </w:r>
    </w:p>
    <w:p>
      <w:pPr>
        <w:pStyle w:val="ListBullet"/>
        <w:spacing w:after="30"/>
        <w:ind w:left="360" w:hanging="216"/>
      </w:pPr>
      <w:r>
        <w:rPr>
          <w:rFonts w:ascii="Carlito" w:hAnsi="Carlito" w:eastAsia="Carlito"/>
          <w:color w:val="24323D"/>
          <w:sz w:val="19"/>
        </w:rPr>
        <w:t>Mise en place</w:t>
      </w:r>
    </w:p>
    <w:p>
      <w:pPr>
        <w:pStyle w:val="ListBullet"/>
        <w:spacing w:after="30"/>
        <w:ind w:left="360" w:hanging="216"/>
      </w:pPr>
      <w:r>
        <w:rPr>
          <w:rFonts w:ascii="Carlito" w:hAnsi="Carlito" w:eastAsia="Carlito"/>
          <w:color w:val="24323D"/>
          <w:sz w:val="19"/>
        </w:rPr>
        <w:t>Station organization</w:t>
      </w:r>
    </w:p>
    <w:p>
      <w:pPr>
        <w:pStyle w:val="ListBullet"/>
        <w:spacing w:after="30"/>
        <w:ind w:left="360" w:hanging="216"/>
      </w:pPr>
      <w:r>
        <w:rPr>
          <w:rFonts w:ascii="Carlito" w:hAnsi="Carlito" w:eastAsia="Carlito"/>
          <w:color w:val="24323D"/>
          <w:sz w:val="19"/>
        </w:rPr>
        <w:t>Recipe interpretation</w:t>
      </w:r>
    </w:p>
    <w:p>
      <w:pPr>
        <w:pStyle w:val="ListBullet"/>
        <w:spacing w:after="30"/>
        <w:ind w:left="360" w:hanging="216"/>
      </w:pPr>
      <w:r>
        <w:rPr>
          <w:rFonts w:ascii="Carlito" w:hAnsi="Carlito" w:eastAsia="Carlito"/>
          <w:color w:val="24323D"/>
          <w:sz w:val="19"/>
        </w:rPr>
        <w:t>Measuring and scaling</w:t>
      </w:r>
    </w:p>
    <w:p>
      <w:pPr>
        <w:pStyle w:val="ListBullet"/>
        <w:spacing w:after="30"/>
        <w:ind w:left="360" w:hanging="216"/>
      </w:pPr>
      <w:r>
        <w:rPr>
          <w:rFonts w:ascii="Carlito" w:hAnsi="Carlito" w:eastAsia="Carlito"/>
          <w:color w:val="24323D"/>
          <w:sz w:val="19"/>
        </w:rPr>
        <w:t>Knife skills</w:t>
      </w:r>
    </w:p>
    <w:p>
      <w:pPr>
        <w:pStyle w:val="ListBullet"/>
        <w:spacing w:after="30"/>
        <w:ind w:left="360" w:hanging="216"/>
      </w:pPr>
      <w:r>
        <w:rPr>
          <w:rFonts w:ascii="Carlito" w:hAnsi="Carlito" w:eastAsia="Carlito"/>
          <w:color w:val="24323D"/>
          <w:sz w:val="19"/>
        </w:rPr>
        <w:t>Time management</w:t>
      </w:r>
    </w:p>
    <w:p>
      <w:pPr>
        <w:pStyle w:val="ListBullet"/>
        <w:spacing w:after="30"/>
        <w:ind w:left="360" w:hanging="216"/>
      </w:pPr>
      <w:r>
        <w:rPr>
          <w:rFonts w:ascii="Carlito" w:hAnsi="Carlito" w:eastAsia="Carlito"/>
          <w:color w:val="24323D"/>
          <w:sz w:val="19"/>
        </w:rPr>
        <w:t>Team communication</w:t>
      </w:r>
    </w:p>
    <w:p>
      <w:pPr>
        <w:pStyle w:val="ListBullet"/>
        <w:spacing w:after="30"/>
        <w:ind w:left="360" w:hanging="216"/>
      </w:pPr>
      <w:r>
        <w:rPr>
          <w:rFonts w:ascii="Carlito" w:hAnsi="Carlito" w:eastAsia="Carlito"/>
          <w:color w:val="24323D"/>
          <w:sz w:val="19"/>
        </w:rPr>
        <w:t>Kitchen systems</w:t>
      </w:r>
    </w:p>
    <w:p>
      <w:pPr>
        <w:pStyle w:val="ListBullet"/>
        <w:spacing w:after="30"/>
        <w:ind w:left="360" w:hanging="216"/>
      </w:pPr>
      <w:r>
        <w:rPr>
          <w:rFonts w:ascii="Carlito" w:hAnsi="Carlito" w:eastAsia="Carlito"/>
          <w:color w:val="24323D"/>
          <w:sz w:val="19"/>
        </w:rPr>
        <w:t>Cleanup and closing procedures</w:t>
      </w:r>
    </w:p>
    <w:p>
      <w:pPr>
        <w:spacing w:before="180" w:after="40"/>
      </w:pPr>
      <w:r>
        <w:rPr>
          <w:rFonts w:ascii="Carlito" w:hAnsi="Carlito" w:eastAsia="Carlito"/>
          <w:b/>
          <w:color w:val="2E7D7A"/>
          <w:sz w:val="24"/>
        </w:rPr>
        <w:t xml:space="preserve">Gateway 3: </w:t>
      </w:r>
      <w:r>
        <w:rPr>
          <w:rFonts w:ascii="Carlito" w:hAnsi="Carlito" w:eastAsia="Carlito"/>
          <w:b/>
          <w:color w:val="183A5A"/>
          <w:sz w:val="24"/>
        </w:rPr>
        <w:t>Demonstrated Foundational Culinary Competence</w:t>
      </w:r>
    </w:p>
    <w:p>
      <w:pPr>
        <w:keepNext/>
        <w:spacing w:after="40"/>
      </w:pPr>
      <w:r>
        <w:t>Earned throughout Culinary 1 and Culinary 2. Represents readiness to enter Advanced Culinary.</w:t>
      </w:r>
    </w:p>
    <w:p>
      <w:pPr>
        <w:pStyle w:val="ListBullet"/>
        <w:spacing w:after="30"/>
        <w:ind w:left="360" w:hanging="216"/>
      </w:pPr>
      <w:r>
        <w:rPr>
          <w:rFonts w:ascii="Carlito" w:hAnsi="Carlito" w:eastAsia="Carlito"/>
          <w:color w:val="24323D"/>
          <w:sz w:val="19"/>
        </w:rPr>
        <w:t>Culinary techniques</w:t>
      </w:r>
    </w:p>
    <w:p>
      <w:pPr>
        <w:pStyle w:val="ListBullet"/>
        <w:spacing w:after="30"/>
        <w:ind w:left="360" w:hanging="216"/>
      </w:pPr>
      <w:r>
        <w:rPr>
          <w:rFonts w:ascii="Carlito" w:hAnsi="Carlito" w:eastAsia="Carlito"/>
          <w:color w:val="24323D"/>
          <w:sz w:val="19"/>
        </w:rPr>
        <w:t>Ingredient knowledge</w:t>
      </w:r>
    </w:p>
    <w:p>
      <w:pPr>
        <w:pStyle w:val="ListBullet"/>
        <w:spacing w:after="30"/>
        <w:ind w:left="360" w:hanging="216"/>
      </w:pPr>
      <w:r>
        <w:rPr>
          <w:rFonts w:ascii="Carlito" w:hAnsi="Carlito" w:eastAsia="Carlito"/>
          <w:color w:val="24323D"/>
          <w:sz w:val="19"/>
        </w:rPr>
        <w:t>Product quality</w:t>
      </w:r>
    </w:p>
    <w:p>
      <w:pPr>
        <w:pStyle w:val="ListBullet"/>
        <w:spacing w:after="30"/>
        <w:ind w:left="360" w:hanging="216"/>
      </w:pPr>
      <w:r>
        <w:rPr>
          <w:rFonts w:ascii="Carlito" w:hAnsi="Carlito" w:eastAsia="Carlito"/>
          <w:color w:val="24323D"/>
          <w:sz w:val="19"/>
        </w:rPr>
        <w:t>Consistent instructional performance</w:t>
      </w:r>
    </w:p>
    <w:p>
      <w:pPr>
        <w:spacing w:before="180" w:after="40"/>
      </w:pPr>
      <w:r>
        <w:rPr>
          <w:rFonts w:ascii="Carlito" w:hAnsi="Carlito" w:eastAsia="Carlito"/>
          <w:b/>
          <w:color w:val="2E7D7A"/>
          <w:sz w:val="24"/>
        </w:rPr>
        <w:t xml:space="preserve">Gateway 4: </w:t>
      </w:r>
      <w:r>
        <w:rPr>
          <w:rFonts w:ascii="Carlito" w:hAnsi="Carlito" w:eastAsia="Carlito"/>
          <w:b/>
          <w:color w:val="183A5A"/>
          <w:sz w:val="24"/>
        </w:rPr>
        <w:t>Demonstrated Client-Centered Culinary Performance</w:t>
      </w:r>
    </w:p>
    <w:p>
      <w:pPr>
        <w:keepNext/>
        <w:spacing w:after="40"/>
      </w:pPr>
      <w:r>
        <w:t>Earned through Advanced Culinary and The Cottage.</w:t>
      </w:r>
    </w:p>
    <w:p>
      <w:pPr>
        <w:pStyle w:val="ListBullet"/>
        <w:spacing w:after="30"/>
        <w:ind w:left="360" w:hanging="216"/>
      </w:pPr>
      <w:r>
        <w:rPr>
          <w:rFonts w:ascii="Carlito" w:hAnsi="Carlito" w:eastAsia="Carlito"/>
          <w:color w:val="24323D"/>
          <w:sz w:val="19"/>
        </w:rPr>
        <w:t>Authentic production</w:t>
      </w:r>
    </w:p>
    <w:p>
      <w:pPr>
        <w:pStyle w:val="ListBullet"/>
        <w:spacing w:after="30"/>
        <w:ind w:left="360" w:hanging="216"/>
      </w:pPr>
      <w:r>
        <w:rPr>
          <w:rFonts w:ascii="Carlito" w:hAnsi="Carlito" w:eastAsia="Carlito"/>
          <w:color w:val="24323D"/>
          <w:sz w:val="19"/>
        </w:rPr>
        <w:t>Catering</w:t>
      </w:r>
    </w:p>
    <w:p>
      <w:pPr>
        <w:pStyle w:val="ListBullet"/>
        <w:spacing w:after="30"/>
        <w:ind w:left="360" w:hanging="216"/>
      </w:pPr>
      <w:r>
        <w:rPr>
          <w:rFonts w:ascii="Carlito" w:hAnsi="Carlito" w:eastAsia="Carlito"/>
          <w:color w:val="24323D"/>
          <w:sz w:val="19"/>
        </w:rPr>
        <w:t>Client expectations</w:t>
      </w:r>
    </w:p>
    <w:p>
      <w:pPr>
        <w:pStyle w:val="ListBullet"/>
        <w:spacing w:after="30"/>
        <w:ind w:left="360" w:hanging="216"/>
      </w:pPr>
      <w:r>
        <w:rPr>
          <w:rFonts w:ascii="Carlito" w:hAnsi="Carlito" w:eastAsia="Carlito"/>
          <w:color w:val="24323D"/>
          <w:sz w:val="19"/>
        </w:rPr>
        <w:t>Event execution</w:t>
      </w:r>
    </w:p>
    <w:p>
      <w:pPr>
        <w:pStyle w:val="ListBullet"/>
        <w:spacing w:after="30"/>
        <w:ind w:left="360" w:hanging="216"/>
      </w:pPr>
      <w:r>
        <w:rPr>
          <w:rFonts w:ascii="Carlito" w:hAnsi="Carlito" w:eastAsia="Carlito"/>
          <w:color w:val="24323D"/>
          <w:sz w:val="19"/>
        </w:rPr>
        <w:t>Quality control</w:t>
      </w:r>
    </w:p>
    <w:p>
      <w:pPr>
        <w:pStyle w:val="ListBullet"/>
        <w:spacing w:after="30"/>
        <w:ind w:left="360" w:hanging="216"/>
      </w:pPr>
      <w:r>
        <w:rPr>
          <w:rFonts w:ascii="Carlito" w:hAnsi="Carlito" w:eastAsia="Carlito"/>
          <w:color w:val="24323D"/>
          <w:sz w:val="19"/>
        </w:rPr>
        <w:t>Professional service</w:t>
      </w:r>
    </w:p>
    <w:p>
      <w:pPr>
        <w:spacing w:before="180" w:after="40"/>
      </w:pPr>
      <w:r>
        <w:rPr>
          <w:rFonts w:ascii="Carlito" w:hAnsi="Carlito" w:eastAsia="Carlito"/>
          <w:b/>
          <w:color w:val="2E7D7A"/>
          <w:sz w:val="24"/>
        </w:rPr>
        <w:t xml:space="preserve">Gateway 5: </w:t>
      </w:r>
      <w:r>
        <w:rPr>
          <w:rFonts w:ascii="Carlito" w:hAnsi="Carlito" w:eastAsia="Carlito"/>
          <w:b/>
          <w:color w:val="183A5A"/>
          <w:sz w:val="24"/>
        </w:rPr>
        <w:t>Professional, Leadership, and Career Readiness</w:t>
      </w:r>
    </w:p>
    <w:p>
      <w:pPr>
        <w:keepNext/>
        <w:spacing w:after="40"/>
      </w:pPr>
      <w:r>
        <w:t>Earned through Kitchen Management. Completion earns External WBL Educational Readiness. Student-facing terminology: Travel Rights.</w:t>
      </w:r>
    </w:p>
    <w:p>
      <w:pPr>
        <w:pStyle w:val="ListBullet"/>
        <w:spacing w:after="30"/>
        <w:ind w:left="360" w:hanging="216"/>
      </w:pPr>
      <w:r>
        <w:rPr>
          <w:rFonts w:ascii="Carlito" w:hAnsi="Carlito" w:eastAsia="Carlito"/>
          <w:color w:val="24323D"/>
          <w:sz w:val="19"/>
        </w:rPr>
        <w:t>Leadership</w:t>
      </w:r>
    </w:p>
    <w:p>
      <w:pPr>
        <w:pStyle w:val="ListBullet"/>
        <w:spacing w:after="30"/>
        <w:ind w:left="360" w:hanging="216"/>
      </w:pPr>
      <w:r>
        <w:rPr>
          <w:rFonts w:ascii="Carlito" w:hAnsi="Carlito" w:eastAsia="Carlito"/>
          <w:color w:val="24323D"/>
          <w:sz w:val="19"/>
        </w:rPr>
        <w:t>Kitchen management</w:t>
      </w:r>
    </w:p>
    <w:p>
      <w:pPr>
        <w:pStyle w:val="ListBullet"/>
        <w:spacing w:after="30"/>
        <w:ind w:left="360" w:hanging="216"/>
      </w:pPr>
      <w:r>
        <w:rPr>
          <w:rFonts w:ascii="Carlito" w:hAnsi="Carlito" w:eastAsia="Carlito"/>
          <w:color w:val="24323D"/>
          <w:sz w:val="19"/>
        </w:rPr>
        <w:t>Supervision</w:t>
      </w:r>
    </w:p>
    <w:p>
      <w:pPr>
        <w:pStyle w:val="ListBullet"/>
        <w:spacing w:after="30"/>
        <w:ind w:left="360" w:hanging="216"/>
      </w:pPr>
      <w:r>
        <w:rPr>
          <w:rFonts w:ascii="Carlito" w:hAnsi="Carlito" w:eastAsia="Carlito"/>
          <w:color w:val="24323D"/>
          <w:sz w:val="19"/>
        </w:rPr>
        <w:t>Employment preparation</w:t>
      </w:r>
    </w:p>
    <w:p>
      <w:pPr>
        <w:pStyle w:val="ListBullet"/>
        <w:spacing w:after="30"/>
        <w:ind w:left="360" w:hanging="216"/>
      </w:pPr>
      <w:r>
        <w:rPr>
          <w:rFonts w:ascii="Carlito" w:hAnsi="Carlito" w:eastAsia="Carlito"/>
          <w:color w:val="24323D"/>
          <w:sz w:val="19"/>
        </w:rPr>
        <w:t>Résumé</w:t>
      </w:r>
    </w:p>
    <w:p>
      <w:pPr>
        <w:pStyle w:val="ListBullet"/>
        <w:spacing w:after="30"/>
        <w:ind w:left="360" w:hanging="216"/>
      </w:pPr>
      <w:r>
        <w:rPr>
          <w:rFonts w:ascii="Carlito" w:hAnsi="Carlito" w:eastAsia="Carlito"/>
          <w:color w:val="24323D"/>
          <w:sz w:val="19"/>
        </w:rPr>
        <w:t>Portfolio</w:t>
      </w:r>
    </w:p>
    <w:p>
      <w:pPr>
        <w:pStyle w:val="ListBullet"/>
        <w:spacing w:after="30"/>
        <w:ind w:left="360" w:hanging="216"/>
      </w:pPr>
      <w:r>
        <w:rPr>
          <w:rFonts w:ascii="Carlito" w:hAnsi="Carlito" w:eastAsia="Carlito"/>
          <w:color w:val="24323D"/>
          <w:sz w:val="19"/>
        </w:rPr>
        <w:t>Interview skills</w:t>
      </w:r>
    </w:p>
    <w:p>
      <w:pPr>
        <w:pStyle w:val="ListBullet"/>
        <w:spacing w:after="30"/>
        <w:ind w:left="360" w:hanging="216"/>
      </w:pPr>
      <w:r>
        <w:rPr>
          <w:rFonts w:ascii="Carlito" w:hAnsi="Carlito" w:eastAsia="Carlito"/>
          <w:color w:val="24323D"/>
          <w:sz w:val="19"/>
        </w:rPr>
        <w:t>Career readiness</w:t>
      </w:r>
    </w:p>
    <w:p>
      <w:pPr>
        <w:spacing w:before="180" w:after="40"/>
      </w:pPr>
      <w:r>
        <w:rPr>
          <w:rFonts w:ascii="Carlito" w:hAnsi="Carlito" w:eastAsia="Carlito"/>
          <w:b/>
          <w:color w:val="2E7D7A"/>
          <w:sz w:val="24"/>
        </w:rPr>
        <w:t xml:space="preserve">Gateway 6: </w:t>
      </w:r>
      <w:r>
        <w:rPr>
          <w:rFonts w:ascii="Carlito" w:hAnsi="Carlito" w:eastAsia="Carlito"/>
          <w:b/>
          <w:color w:val="183A5A"/>
          <w:sz w:val="24"/>
        </w:rPr>
        <w:t>Completed Authentic Workplace Learning</w:t>
      </w:r>
    </w:p>
    <w:p>
      <w:pPr>
        <w:keepNext/>
        <w:spacing w:after="40"/>
      </w:pPr>
      <w:r>
        <w:t>Earned through the Senior Work-Based Learning Course. Represents successful transfer of pathway competencies into professional practice.</w:t>
      </w:r>
    </w:p>
    <w:p>
      <w:pPr>
        <w:pStyle w:val="ListBullet"/>
        <w:spacing w:after="30"/>
        <w:ind w:left="360" w:hanging="216"/>
      </w:pPr>
      <w:r>
        <w:rPr>
          <w:rFonts w:ascii="Carlito" w:hAnsi="Carlito" w:eastAsia="Carlito"/>
          <w:color w:val="24323D"/>
          <w:sz w:val="19"/>
        </w:rPr>
        <w:t>300 verified workplace hours</w:t>
      </w:r>
    </w:p>
    <w:p>
      <w:pPr>
        <w:pStyle w:val="ListBullet"/>
        <w:spacing w:after="30"/>
        <w:ind w:left="360" w:hanging="216"/>
      </w:pPr>
      <w:r>
        <w:rPr>
          <w:rFonts w:ascii="Carlito" w:hAnsi="Carlito" w:eastAsia="Carlito"/>
          <w:color w:val="24323D"/>
          <w:sz w:val="19"/>
        </w:rPr>
        <w:t>Completed portfolio</w:t>
      </w:r>
    </w:p>
    <w:p>
      <w:pPr>
        <w:pStyle w:val="ListBullet"/>
        <w:spacing w:after="30"/>
        <w:ind w:left="360" w:hanging="216"/>
      </w:pPr>
      <w:r>
        <w:rPr>
          <w:rFonts w:ascii="Carlito" w:hAnsi="Carlito" w:eastAsia="Carlito"/>
          <w:color w:val="24323D"/>
          <w:sz w:val="19"/>
        </w:rPr>
        <w:t>Employer evaluation</w:t>
      </w:r>
    </w:p>
    <w:p>
      <w:pPr>
        <w:pStyle w:val="ListBullet"/>
        <w:spacing w:after="30"/>
        <w:ind w:left="360" w:hanging="216"/>
      </w:pPr>
      <w:r>
        <w:rPr>
          <w:rFonts w:ascii="Carlito" w:hAnsi="Carlito" w:eastAsia="Carlito"/>
          <w:color w:val="24323D"/>
          <w:sz w:val="19"/>
        </w:rPr>
        <w:t>Coordinator evaluation</w:t>
      </w:r>
    </w:p>
    <w:p>
      <w:pPr>
        <w:pStyle w:val="ListBullet"/>
        <w:spacing w:after="30"/>
        <w:ind w:left="360" w:hanging="216"/>
      </w:pPr>
      <w:r>
        <w:rPr>
          <w:rFonts w:ascii="Carlito" w:hAnsi="Carlito" w:eastAsia="Carlito"/>
          <w:color w:val="24323D"/>
          <w:sz w:val="19"/>
        </w:rPr>
        <w:t>Final presentation</w:t>
      </w:r>
    </w:p>
    <w:p>
      <w:pPr>
        <w:pStyle w:val="Heading1"/>
      </w:pPr>
      <w:r>
        <w:t>Culinary Passport</w:t>
      </w:r>
    </w:p>
    <w:p>
      <w:r>
        <w:t>The Culinary Passport is the student's official competency record. It documents demonstrated mastery rather than course completion.</w:t>
      </w:r>
    </w:p>
    <w:p>
      <w:r>
        <w:t>The Passport serves as:</w:t>
      </w:r>
    </w:p>
    <w:p>
      <w:pPr>
        <w:pStyle w:val="ListBullet"/>
        <w:spacing w:after="30"/>
        <w:ind w:left="360" w:hanging="216"/>
      </w:pPr>
      <w:r>
        <w:rPr>
          <w:rFonts w:ascii="Carlito" w:hAnsi="Carlito" w:eastAsia="Carlito"/>
          <w:color w:val="24323D"/>
          <w:sz w:val="21"/>
        </w:rPr>
        <w:t>Competency record</w:t>
      </w:r>
    </w:p>
    <w:p>
      <w:pPr>
        <w:pStyle w:val="ListBullet"/>
        <w:spacing w:after="30"/>
        <w:ind w:left="360" w:hanging="216"/>
      </w:pPr>
      <w:r>
        <w:rPr>
          <w:rFonts w:ascii="Carlito" w:hAnsi="Carlito" w:eastAsia="Carlito"/>
          <w:color w:val="24323D"/>
          <w:sz w:val="21"/>
        </w:rPr>
        <w:t>Progression record</w:t>
      </w:r>
    </w:p>
    <w:p>
      <w:pPr>
        <w:pStyle w:val="ListBullet"/>
        <w:spacing w:after="30"/>
        <w:ind w:left="360" w:hanging="216"/>
      </w:pPr>
      <w:r>
        <w:rPr>
          <w:rFonts w:ascii="Carlito" w:hAnsi="Carlito" w:eastAsia="Carlito"/>
          <w:color w:val="24323D"/>
          <w:sz w:val="21"/>
        </w:rPr>
        <w:t>Articulation document</w:t>
      </w:r>
    </w:p>
    <w:p>
      <w:pPr>
        <w:pStyle w:val="ListBullet"/>
        <w:spacing w:after="30"/>
        <w:ind w:left="360" w:hanging="216"/>
      </w:pPr>
      <w:r>
        <w:rPr>
          <w:rFonts w:ascii="Carlito" w:hAnsi="Carlito" w:eastAsia="Carlito"/>
          <w:color w:val="24323D"/>
          <w:sz w:val="21"/>
        </w:rPr>
        <w:t>Instructional planning document</w:t>
      </w:r>
    </w:p>
    <w:p>
      <w:pPr>
        <w:pStyle w:val="ListBullet"/>
        <w:spacing w:after="30"/>
        <w:ind w:left="360" w:hanging="216"/>
      </w:pPr>
      <w:r>
        <w:rPr>
          <w:rFonts w:ascii="Carlito" w:hAnsi="Carlito" w:eastAsia="Carlito"/>
          <w:color w:val="24323D"/>
          <w:sz w:val="21"/>
        </w:rPr>
        <w:t>Readiness verification system</w:t>
      </w:r>
    </w:p>
    <w:p>
      <w:pPr>
        <w:pStyle w:val="ListBullet"/>
        <w:spacing w:after="30"/>
        <w:ind w:left="360" w:hanging="216"/>
      </w:pPr>
      <w:r>
        <w:rPr>
          <w:rFonts w:ascii="Carlito" w:hAnsi="Carlito" w:eastAsia="Carlito"/>
          <w:color w:val="24323D"/>
          <w:sz w:val="21"/>
        </w:rPr>
        <w:t>Student motivation system</w:t>
      </w:r>
    </w:p>
    <w:p>
      <w:pPr>
        <w:pStyle w:val="Heading1"/>
      </w:pPr>
      <w:r>
        <w:t>Competency Philosophy</w:t>
      </w:r>
    </w:p>
    <w:p>
      <w:pPr>
        <w:pStyle w:val="Commitment"/>
      </w:pPr>
      <w:r>
        <w:t>Students advance by demonstrating competency.</w:t>
      </w:r>
    </w:p>
    <w:p>
      <w:pPr>
        <w:pStyle w:val="Commitment"/>
      </w:pPr>
      <w:r>
        <w:t>Experiences provide evidence.</w:t>
      </w:r>
    </w:p>
    <w:p>
      <w:pPr>
        <w:pStyle w:val="Commitment"/>
      </w:pPr>
      <w:r>
        <w:t>Competencies determine progression.</w:t>
      </w:r>
    </w:p>
    <w:p>
      <w:pPr>
        <w:pStyle w:val="Heading1"/>
      </w:pPr>
      <w:r>
        <w:t>Assessment Philosophy</w:t>
      </w:r>
    </w:p>
    <w:p>
      <w:pPr>
        <w:pStyle w:val="Commitment"/>
      </w:pPr>
      <w:r>
        <w:t>Assessment exists to verify learning.</w:t>
      </w:r>
    </w:p>
    <w:p>
      <w:pPr>
        <w:pStyle w:val="Commitment"/>
      </w:pPr>
      <w:r>
        <w:t>Paperwork documents learning.</w:t>
      </w:r>
    </w:p>
    <w:p>
      <w:pPr>
        <w:pStyle w:val="Commitment"/>
      </w:pPr>
      <w:r>
        <w:t>Paperwork is not the learning.</w:t>
      </w:r>
    </w:p>
    <w:p>
      <w:pPr>
        <w:pStyle w:val="Heading1"/>
      </w:pPr>
      <w:r>
        <w:t>Completion Levels</w:t>
      </w:r>
    </w:p>
    <w:tbl>
      <w:tblPr>
        <w:tblW w:type="auto" w:w="0"/>
        <w:jc w:val="center"/>
        <w:tblLayout w:type="fixed"/>
        <w:tblLook w:firstColumn="1" w:firstRow="1" w:lastColumn="0" w:lastRow="0" w:noHBand="0" w:noVBand="1" w:val="04A0"/>
      </w:tblPr>
      <w:tblGrid>
        <w:gridCol w:w="5040"/>
        <w:gridCol w:w="5040"/>
      </w:tblGrid>
      <w:tr>
        <w:tc>
          <w:tcPr>
            <w:tcW w:type="dxa" w:w="3312"/>
            <w:shd w:fill="183A5A"/>
            <w:tcMar>
              <w:top w:w="60" w:type="dxa"/>
              <w:start w:w="70" w:type="dxa"/>
              <w:bottom w:w="60" w:type="dxa"/>
              <w:end w:w="70" w:type="dxa"/>
            </w:tcMar>
          </w:tcPr>
          <w:p>
            <w:r>
              <w:rPr>
                <w:rFonts w:ascii="Carlito" w:hAnsi="Carlito" w:eastAsia="Carlito"/>
                <w:b/>
                <w:color w:val="FFFFFF"/>
                <w:sz w:val="18"/>
              </w:rPr>
              <w:t>Level</w:t>
            </w:r>
          </w:p>
        </w:tc>
        <w:tc>
          <w:tcPr>
            <w:tcW w:type="dxa" w:w="7056"/>
            <w:shd w:fill="183A5A"/>
            <w:tcMar>
              <w:top w:w="60" w:type="dxa"/>
              <w:start w:w="70" w:type="dxa"/>
              <w:bottom w:w="60" w:type="dxa"/>
              <w:end w:w="70" w:type="dxa"/>
            </w:tcMar>
          </w:tcPr>
          <w:p>
            <w:r>
              <w:rPr>
                <w:rFonts w:ascii="Carlito" w:hAnsi="Carlito" w:eastAsia="Carlito"/>
                <w:b/>
                <w:color w:val="FFFFFF"/>
                <w:sz w:val="18"/>
              </w:rPr>
              <w:t>Definition</w:t>
            </w:r>
          </w:p>
        </w:tc>
      </w:tr>
      <w:tr>
        <w:trPr>
          <w:cantSplit/>
        </w:trPr>
        <w:tc>
          <w:tcPr>
            <w:tcW w:type="dxa" w:w="3312"/>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Completion with Distinction</w:t>
            </w:r>
          </w:p>
        </w:tc>
        <w:tc>
          <w:tcPr>
            <w:tcW w:type="dxa" w:w="7056"/>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Student exceeds pathway expectations.</w:t>
            </w:r>
          </w:p>
        </w:tc>
      </w:tr>
      <w:tr>
        <w:trPr>
          <w:cantSplit/>
        </w:trPr>
        <w:tc>
          <w:tcPr>
            <w:tcW w:type="dxa" w:w="3312"/>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Completion</w:t>
            </w:r>
          </w:p>
        </w:tc>
        <w:tc>
          <w:tcPr>
            <w:tcW w:type="dxa" w:w="7056"/>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Student meets pathway expectations.</w:t>
            </w:r>
          </w:p>
        </w:tc>
      </w:tr>
      <w:tr>
        <w:trPr>
          <w:cantSplit/>
        </w:trPr>
        <w:tc>
          <w:tcPr>
            <w:tcW w:type="dxa" w:w="3312"/>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Not Yet Completed</w:t>
            </w:r>
          </w:p>
        </w:tc>
        <w:tc>
          <w:tcPr>
            <w:tcW w:type="dxa" w:w="7056"/>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Additional instruction and reassessment are required. No Passport completion is awarded until competency has been demonstrated.</w:t>
            </w:r>
          </w:p>
        </w:tc>
      </w:tr>
    </w:tbl>
    <w:p>
      <w:pPr>
        <w:pStyle w:val="Heading1"/>
      </w:pPr>
      <w:r>
        <w:t>Reassessment Philosophy</w:t>
      </w:r>
    </w:p>
    <w:p>
      <w:r>
        <w:t>Students may reassess after:</w:t>
      </w:r>
    </w:p>
    <w:p>
      <w:pPr>
        <w:pStyle w:val="ListBullet"/>
        <w:spacing w:after="30"/>
        <w:ind w:left="360" w:hanging="216"/>
      </w:pPr>
      <w:r>
        <w:rPr>
          <w:rFonts w:ascii="Carlito" w:hAnsi="Carlito" w:eastAsia="Carlito"/>
          <w:color w:val="24323D"/>
          <w:sz w:val="21"/>
        </w:rPr>
        <w:t>Feedback</w:t>
      </w:r>
    </w:p>
    <w:p>
      <w:pPr>
        <w:pStyle w:val="ListBullet"/>
        <w:spacing w:after="30"/>
        <w:ind w:left="360" w:hanging="216"/>
      </w:pPr>
      <w:r>
        <w:rPr>
          <w:rFonts w:ascii="Carlito" w:hAnsi="Carlito" w:eastAsia="Carlito"/>
          <w:color w:val="24323D"/>
          <w:sz w:val="21"/>
        </w:rPr>
        <w:t>Reflection</w:t>
      </w:r>
    </w:p>
    <w:p>
      <w:pPr>
        <w:pStyle w:val="ListBullet"/>
        <w:spacing w:after="30"/>
        <w:ind w:left="360" w:hanging="216"/>
      </w:pPr>
      <w:r>
        <w:rPr>
          <w:rFonts w:ascii="Carlito" w:hAnsi="Carlito" w:eastAsia="Carlito"/>
          <w:color w:val="24323D"/>
          <w:sz w:val="21"/>
        </w:rPr>
        <w:t>Additional practice</w:t>
      </w:r>
    </w:p>
    <w:p>
      <w:pPr>
        <w:pStyle w:val="ListBullet"/>
        <w:spacing w:after="30"/>
        <w:ind w:left="360" w:hanging="216"/>
      </w:pPr>
      <w:r>
        <w:rPr>
          <w:rFonts w:ascii="Carlito" w:hAnsi="Carlito" w:eastAsia="Carlito"/>
          <w:color w:val="24323D"/>
          <w:sz w:val="21"/>
        </w:rPr>
        <w:t>Remediation</w:t>
      </w:r>
    </w:p>
    <w:p>
      <w:r>
        <w:t>Immediate retesting is not permitted. Equivalent assessments should be used.</w:t>
      </w:r>
    </w:p>
    <w:p>
      <w:pPr>
        <w:pStyle w:val="Heading1"/>
      </w:pPr>
      <w:r>
        <w:t>Reverification Philosophy</w:t>
      </w:r>
    </w:p>
    <w:p>
      <w:r>
        <w:t>Competencies remain part of the student's permanent record. Critical competencies may require periodic reverification when students transition into more advanced learning environments.</w:t>
      </w:r>
    </w:p>
    <w:p>
      <w:pPr>
        <w:pStyle w:val="Heading1"/>
      </w:pPr>
      <w:r>
        <w:t>The Cottage</w:t>
      </w:r>
    </w:p>
    <w:p>
      <w:r>
        <w:t>The Cottage is the Culinary Pathway's School-Based Enterprise (SBE). Its educational purpose is to provide authentic client-centered learning experiences where students demonstrate professional culinary performance.</w:t>
      </w:r>
    </w:p>
    <w:p>
      <w:pPr>
        <w:pStyle w:val="Commitment"/>
      </w:pPr>
      <w:r>
        <w:t>It is not simply a catering business.</w:t>
      </w:r>
    </w:p>
    <w:p>
      <w:pPr>
        <w:pStyle w:val="Heading1"/>
      </w:pPr>
      <w:r>
        <w:t>School-Based Enterprise (SBE)</w:t>
      </w:r>
    </w:p>
    <w:p>
      <w:r>
        <w:t>The School-Based Enterprise provides authentic professional experiences within the school environment prior to external Work-Based Learning.</w:t>
      </w:r>
    </w:p>
    <w:p>
      <w:pPr>
        <w:pStyle w:val="Heading1"/>
      </w:pPr>
      <w:r>
        <w:t>Kitchen Management</w:t>
      </w:r>
    </w:p>
    <w:p>
      <w:r>
        <w:t>Kitchen Management is the leadership bridge between culinary production and professional employment.</w:t>
      </w:r>
    </w:p>
    <w:p>
      <w:pPr>
        <w:pStyle w:val="Commitment"/>
      </w:pPr>
      <w:r>
        <w:t>Its purpose is not additional cooking instruction. Its purpose is developing leaders.</w:t>
      </w:r>
    </w:p>
    <w:p>
      <w:pPr>
        <w:pStyle w:val="Heading1"/>
      </w:pPr>
      <w:r>
        <w:t>External Work-Based Learning</w:t>
      </w:r>
    </w:p>
    <w:p>
      <w:r>
        <w:t>The senior Work-Based Learning course serves as the culminating educational experience of the Culinary Pathway. It is a separate 1.0-credit course.</w:t>
      </w:r>
    </w:p>
    <w:p>
      <w:r>
        <w:t>Minimum requirements:</w:t>
      </w:r>
    </w:p>
    <w:p>
      <w:pPr>
        <w:pStyle w:val="ListBullet"/>
        <w:spacing w:after="30"/>
        <w:ind w:left="360" w:hanging="216"/>
      </w:pPr>
      <w:r>
        <w:rPr>
          <w:rFonts w:ascii="Carlito" w:hAnsi="Carlito" w:eastAsia="Carlito"/>
          <w:color w:val="24323D"/>
          <w:sz w:val="21"/>
        </w:rPr>
        <w:t>300 verified workplace hours</w:t>
      </w:r>
    </w:p>
    <w:p>
      <w:pPr>
        <w:pStyle w:val="ListBullet"/>
        <w:spacing w:after="30"/>
        <w:ind w:left="360" w:hanging="216"/>
      </w:pPr>
      <w:r>
        <w:rPr>
          <w:rFonts w:ascii="Carlito" w:hAnsi="Carlito" w:eastAsia="Carlito"/>
          <w:color w:val="24323D"/>
          <w:sz w:val="21"/>
        </w:rPr>
        <w:t>Completed portfolio</w:t>
      </w:r>
    </w:p>
    <w:p>
      <w:pPr>
        <w:pStyle w:val="ListBullet"/>
        <w:spacing w:after="30"/>
        <w:ind w:left="360" w:hanging="216"/>
      </w:pPr>
      <w:r>
        <w:rPr>
          <w:rFonts w:ascii="Carlito" w:hAnsi="Carlito" w:eastAsia="Carlito"/>
          <w:color w:val="24323D"/>
          <w:sz w:val="21"/>
        </w:rPr>
        <w:t>Standards-based evaluation</w:t>
      </w:r>
    </w:p>
    <w:p>
      <w:pPr>
        <w:pStyle w:val="Heading1"/>
      </w:pPr>
      <w:r>
        <w:t>Portfolio Philosophy</w:t>
      </w:r>
    </w:p>
    <w:p>
      <w:r>
        <w:t>The portfolio documents professional growth throughout authentic workplace experiences. It combines:</w:t>
      </w:r>
    </w:p>
    <w:p>
      <w:pPr>
        <w:pStyle w:val="ListBullet"/>
        <w:spacing w:after="30"/>
        <w:ind w:left="360" w:hanging="216"/>
      </w:pPr>
      <w:r>
        <w:rPr>
          <w:rFonts w:ascii="Carlito" w:hAnsi="Carlito" w:eastAsia="Carlito"/>
          <w:color w:val="24323D"/>
          <w:sz w:val="21"/>
        </w:rPr>
        <w:t>Common required assignments</w:t>
      </w:r>
    </w:p>
    <w:p>
      <w:pPr>
        <w:pStyle w:val="ListBullet"/>
        <w:spacing w:after="30"/>
        <w:ind w:left="360" w:hanging="216"/>
      </w:pPr>
      <w:r>
        <w:rPr>
          <w:rFonts w:ascii="Carlito" w:hAnsi="Carlito" w:eastAsia="Carlito"/>
          <w:color w:val="24323D"/>
          <w:sz w:val="21"/>
        </w:rPr>
        <w:t>Individualized evidence</w:t>
      </w:r>
    </w:p>
    <w:p>
      <w:pPr>
        <w:pStyle w:val="ListBullet"/>
        <w:spacing w:after="30"/>
        <w:ind w:left="360" w:hanging="216"/>
      </w:pPr>
      <w:r>
        <w:rPr>
          <w:rFonts w:ascii="Carlito" w:hAnsi="Carlito" w:eastAsia="Carlito"/>
          <w:color w:val="24323D"/>
          <w:sz w:val="21"/>
        </w:rPr>
        <w:t>Employer feedback</w:t>
      </w:r>
    </w:p>
    <w:p>
      <w:pPr>
        <w:pStyle w:val="ListBullet"/>
        <w:spacing w:after="30"/>
        <w:ind w:left="360" w:hanging="216"/>
      </w:pPr>
      <w:r>
        <w:rPr>
          <w:rFonts w:ascii="Carlito" w:hAnsi="Carlito" w:eastAsia="Carlito"/>
          <w:color w:val="24323D"/>
          <w:sz w:val="21"/>
        </w:rPr>
        <w:t>Coordinator evaluation</w:t>
      </w:r>
    </w:p>
    <w:p>
      <w:pPr>
        <w:pStyle w:val="ListBullet"/>
        <w:spacing w:after="30"/>
        <w:ind w:left="360" w:hanging="216"/>
      </w:pPr>
      <w:r>
        <w:rPr>
          <w:rFonts w:ascii="Carlito" w:hAnsi="Carlito" w:eastAsia="Carlito"/>
          <w:color w:val="24323D"/>
          <w:sz w:val="21"/>
        </w:rPr>
        <w:t>Student reflection</w:t>
      </w:r>
    </w:p>
    <w:p>
      <w:pPr>
        <w:pStyle w:val="Heading1"/>
      </w:pPr>
      <w:r>
        <w:t>Standards-Based Evaluation</w:t>
      </w:r>
    </w:p>
    <w:p>
      <w:r>
        <w:t>The pathway follows district standards-based grading. Major evidence includes:</w:t>
      </w:r>
    </w:p>
    <w:p>
      <w:pPr>
        <w:pStyle w:val="ListBullet"/>
        <w:spacing w:after="30"/>
        <w:ind w:left="360" w:hanging="216"/>
      </w:pPr>
      <w:r>
        <w:rPr>
          <w:rFonts w:ascii="Carlito" w:hAnsi="Carlito" w:eastAsia="Carlito"/>
          <w:color w:val="24323D"/>
          <w:sz w:val="21"/>
        </w:rPr>
        <w:t>Portfolio</w:t>
      </w:r>
    </w:p>
    <w:p>
      <w:pPr>
        <w:pStyle w:val="ListBullet"/>
        <w:spacing w:after="30"/>
        <w:ind w:left="360" w:hanging="216"/>
      </w:pPr>
      <w:r>
        <w:rPr>
          <w:rFonts w:ascii="Carlito" w:hAnsi="Carlito" w:eastAsia="Carlito"/>
          <w:color w:val="24323D"/>
          <w:sz w:val="21"/>
        </w:rPr>
        <w:t>Workplace performance</w:t>
      </w:r>
    </w:p>
    <w:p>
      <w:pPr>
        <w:pStyle w:val="ListBullet"/>
        <w:spacing w:after="30"/>
        <w:ind w:left="360" w:hanging="216"/>
      </w:pPr>
      <w:r>
        <w:rPr>
          <w:rFonts w:ascii="Carlito" w:hAnsi="Carlito" w:eastAsia="Carlito"/>
          <w:color w:val="24323D"/>
          <w:sz w:val="21"/>
        </w:rPr>
        <w:t>Presentation</w:t>
      </w:r>
    </w:p>
    <w:p>
      <w:pPr>
        <w:pStyle w:val="ListBullet"/>
        <w:spacing w:after="30"/>
        <w:ind w:left="360" w:hanging="216"/>
      </w:pPr>
      <w:r>
        <w:rPr>
          <w:rFonts w:ascii="Carlito" w:hAnsi="Carlito" w:eastAsia="Carlito"/>
          <w:color w:val="24323D"/>
          <w:sz w:val="21"/>
        </w:rPr>
        <w:t>Coordinator evaluation</w:t>
      </w:r>
    </w:p>
    <w:p>
      <w:pPr>
        <w:pStyle w:val="ListBullet"/>
        <w:spacing w:after="30"/>
        <w:ind w:left="360" w:hanging="216"/>
      </w:pPr>
      <w:r>
        <w:rPr>
          <w:rFonts w:ascii="Carlito" w:hAnsi="Carlito" w:eastAsia="Carlito"/>
          <w:color w:val="24323D"/>
          <w:sz w:val="21"/>
        </w:rPr>
        <w:t>Student reflection</w:t>
      </w:r>
    </w:p>
    <w:p>
      <w:r>
        <w:t>The coordinator determines the final evaluation.</w:t>
      </w:r>
    </w:p>
    <w:p>
      <w:pPr>
        <w:pStyle w:val="Heading1"/>
      </w:pPr>
      <w:r>
        <w:t>Continuous Improvement</w:t>
      </w:r>
    </w:p>
    <w:p>
      <w:r>
        <w:t>The pathway is designed as a living system. Student outcomes, employer feedback, teacher reflection, and annual program evaluation inform ongoing revision.</w:t>
      </w:r>
    </w:p>
    <w:p>
      <w:pPr>
        <w:pStyle w:val="Heading1"/>
      </w:pPr>
      <w:r>
        <w:t>Governance</w:t>
      </w:r>
    </w:p>
    <w:p>
      <w:pPr>
        <w:pStyle w:val="ListBullet"/>
        <w:spacing w:after="30"/>
        <w:ind w:left="360" w:hanging="216"/>
      </w:pPr>
      <w:r>
        <w:rPr>
          <w:rFonts w:ascii="Carlito" w:hAnsi="Carlito" w:eastAsia="Carlito"/>
          <w:color w:val="24323D"/>
          <w:sz w:val="21"/>
        </w:rPr>
        <w:t>District leadership establishes policy.</w:t>
      </w:r>
    </w:p>
    <w:p>
      <w:pPr>
        <w:pStyle w:val="ListBullet"/>
        <w:spacing w:after="30"/>
        <w:ind w:left="360" w:hanging="216"/>
      </w:pPr>
      <w:r>
        <w:rPr>
          <w:rFonts w:ascii="Carlito" w:hAnsi="Carlito" w:eastAsia="Carlito"/>
          <w:color w:val="24323D"/>
          <w:sz w:val="21"/>
        </w:rPr>
        <w:t>Teachers implement instruction.</w:t>
      </w:r>
    </w:p>
    <w:p>
      <w:pPr>
        <w:pStyle w:val="ListBullet"/>
        <w:spacing w:after="30"/>
        <w:ind w:left="360" w:hanging="216"/>
      </w:pPr>
      <w:r>
        <w:rPr>
          <w:rFonts w:ascii="Carlito" w:hAnsi="Carlito" w:eastAsia="Carlito"/>
          <w:color w:val="24323D"/>
          <w:sz w:val="21"/>
        </w:rPr>
        <w:t>The credentialed WBL Coordinator oversees external Work-Based Learning.</w:t>
      </w:r>
    </w:p>
    <w:p>
      <w:pPr>
        <w:pStyle w:val="ListBullet"/>
        <w:spacing w:after="30"/>
        <w:ind w:left="360" w:hanging="216"/>
      </w:pPr>
      <w:r>
        <w:rPr>
          <w:rFonts w:ascii="Carlito" w:hAnsi="Carlito" w:eastAsia="Carlito"/>
          <w:color w:val="24323D"/>
          <w:sz w:val="21"/>
        </w:rPr>
        <w:t>All three collaborate to maintain and improve the pathway.</w:t>
      </w:r>
    </w:p>
    <w:p>
      <w:pPr>
        <w:pStyle w:val="Heading1"/>
      </w:pPr>
      <w:r>
        <w:t>Version Philosophy</w:t>
      </w:r>
    </w:p>
    <w:p>
      <w:r>
        <w:t>This Canon represents the architectural truth of the Culinary Pathway. Every future document should align with these definitions before introducing new concepts.</w:t>
      </w:r>
    </w:p>
    <w:tbl>
      <w:tblPr>
        <w:tblW w:type="auto" w:w="0"/>
        <w:jc w:val="center"/>
        <w:tblLayout w:type="autofit"/>
        <w:tblLook w:firstColumn="1" w:firstRow="1" w:lastColumn="0" w:lastRow="0" w:noHBand="0" w:noVBand="1" w:val="04A0"/>
      </w:tblPr>
      <w:tblGrid>
        <w:gridCol w:w="10080"/>
      </w:tblGrid>
      <w:tr>
        <w:tc>
          <w:tcPr>
            <w:tcW w:type="dxa" w:w="10080"/>
            <w:shd w:fill="183A5A"/>
            <w:tcMar>
              <w:top w:w="80" w:type="dxa"/>
              <w:start w:w="100" w:type="dxa"/>
              <w:bottom w:w="80" w:type="dxa"/>
              <w:end w:w="100" w:type="dxa"/>
            </w:tcMar>
          </w:tcPr>
          <w:p>
            <w:pPr>
              <w:spacing w:after="0"/>
            </w:pPr>
            <w:r>
              <w:rPr>
                <w:rFonts w:ascii="Carlito" w:hAnsi="Carlito" w:eastAsia="Carlito"/>
                <w:b/>
                <w:color w:val="FFFFFF"/>
                <w:sz w:val="24"/>
              </w:rPr>
              <w:t>Authoritative Closing Statement</w:t>
            </w:r>
          </w:p>
        </w:tc>
      </w:tr>
    </w:tbl>
    <w:p>
      <w:pPr>
        <w:spacing w:after="20"/>
      </w:pPr>
    </w:p>
    <w:p>
      <w:pPr>
        <w:pStyle w:val="Commitment"/>
        <w:jc w:val="center"/>
      </w:pPr>
      <w:r>
        <w:t>The Canon defines the architecture. The Operating Principles define the culture. The Four-Book Series implements both.</w:t>
      </w:r>
    </w:p>
    <w:sectPr w:rsidR="00FC693F" w:rsidRPr="0006063C" w:rsidSect="00034616">
      <w:headerReference w:type="default" r:id="rId9"/>
      <w:footerReference w:type="default" r:id="rId10"/>
      <w:pgSz w:w="12240" w:h="15840"/>
      <w:pgMar w:top="1080" w:right="1080" w:bottom="1008"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jc w:val="right"/>
    </w:pPr>
    <w:r>
      <w:rPr>
        <w:rFonts w:ascii="Carlito" w:hAnsi="Carlito" w:eastAsia="Carlito"/>
        <w:color w:val="5B6770"/>
        <w:sz w:val="15"/>
      </w:rPr>
      <w:t>Planning document; not adopted district policy  |  July 2026</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eastAsia="Carlito"/>
        <w:b/>
        <w:color w:val="183A5A"/>
        <w:sz w:val="16"/>
      </w:rPr>
      <w:t>GCSD CULINARY PATHWAY  |  CULINARY PATHWAY CANON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rlito" w:hAnsi="Carlito" w:eastAsia="Carlito"/>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rlito" w:hAnsi="Carlito" w:eastAsia="Carlito"/>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eastAsia="Carlito"/>
      <w:b/>
      <w:bCs/>
      <w:color w:val="2E7D7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eastAsia="Carlito"/>
      <w:b/>
      <w:bCs/>
      <w:color w:val="183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eastAsia="Carlito"/>
      <w:b/>
      <w:color w:val="183A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i/>
      <w:iCs/>
      <w:color w:val="2E7D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rlito" w:hAnsi="Carlito" w:eastAsia="Carlito"/>
      <w:color w:val="5B6770"/>
      <w:sz w:val="17"/>
    </w:rPr>
  </w:style>
  <w:style w:type="paragraph" w:customStyle="1" w:styleId="Commitment">
    <w:name w:val="Commitment"/>
    <w:pPr>
      <w:keepLines/>
      <w:spacing w:before="160" w:after="160"/>
    </w:pPr>
    <w:rPr>
      <w:rFonts w:ascii="Carlito" w:hAnsi="Carlito" w:eastAsia="Carlito"/>
      <w:b/>
      <w:color w:val="183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