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rFonts w:ascii="Carlito" w:hAnsi="Carlito" w:eastAsia="Carlito"/>
          <w:b/>
          <w:color w:val="2E7D7A"/>
          <w:sz w:val="20"/>
        </w:rPr>
        <w:t>GCSD CULINARY PATHWAY | GOVERNANCE DOCUMENT</w:t>
      </w:r>
    </w:p>
    <w:p>
      <w:pPr>
        <w:spacing w:before="720"/>
        <w:jc w:val="center"/>
      </w:pPr>
      <w:r>
        <w:rPr>
          <w:rFonts w:ascii="Carlito" w:hAnsi="Carlito" w:eastAsia="Carlito"/>
          <w:b/>
          <w:color w:val="183A5A"/>
          <w:sz w:val="62"/>
        </w:rPr>
        <w:t>Culinary Pathway Operating Principles</w:t>
      </w:r>
    </w:p>
    <w:p>
      <w:pPr>
        <w:jc w:val="center"/>
      </w:pPr>
      <w:r>
        <w:rPr>
          <w:rFonts w:ascii="Carlito" w:hAnsi="Carlito" w:eastAsia="Carlito"/>
          <w:b w:val="0"/>
          <w:color w:val="2E7D7A"/>
          <w:sz w:val="32"/>
        </w:rPr>
        <w:t>Governing Culture and Professional Commitments</w:t>
      </w:r>
    </w:p>
    <w:tbl>
      <w:tblPr>
        <w:tblW w:type="auto" w:w="0"/>
        <w:jc w:val="center"/>
        <w:tblLayout w:type="fixed"/>
        <w:tblLook w:firstColumn="1" w:firstRow="1" w:lastColumn="0" w:lastRow="0" w:noHBand="0" w:noVBand="1" w:val="04A0"/>
      </w:tblPr>
      <w:tblGrid>
        <w:gridCol w:w="6624"/>
      </w:tblGrid>
      <w:tr>
        <w:tc>
          <w:tcPr>
            <w:tcW w:type="dxa" w:w="10080"/>
            <w:shd w:fill="B58B3A"/>
            <w:tcMar>
              <w:top w:w="0" w:type="dxa"/>
              <w:start w:w="0" w:type="dxa"/>
              <w:bottom w:w="0" w:type="dxa"/>
              <w:end w:w="0" w:type="dxa"/>
            </w:tcMar>
          </w:tcPr>
          <w:p>
            <w:r/>
          </w:p>
        </w:tc>
      </w:tr>
    </w:tbl>
    <w:p/>
    <w:tbl>
      <w:tblPr>
        <w:tblW w:type="auto" w:w="0"/>
        <w:jc w:val="center"/>
        <w:tblLayout w:type="fixed"/>
        <w:tblLook w:firstColumn="1" w:firstRow="1" w:lastColumn="0" w:lastRow="0" w:noHBand="0" w:noVBand="1" w:val="04A0"/>
      </w:tblPr>
      <w:tblGrid>
        <w:gridCol w:w="5040"/>
        <w:gridCol w:w="5040"/>
      </w:tblGrid>
      <w:tr>
        <w:tc>
          <w:tcPr>
            <w:tcW w:type="dxa" w:w="2232"/>
            <w:tcMar>
              <w:top w:w="70" w:type="dxa"/>
              <w:start w:w="90" w:type="dxa"/>
              <w:bottom w:w="70" w:type="dxa"/>
              <w:end w:w="90" w:type="dxa"/>
            </w:tcMar>
            <w:tcBorders>
              <w:top w:val="single" w:sz="4" w:color="B8C5CC"/>
              <w:left w:val="single" w:sz="4" w:color="B8C5CC"/>
              <w:bottom w:val="single" w:sz="4" w:color="B8C5CC"/>
              <w:right w:val="single" w:sz="4" w:color="B8C5CC"/>
            </w:tcBorders>
            <w:shd w:fill="EAF2F4"/>
          </w:tcPr>
          <w:p>
            <w:r>
              <w:rPr>
                <w:rFonts w:ascii="Carlito" w:hAnsi="Carlito" w:eastAsia="Carlito"/>
                <w:b/>
                <w:color w:val="183A5A"/>
                <w:sz w:val="18"/>
              </w:rPr>
              <w:t>Version</w:t>
            </w:r>
          </w:p>
        </w:tc>
        <w:tc>
          <w:tcPr>
            <w:tcW w:type="dxa" w:w="5616"/>
            <w:tcMar>
              <w:top w:w="70" w:type="dxa"/>
              <w:start w:w="90" w:type="dxa"/>
              <w:bottom w:w="70" w:type="dxa"/>
              <w:end w:w="90" w:type="dxa"/>
            </w:tcMar>
            <w:tcBorders>
              <w:top w:val="single" w:sz="4" w:color="B8C5CC"/>
              <w:left w:val="single" w:sz="4" w:color="B8C5CC"/>
              <w:bottom w:val="single" w:sz="4" w:color="B8C5CC"/>
              <w:right w:val="single" w:sz="4" w:color="B8C5CC"/>
            </w:tcBorders>
          </w:tcPr>
          <w:p>
            <w:r>
              <w:rPr>
                <w:rFonts w:ascii="Carlito" w:hAnsi="Carlito" w:eastAsia="Carlito"/>
                <w:color w:val="24323D"/>
                <w:sz w:val="18"/>
              </w:rPr>
              <w:t>1.0</w:t>
            </w:r>
          </w:p>
        </w:tc>
      </w:tr>
      <w:tr>
        <w:tc>
          <w:tcPr>
            <w:tcW w:type="dxa" w:w="2232"/>
            <w:tcMar>
              <w:top w:w="70" w:type="dxa"/>
              <w:start w:w="90" w:type="dxa"/>
              <w:bottom w:w="70" w:type="dxa"/>
              <w:end w:w="90" w:type="dxa"/>
            </w:tcMar>
            <w:tcBorders>
              <w:top w:val="single" w:sz="4" w:color="B8C5CC"/>
              <w:left w:val="single" w:sz="4" w:color="B8C5CC"/>
              <w:bottom w:val="single" w:sz="4" w:color="B8C5CC"/>
              <w:right w:val="single" w:sz="4" w:color="B8C5CC"/>
            </w:tcBorders>
            <w:shd w:fill="EAF2F4"/>
          </w:tcPr>
          <w:p>
            <w:r>
              <w:rPr>
                <w:rFonts w:ascii="Carlito" w:hAnsi="Carlito" w:eastAsia="Carlito"/>
                <w:b/>
                <w:color w:val="183A5A"/>
                <w:sz w:val="18"/>
              </w:rPr>
              <w:t>Prepared by</w:t>
            </w:r>
          </w:p>
        </w:tc>
        <w:tc>
          <w:tcPr>
            <w:tcW w:type="dxa" w:w="5616"/>
            <w:tcMar>
              <w:top w:w="70" w:type="dxa"/>
              <w:start w:w="90" w:type="dxa"/>
              <w:bottom w:w="70" w:type="dxa"/>
              <w:end w:w="90" w:type="dxa"/>
            </w:tcMar>
            <w:tcBorders>
              <w:top w:val="single" w:sz="4" w:color="B8C5CC"/>
              <w:left w:val="single" w:sz="4" w:color="B8C5CC"/>
              <w:bottom w:val="single" w:sz="4" w:color="B8C5CC"/>
              <w:right w:val="single" w:sz="4" w:color="B8C5CC"/>
            </w:tcBorders>
          </w:tcPr>
          <w:p>
            <w:r>
              <w:rPr>
                <w:rFonts w:ascii="Carlito" w:hAnsi="Carlito" w:eastAsia="Carlito"/>
                <w:color w:val="24323D"/>
                <w:sz w:val="18"/>
              </w:rPr>
              <w:t>Kevin McCann</w:t>
            </w:r>
          </w:p>
        </w:tc>
      </w:tr>
      <w:tr>
        <w:tc>
          <w:tcPr>
            <w:tcW w:type="dxa" w:w="2232"/>
            <w:tcMar>
              <w:top w:w="70" w:type="dxa"/>
              <w:start w:w="90" w:type="dxa"/>
              <w:bottom w:w="70" w:type="dxa"/>
              <w:end w:w="90" w:type="dxa"/>
            </w:tcMar>
            <w:tcBorders>
              <w:top w:val="single" w:sz="4" w:color="B8C5CC"/>
              <w:left w:val="single" w:sz="4" w:color="B8C5CC"/>
              <w:bottom w:val="single" w:sz="4" w:color="B8C5CC"/>
              <w:right w:val="single" w:sz="4" w:color="B8C5CC"/>
            </w:tcBorders>
            <w:shd w:fill="EAF2F4"/>
          </w:tcPr>
          <w:p>
            <w:r>
              <w:rPr>
                <w:rFonts w:ascii="Carlito" w:hAnsi="Carlito" w:eastAsia="Carlito"/>
                <w:b/>
                <w:color w:val="183A5A"/>
                <w:sz w:val="18"/>
              </w:rPr>
              <w:t>Date</w:t>
            </w:r>
          </w:p>
        </w:tc>
        <w:tc>
          <w:tcPr>
            <w:tcW w:type="dxa" w:w="5616"/>
            <w:tcMar>
              <w:top w:w="70" w:type="dxa"/>
              <w:start w:w="90" w:type="dxa"/>
              <w:bottom w:w="70" w:type="dxa"/>
              <w:end w:w="90" w:type="dxa"/>
            </w:tcMar>
            <w:tcBorders>
              <w:top w:val="single" w:sz="4" w:color="B8C5CC"/>
              <w:left w:val="single" w:sz="4" w:color="B8C5CC"/>
              <w:bottom w:val="single" w:sz="4" w:color="B8C5CC"/>
              <w:right w:val="single" w:sz="4" w:color="B8C5CC"/>
            </w:tcBorders>
          </w:tcPr>
          <w:p>
            <w:r>
              <w:rPr>
                <w:rFonts w:ascii="Carlito" w:hAnsi="Carlito" w:eastAsia="Carlito"/>
                <w:color w:val="24323D"/>
                <w:sz w:val="18"/>
              </w:rPr>
              <w:t>July 2026</w:t>
            </w:r>
          </w:p>
        </w:tc>
      </w:tr>
      <w:tr>
        <w:tc>
          <w:tcPr>
            <w:tcW w:type="dxa" w:w="2232"/>
            <w:tcMar>
              <w:top w:w="70" w:type="dxa"/>
              <w:start w:w="90" w:type="dxa"/>
              <w:bottom w:w="70" w:type="dxa"/>
              <w:end w:w="90" w:type="dxa"/>
            </w:tcMar>
            <w:tcBorders>
              <w:top w:val="single" w:sz="4" w:color="B8C5CC"/>
              <w:left w:val="single" w:sz="4" w:color="B8C5CC"/>
              <w:bottom w:val="single" w:sz="4" w:color="B8C5CC"/>
              <w:right w:val="single" w:sz="4" w:color="B8C5CC"/>
            </w:tcBorders>
            <w:shd w:fill="EAF2F4"/>
          </w:tcPr>
          <w:p>
            <w:r>
              <w:rPr>
                <w:rFonts w:ascii="Carlito" w:hAnsi="Carlito" w:eastAsia="Carlito"/>
                <w:b/>
                <w:color w:val="183A5A"/>
                <w:sz w:val="18"/>
              </w:rPr>
              <w:t>Status</w:t>
            </w:r>
          </w:p>
        </w:tc>
        <w:tc>
          <w:tcPr>
            <w:tcW w:type="dxa" w:w="5616"/>
            <w:tcMar>
              <w:top w:w="70" w:type="dxa"/>
              <w:start w:w="90" w:type="dxa"/>
              <w:bottom w:w="70" w:type="dxa"/>
              <w:end w:w="90" w:type="dxa"/>
            </w:tcMar>
            <w:tcBorders>
              <w:top w:val="single" w:sz="4" w:color="B8C5CC"/>
              <w:left w:val="single" w:sz="4" w:color="B8C5CC"/>
              <w:bottom w:val="single" w:sz="4" w:color="B8C5CC"/>
              <w:right w:val="single" w:sz="4" w:color="B8C5CC"/>
            </w:tcBorders>
          </w:tcPr>
          <w:p>
            <w:r>
              <w:rPr>
                <w:rFonts w:ascii="Carlito" w:hAnsi="Carlito" w:eastAsia="Carlito"/>
                <w:color w:val="24323D"/>
                <w:sz w:val="18"/>
              </w:rPr>
              <w:t>Planning document; not adopted district policy</w:t>
            </w:r>
          </w:p>
        </w:tc>
      </w:tr>
      <w:tr>
        <w:tc>
          <w:tcPr>
            <w:tcW w:type="dxa" w:w="2232"/>
            <w:tcMar>
              <w:top w:w="70" w:type="dxa"/>
              <w:start w:w="90" w:type="dxa"/>
              <w:bottom w:w="70" w:type="dxa"/>
              <w:end w:w="90" w:type="dxa"/>
            </w:tcMar>
            <w:tcBorders>
              <w:top w:val="single" w:sz="4" w:color="B8C5CC"/>
              <w:left w:val="single" w:sz="4" w:color="B8C5CC"/>
              <w:bottom w:val="single" w:sz="4" w:color="B8C5CC"/>
              <w:right w:val="single" w:sz="4" w:color="B8C5CC"/>
            </w:tcBorders>
            <w:shd w:fill="EAF2F4"/>
          </w:tcPr>
          <w:p>
            <w:r>
              <w:rPr>
                <w:rFonts w:ascii="Carlito" w:hAnsi="Carlito" w:eastAsia="Carlito"/>
                <w:b/>
                <w:color w:val="183A5A"/>
                <w:sz w:val="18"/>
              </w:rPr>
              <w:t>Authority</w:t>
            </w:r>
          </w:p>
        </w:tc>
        <w:tc>
          <w:tcPr>
            <w:tcW w:type="dxa" w:w="5616"/>
            <w:tcMar>
              <w:top w:w="70" w:type="dxa"/>
              <w:start w:w="90" w:type="dxa"/>
              <w:bottom w:w="70" w:type="dxa"/>
              <w:end w:w="90" w:type="dxa"/>
            </w:tcMar>
            <w:tcBorders>
              <w:top w:val="single" w:sz="4" w:color="B8C5CC"/>
              <w:left w:val="single" w:sz="4" w:color="B8C5CC"/>
              <w:bottom w:val="single" w:sz="4" w:color="B8C5CC"/>
              <w:right w:val="single" w:sz="4" w:color="B8C5CC"/>
            </w:tcBorders>
          </w:tcPr>
          <w:p>
            <w:r>
              <w:rPr>
                <w:rFonts w:ascii="Carlito" w:hAnsi="Carlito" w:eastAsia="Carlito"/>
                <w:color w:val="24323D"/>
                <w:sz w:val="18"/>
              </w:rPr>
              <w:t>Companion governance document to the Culinary Pathway Canon and Four-Book Series</w:t>
            </w:r>
          </w:p>
        </w:tc>
      </w:tr>
    </w:tbl>
    <w:p>
      <w:pPr>
        <w:spacing w:before="720"/>
        <w:jc w:val="center"/>
      </w:pPr>
      <w:r>
        <w:rPr>
          <w:rFonts w:ascii="Carlito" w:hAnsi="Carlito" w:eastAsia="Carlito"/>
          <w:b/>
          <w:color w:val="2E7D7A"/>
          <w:sz w:val="22"/>
        </w:rPr>
        <w:t>Provide clear direction. Inspect what you expect.</w:t>
      </w:r>
    </w:p>
    <w:p>
      <w:pPr>
        <w:jc w:val="center"/>
      </w:pPr>
      <w:r>
        <w:rPr>
          <w:rFonts w:ascii="Carlito" w:hAnsi="Carlito" w:eastAsia="Carlito"/>
          <w:b/>
          <w:color w:val="183A5A"/>
          <w:sz w:val="22"/>
        </w:rPr>
        <w:t>Prepare students. Verify competence. Increase responsibility.</w:t>
      </w:r>
    </w:p>
    <w:p>
      <w:r>
        <w:br w:type="page"/>
      </w:r>
    </w:p>
    <w:p>
      <w:pPr>
        <w:pStyle w:val="Heading1"/>
      </w:pPr>
      <w:r>
        <w:t>Purpose</w:t>
      </w:r>
    </w:p>
    <w:p>
      <w:r>
        <w:t>The Culinary Pathway Operating Principles define the culture of the program. They guide instructional decisions, student expectations, leadership practices, assessment, and authentic professional experiences. While procedures may evolve, these principles remain constant and should be reflected throughout every course, learning environment, partnership, and supporting document.</w:t>
      </w:r>
    </w:p>
    <w:tbl>
      <w:tblPr>
        <w:tblW w:type="auto" w:w="0"/>
        <w:jc w:val="center"/>
        <w:tblLayout w:type="fixed"/>
        <w:tblLook w:firstColumn="1" w:firstRow="1" w:lastColumn="0" w:lastRow="0" w:noHBand="0" w:noVBand="1" w:val="04A0"/>
      </w:tblPr>
      <w:tblGrid>
        <w:gridCol w:w="230"/>
        <w:gridCol w:w="9864"/>
      </w:tblGrid>
      <w:tr>
        <w:trPr>
          <w:cantSplit/>
        </w:trPr>
        <w:tc>
          <w:tcPr>
            <w:tcW w:type="dxa" w:w="5040"/>
            <w:shd w:fill="2E7D7A"/>
            <w:tcMar>
              <w:top w:w="0" w:type="dxa"/>
              <w:start w:w="0" w:type="dxa"/>
              <w:bottom w:w="0" w:type="dxa"/>
              <w:end w:w="0" w:type="dxa"/>
            </w:tcMar>
            <w:tcBorders>
              <w:top w:val="single" w:sz="3" w:color="B8C5CC"/>
              <w:left w:val="single" w:sz="3" w:color="B8C5CC"/>
              <w:bottom w:val="single" w:sz="3" w:color="B8C5CC"/>
              <w:right w:val="single" w:sz="3" w:color="B8C5CC"/>
            </w:tcBorders>
          </w:tcPr>
          <w:p/>
        </w:tc>
        <w:tc>
          <w:tcPr>
            <w:tcW w:type="dxa" w:w="5040"/>
            <w:shd w:fill="F5F8F9"/>
            <w:tcMar>
              <w:top w:w="90" w:type="dxa"/>
              <w:start w:w="110" w:type="dxa"/>
              <w:bottom w:w="90" w:type="dxa"/>
              <w:end w:w="110" w:type="dxa"/>
            </w:tcMar>
            <w:tcBorders>
              <w:top w:val="single" w:sz="3" w:color="B8C5CC"/>
              <w:left w:val="single" w:sz="3" w:color="B8C5CC"/>
              <w:bottom w:val="single" w:sz="3" w:color="B8C5CC"/>
              <w:right w:val="single" w:sz="3" w:color="B8C5CC"/>
            </w:tcBorders>
          </w:tcPr>
          <w:p>
            <w:pPr>
              <w:spacing w:after="60"/>
            </w:pPr>
            <w:r>
              <w:rPr>
                <w:rFonts w:ascii="Carlito" w:hAnsi="Carlito" w:eastAsia="Carlito"/>
                <w:b/>
                <w:color w:val="183A5A"/>
                <w:sz w:val="24"/>
              </w:rPr>
              <w:t>1. Every Day Is a School Day.</w:t>
            </w:r>
          </w:p>
          <w:p>
            <w:pPr>
              <w:spacing w:after="0"/>
            </w:pPr>
            <w:r>
              <w:rPr>
                <w:rFonts w:ascii="Carlito" w:hAnsi="Carlito" w:eastAsia="Carlito"/>
                <w:color w:val="24323D"/>
                <w:sz w:val="20"/>
              </w:rPr>
              <w:t>Learning extends beyond the classroom. Every kitchen, catering event, competition, meeting, workplace, and professional interaction is an opportunity to develop knowledge, skill, judgment, and character.</w:t>
            </w:r>
          </w:p>
        </w:tc>
      </w:tr>
    </w:tbl>
    <w:p>
      <w:pPr>
        <w:spacing w:after="20"/>
      </w:pPr>
    </w:p>
    <w:tbl>
      <w:tblPr>
        <w:tblW w:type="auto" w:w="0"/>
        <w:jc w:val="center"/>
        <w:tblLayout w:type="fixed"/>
        <w:tblLook w:firstColumn="1" w:firstRow="1" w:lastColumn="0" w:lastRow="0" w:noHBand="0" w:noVBand="1" w:val="04A0"/>
      </w:tblPr>
      <w:tblGrid>
        <w:gridCol w:w="230"/>
        <w:gridCol w:w="9864"/>
      </w:tblGrid>
      <w:tr>
        <w:trPr>
          <w:cantSplit/>
        </w:trPr>
        <w:tc>
          <w:tcPr>
            <w:tcW w:type="dxa" w:w="5040"/>
            <w:shd w:fill="2E7D7A"/>
            <w:tcMar>
              <w:top w:w="0" w:type="dxa"/>
              <w:start w:w="0" w:type="dxa"/>
              <w:bottom w:w="0" w:type="dxa"/>
              <w:end w:w="0" w:type="dxa"/>
            </w:tcMar>
            <w:tcBorders>
              <w:top w:val="single" w:sz="3" w:color="B8C5CC"/>
              <w:left w:val="single" w:sz="3" w:color="B8C5CC"/>
              <w:bottom w:val="single" w:sz="3" w:color="B8C5CC"/>
              <w:right w:val="single" w:sz="3" w:color="B8C5CC"/>
            </w:tcBorders>
          </w:tcPr>
          <w:p/>
        </w:tc>
        <w:tc>
          <w:tcPr>
            <w:tcW w:type="dxa" w:w="5040"/>
            <w:shd w:fill="F5F8F9"/>
            <w:tcMar>
              <w:top w:w="90" w:type="dxa"/>
              <w:start w:w="110" w:type="dxa"/>
              <w:bottom w:w="90" w:type="dxa"/>
              <w:end w:w="110" w:type="dxa"/>
            </w:tcMar>
            <w:tcBorders>
              <w:top w:val="single" w:sz="3" w:color="B8C5CC"/>
              <w:left w:val="single" w:sz="3" w:color="B8C5CC"/>
              <w:bottom w:val="single" w:sz="3" w:color="B8C5CC"/>
              <w:right w:val="single" w:sz="3" w:color="B8C5CC"/>
            </w:tcBorders>
          </w:tcPr>
          <w:p>
            <w:pPr>
              <w:spacing w:after="60"/>
            </w:pPr>
            <w:r>
              <w:rPr>
                <w:rFonts w:ascii="Carlito" w:hAnsi="Carlito" w:eastAsia="Carlito"/>
                <w:b/>
                <w:color w:val="183A5A"/>
                <w:sz w:val="24"/>
              </w:rPr>
              <w:t>2. Provide Clear Direction.</w:t>
            </w:r>
          </w:p>
          <w:p>
            <w:pPr>
              <w:spacing w:after="0"/>
            </w:pPr>
            <w:r>
              <w:rPr>
                <w:rFonts w:ascii="Carlito" w:hAnsi="Carlito" w:eastAsia="Carlito"/>
                <w:color w:val="24323D"/>
                <w:sz w:val="20"/>
              </w:rPr>
              <w:t>Students deserve to understand expectations, success criteria, responsibilities, and next steps before they are expected to perform independently. Clear direction creates confidence, consistency, and accountability.</w:t>
            </w:r>
          </w:p>
        </w:tc>
      </w:tr>
    </w:tbl>
    <w:p>
      <w:pPr>
        <w:spacing w:after="20"/>
      </w:pPr>
    </w:p>
    <w:tbl>
      <w:tblPr>
        <w:tblW w:type="auto" w:w="0"/>
        <w:jc w:val="center"/>
        <w:tblLayout w:type="fixed"/>
        <w:tblLook w:firstColumn="1" w:firstRow="1" w:lastColumn="0" w:lastRow="0" w:noHBand="0" w:noVBand="1" w:val="04A0"/>
      </w:tblPr>
      <w:tblGrid>
        <w:gridCol w:w="230"/>
        <w:gridCol w:w="9864"/>
      </w:tblGrid>
      <w:tr>
        <w:trPr>
          <w:cantSplit/>
        </w:trPr>
        <w:tc>
          <w:tcPr>
            <w:tcW w:type="dxa" w:w="5040"/>
            <w:shd w:fill="2E7D7A"/>
            <w:tcMar>
              <w:top w:w="0" w:type="dxa"/>
              <w:start w:w="0" w:type="dxa"/>
              <w:bottom w:w="0" w:type="dxa"/>
              <w:end w:w="0" w:type="dxa"/>
            </w:tcMar>
            <w:tcBorders>
              <w:top w:val="single" w:sz="3" w:color="B8C5CC"/>
              <w:left w:val="single" w:sz="3" w:color="B8C5CC"/>
              <w:bottom w:val="single" w:sz="3" w:color="B8C5CC"/>
              <w:right w:val="single" w:sz="3" w:color="B8C5CC"/>
            </w:tcBorders>
          </w:tcPr>
          <w:p/>
        </w:tc>
        <w:tc>
          <w:tcPr>
            <w:tcW w:type="dxa" w:w="5040"/>
            <w:shd w:fill="F5F8F9"/>
            <w:tcMar>
              <w:top w:w="90" w:type="dxa"/>
              <w:start w:w="110" w:type="dxa"/>
              <w:bottom w:w="90" w:type="dxa"/>
              <w:end w:w="110" w:type="dxa"/>
            </w:tcMar>
            <w:tcBorders>
              <w:top w:val="single" w:sz="3" w:color="B8C5CC"/>
              <w:left w:val="single" w:sz="3" w:color="B8C5CC"/>
              <w:bottom w:val="single" w:sz="3" w:color="B8C5CC"/>
              <w:right w:val="single" w:sz="3" w:color="B8C5CC"/>
            </w:tcBorders>
          </w:tcPr>
          <w:p>
            <w:pPr>
              <w:spacing w:after="60"/>
            </w:pPr>
            <w:r>
              <w:rPr>
                <w:rFonts w:ascii="Carlito" w:hAnsi="Carlito" w:eastAsia="Carlito"/>
                <w:b/>
                <w:color w:val="183A5A"/>
                <w:sz w:val="24"/>
              </w:rPr>
              <w:t>3. Inspect What You Expect.</w:t>
            </w:r>
          </w:p>
          <w:p>
            <w:pPr>
              <w:spacing w:after="0"/>
            </w:pPr>
            <w:r>
              <w:rPr>
                <w:rFonts w:ascii="Carlito" w:hAnsi="Carlito" w:eastAsia="Carlito"/>
                <w:color w:val="24323D"/>
                <w:sz w:val="20"/>
              </w:rPr>
              <w:t>Expectations are reinforced through observation, coaching, feedback, and accountability. Performance improves when instructors consistently verify what they ask students to accomplish.</w:t>
            </w:r>
          </w:p>
        </w:tc>
      </w:tr>
    </w:tbl>
    <w:p>
      <w:pPr>
        <w:spacing w:after="20"/>
      </w:pPr>
    </w:p>
    <w:tbl>
      <w:tblPr>
        <w:tblW w:type="auto" w:w="0"/>
        <w:jc w:val="center"/>
        <w:tblLayout w:type="fixed"/>
        <w:tblLook w:firstColumn="1" w:firstRow="1" w:lastColumn="0" w:lastRow="0" w:noHBand="0" w:noVBand="1" w:val="04A0"/>
      </w:tblPr>
      <w:tblGrid>
        <w:gridCol w:w="230"/>
        <w:gridCol w:w="9864"/>
      </w:tblGrid>
      <w:tr>
        <w:trPr>
          <w:cantSplit/>
        </w:trPr>
        <w:tc>
          <w:tcPr>
            <w:tcW w:type="dxa" w:w="5040"/>
            <w:shd w:fill="2E7D7A"/>
            <w:tcMar>
              <w:top w:w="0" w:type="dxa"/>
              <w:start w:w="0" w:type="dxa"/>
              <w:bottom w:w="0" w:type="dxa"/>
              <w:end w:w="0" w:type="dxa"/>
            </w:tcMar>
            <w:tcBorders>
              <w:top w:val="single" w:sz="3" w:color="B8C5CC"/>
              <w:left w:val="single" w:sz="3" w:color="B8C5CC"/>
              <w:bottom w:val="single" w:sz="3" w:color="B8C5CC"/>
              <w:right w:val="single" w:sz="3" w:color="B8C5CC"/>
            </w:tcBorders>
          </w:tcPr>
          <w:p/>
        </w:tc>
        <w:tc>
          <w:tcPr>
            <w:tcW w:type="dxa" w:w="5040"/>
            <w:shd w:fill="F5F8F9"/>
            <w:tcMar>
              <w:top w:w="90" w:type="dxa"/>
              <w:start w:w="110" w:type="dxa"/>
              <w:bottom w:w="90" w:type="dxa"/>
              <w:end w:w="110" w:type="dxa"/>
            </w:tcMar>
            <w:tcBorders>
              <w:top w:val="single" w:sz="3" w:color="B8C5CC"/>
              <w:left w:val="single" w:sz="3" w:color="B8C5CC"/>
              <w:bottom w:val="single" w:sz="3" w:color="B8C5CC"/>
              <w:right w:val="single" w:sz="3" w:color="B8C5CC"/>
            </w:tcBorders>
          </w:tcPr>
          <w:p>
            <w:pPr>
              <w:spacing w:after="60"/>
            </w:pPr>
            <w:r>
              <w:rPr>
                <w:rFonts w:ascii="Carlito" w:hAnsi="Carlito" w:eastAsia="Carlito"/>
                <w:b/>
                <w:color w:val="183A5A"/>
                <w:sz w:val="24"/>
              </w:rPr>
              <w:t>4. Students Advance by Demonstrating Competency.</w:t>
            </w:r>
          </w:p>
          <w:p>
            <w:pPr>
              <w:spacing w:after="0"/>
            </w:pPr>
            <w:r>
              <w:rPr>
                <w:rFonts w:ascii="Carlito" w:hAnsi="Carlito" w:eastAsia="Carlito"/>
                <w:color w:val="24323D"/>
                <w:sz w:val="20"/>
              </w:rPr>
              <w:t>Progress is earned through demonstrated performance. Advancement is based on verified competency rather than participation, time, or course completion alone.</w:t>
            </w:r>
          </w:p>
        </w:tc>
      </w:tr>
    </w:tbl>
    <w:p>
      <w:pPr>
        <w:spacing w:after="20"/>
      </w:pPr>
    </w:p>
    <w:tbl>
      <w:tblPr>
        <w:tblW w:type="auto" w:w="0"/>
        <w:jc w:val="center"/>
        <w:tblLayout w:type="fixed"/>
        <w:tblLook w:firstColumn="1" w:firstRow="1" w:lastColumn="0" w:lastRow="0" w:noHBand="0" w:noVBand="1" w:val="04A0"/>
      </w:tblPr>
      <w:tblGrid>
        <w:gridCol w:w="230"/>
        <w:gridCol w:w="9864"/>
      </w:tblGrid>
      <w:tr>
        <w:trPr>
          <w:cantSplit/>
        </w:trPr>
        <w:tc>
          <w:tcPr>
            <w:tcW w:type="dxa" w:w="5040"/>
            <w:shd w:fill="2E7D7A"/>
            <w:tcMar>
              <w:top w:w="0" w:type="dxa"/>
              <w:start w:w="0" w:type="dxa"/>
              <w:bottom w:w="0" w:type="dxa"/>
              <w:end w:w="0" w:type="dxa"/>
            </w:tcMar>
            <w:tcBorders>
              <w:top w:val="single" w:sz="3" w:color="B8C5CC"/>
              <w:left w:val="single" w:sz="3" w:color="B8C5CC"/>
              <w:bottom w:val="single" w:sz="3" w:color="B8C5CC"/>
              <w:right w:val="single" w:sz="3" w:color="B8C5CC"/>
            </w:tcBorders>
          </w:tcPr>
          <w:p/>
        </w:tc>
        <w:tc>
          <w:tcPr>
            <w:tcW w:type="dxa" w:w="5040"/>
            <w:shd w:fill="F5F8F9"/>
            <w:tcMar>
              <w:top w:w="90" w:type="dxa"/>
              <w:start w:w="110" w:type="dxa"/>
              <w:bottom w:w="90" w:type="dxa"/>
              <w:end w:w="110" w:type="dxa"/>
            </w:tcMar>
            <w:tcBorders>
              <w:top w:val="single" w:sz="3" w:color="B8C5CC"/>
              <w:left w:val="single" w:sz="3" w:color="B8C5CC"/>
              <w:bottom w:val="single" w:sz="3" w:color="B8C5CC"/>
              <w:right w:val="single" w:sz="3" w:color="B8C5CC"/>
            </w:tcBorders>
          </w:tcPr>
          <w:p>
            <w:pPr>
              <w:spacing w:after="60"/>
            </w:pPr>
            <w:r>
              <w:rPr>
                <w:rFonts w:ascii="Carlito" w:hAnsi="Carlito" w:eastAsia="Carlito"/>
                <w:b/>
                <w:color w:val="183A5A"/>
                <w:sz w:val="24"/>
              </w:rPr>
              <w:t>5. Experiences Provide Evidence. Competencies Determine Progression.</w:t>
            </w:r>
          </w:p>
          <w:p>
            <w:pPr>
              <w:spacing w:after="0"/>
            </w:pPr>
            <w:r>
              <w:rPr>
                <w:rFonts w:ascii="Carlito" w:hAnsi="Carlito" w:eastAsia="Carlito"/>
                <w:color w:val="24323D"/>
                <w:sz w:val="20"/>
              </w:rPr>
              <w:t>Authentic experiences create opportunities to demonstrate learning. Those experiences become evidence. Verified competency—not participation—is what authorizes greater responsibility.</w:t>
            </w:r>
          </w:p>
        </w:tc>
      </w:tr>
    </w:tbl>
    <w:p>
      <w:pPr>
        <w:spacing w:after="20"/>
      </w:pPr>
    </w:p>
    <w:tbl>
      <w:tblPr>
        <w:tblW w:type="auto" w:w="0"/>
        <w:jc w:val="center"/>
        <w:tblLayout w:type="fixed"/>
        <w:tblLook w:firstColumn="1" w:firstRow="1" w:lastColumn="0" w:lastRow="0" w:noHBand="0" w:noVBand="1" w:val="04A0"/>
      </w:tblPr>
      <w:tblGrid>
        <w:gridCol w:w="230"/>
        <w:gridCol w:w="9864"/>
      </w:tblGrid>
      <w:tr>
        <w:trPr>
          <w:cantSplit/>
        </w:trPr>
        <w:tc>
          <w:tcPr>
            <w:tcW w:type="dxa" w:w="5040"/>
            <w:shd w:fill="2E7D7A"/>
            <w:tcMar>
              <w:top w:w="0" w:type="dxa"/>
              <w:start w:w="0" w:type="dxa"/>
              <w:bottom w:w="0" w:type="dxa"/>
              <w:end w:w="0" w:type="dxa"/>
            </w:tcMar>
            <w:tcBorders>
              <w:top w:val="single" w:sz="3" w:color="B8C5CC"/>
              <w:left w:val="single" w:sz="3" w:color="B8C5CC"/>
              <w:bottom w:val="single" w:sz="3" w:color="B8C5CC"/>
              <w:right w:val="single" w:sz="3" w:color="B8C5CC"/>
            </w:tcBorders>
          </w:tcPr>
          <w:p/>
        </w:tc>
        <w:tc>
          <w:tcPr>
            <w:tcW w:type="dxa" w:w="5040"/>
            <w:shd w:fill="F5F8F9"/>
            <w:tcMar>
              <w:top w:w="90" w:type="dxa"/>
              <w:start w:w="110" w:type="dxa"/>
              <w:bottom w:w="90" w:type="dxa"/>
              <w:end w:w="110" w:type="dxa"/>
            </w:tcMar>
            <w:tcBorders>
              <w:top w:val="single" w:sz="3" w:color="B8C5CC"/>
              <w:left w:val="single" w:sz="3" w:color="B8C5CC"/>
              <w:bottom w:val="single" w:sz="3" w:color="B8C5CC"/>
              <w:right w:val="single" w:sz="3" w:color="B8C5CC"/>
            </w:tcBorders>
          </w:tcPr>
          <w:p>
            <w:pPr>
              <w:spacing w:after="60"/>
            </w:pPr>
            <w:r>
              <w:rPr>
                <w:rFonts w:ascii="Carlito" w:hAnsi="Carlito" w:eastAsia="Carlito"/>
                <w:b/>
                <w:color w:val="183A5A"/>
                <w:sz w:val="24"/>
              </w:rPr>
              <w:t>6. Learning Before Labor.</w:t>
            </w:r>
          </w:p>
          <w:p>
            <w:pPr>
              <w:spacing w:after="0"/>
            </w:pPr>
            <w:r>
              <w:rPr>
                <w:rFonts w:ascii="Carlito" w:hAnsi="Carlito" w:eastAsia="Carlito"/>
                <w:color w:val="24323D"/>
                <w:sz w:val="20"/>
              </w:rPr>
              <w:t>Every authentic work experience remains an educational experience. Student learning always takes priority over production, convenience, or operational needs.</w:t>
            </w:r>
          </w:p>
        </w:tc>
      </w:tr>
    </w:tbl>
    <w:p>
      <w:pPr>
        <w:spacing w:after="20"/>
      </w:pPr>
    </w:p>
    <w:tbl>
      <w:tblPr>
        <w:tblW w:type="auto" w:w="0"/>
        <w:jc w:val="center"/>
        <w:tblLayout w:type="fixed"/>
        <w:tblLook w:firstColumn="1" w:firstRow="1" w:lastColumn="0" w:lastRow="0" w:noHBand="0" w:noVBand="1" w:val="04A0"/>
      </w:tblPr>
      <w:tblGrid>
        <w:gridCol w:w="230"/>
        <w:gridCol w:w="9864"/>
      </w:tblGrid>
      <w:tr>
        <w:trPr>
          <w:cantSplit/>
        </w:trPr>
        <w:tc>
          <w:tcPr>
            <w:tcW w:type="dxa" w:w="5040"/>
            <w:shd w:fill="2E7D7A"/>
            <w:tcMar>
              <w:top w:w="0" w:type="dxa"/>
              <w:start w:w="0" w:type="dxa"/>
              <w:bottom w:w="0" w:type="dxa"/>
              <w:end w:w="0" w:type="dxa"/>
            </w:tcMar>
            <w:tcBorders>
              <w:top w:val="single" w:sz="3" w:color="B8C5CC"/>
              <w:left w:val="single" w:sz="3" w:color="B8C5CC"/>
              <w:bottom w:val="single" w:sz="3" w:color="B8C5CC"/>
              <w:right w:val="single" w:sz="3" w:color="B8C5CC"/>
            </w:tcBorders>
          </w:tcPr>
          <w:p/>
        </w:tc>
        <w:tc>
          <w:tcPr>
            <w:tcW w:type="dxa" w:w="5040"/>
            <w:shd w:fill="F5F8F9"/>
            <w:tcMar>
              <w:top w:w="90" w:type="dxa"/>
              <w:start w:w="110" w:type="dxa"/>
              <w:bottom w:w="90" w:type="dxa"/>
              <w:end w:w="110" w:type="dxa"/>
            </w:tcMar>
            <w:tcBorders>
              <w:top w:val="single" w:sz="3" w:color="B8C5CC"/>
              <w:left w:val="single" w:sz="3" w:color="B8C5CC"/>
              <w:bottom w:val="single" w:sz="3" w:color="B8C5CC"/>
              <w:right w:val="single" w:sz="3" w:color="B8C5CC"/>
            </w:tcBorders>
          </w:tcPr>
          <w:p>
            <w:pPr>
              <w:spacing w:after="60"/>
            </w:pPr>
            <w:r>
              <w:rPr>
                <w:rFonts w:ascii="Carlito" w:hAnsi="Carlito" w:eastAsia="Carlito"/>
                <w:b/>
                <w:color w:val="183A5A"/>
                <w:sz w:val="24"/>
              </w:rPr>
              <w:t>7. Preparation Before Independence.</w:t>
            </w:r>
          </w:p>
          <w:p>
            <w:pPr>
              <w:spacing w:after="0"/>
            </w:pPr>
            <w:r>
              <w:rPr>
                <w:rFonts w:ascii="Carlito" w:hAnsi="Carlito" w:eastAsia="Carlito"/>
                <w:color w:val="24323D"/>
                <w:sz w:val="20"/>
              </w:rPr>
              <w:t>Responsibility increases only after students have demonstrated the knowledge, technical skill, professional behavior, and judgment necessary to succeed safely and effectively.</w:t>
            </w:r>
          </w:p>
        </w:tc>
      </w:tr>
    </w:tbl>
    <w:p>
      <w:pPr>
        <w:spacing w:after="20"/>
      </w:pPr>
    </w:p>
    <w:tbl>
      <w:tblPr>
        <w:tblW w:type="auto" w:w="0"/>
        <w:jc w:val="center"/>
        <w:tblLayout w:type="fixed"/>
        <w:tblLook w:firstColumn="1" w:firstRow="1" w:lastColumn="0" w:lastRow="0" w:noHBand="0" w:noVBand="1" w:val="04A0"/>
      </w:tblPr>
      <w:tblGrid>
        <w:gridCol w:w="230"/>
        <w:gridCol w:w="9864"/>
      </w:tblGrid>
      <w:tr>
        <w:trPr>
          <w:cantSplit/>
        </w:trPr>
        <w:tc>
          <w:tcPr>
            <w:tcW w:type="dxa" w:w="5040"/>
            <w:shd w:fill="2E7D7A"/>
            <w:tcMar>
              <w:top w:w="0" w:type="dxa"/>
              <w:start w:w="0" w:type="dxa"/>
              <w:bottom w:w="0" w:type="dxa"/>
              <w:end w:w="0" w:type="dxa"/>
            </w:tcMar>
            <w:tcBorders>
              <w:top w:val="single" w:sz="3" w:color="B8C5CC"/>
              <w:left w:val="single" w:sz="3" w:color="B8C5CC"/>
              <w:bottom w:val="single" w:sz="3" w:color="B8C5CC"/>
              <w:right w:val="single" w:sz="3" w:color="B8C5CC"/>
            </w:tcBorders>
          </w:tcPr>
          <w:p/>
        </w:tc>
        <w:tc>
          <w:tcPr>
            <w:tcW w:type="dxa" w:w="5040"/>
            <w:shd w:fill="F5F8F9"/>
            <w:tcMar>
              <w:top w:w="90" w:type="dxa"/>
              <w:start w:w="110" w:type="dxa"/>
              <w:bottom w:w="90" w:type="dxa"/>
              <w:end w:w="110" w:type="dxa"/>
            </w:tcMar>
            <w:tcBorders>
              <w:top w:val="single" w:sz="3" w:color="B8C5CC"/>
              <w:left w:val="single" w:sz="3" w:color="B8C5CC"/>
              <w:bottom w:val="single" w:sz="3" w:color="B8C5CC"/>
              <w:right w:val="single" w:sz="3" w:color="B8C5CC"/>
            </w:tcBorders>
          </w:tcPr>
          <w:p>
            <w:pPr>
              <w:spacing w:after="60"/>
            </w:pPr>
            <w:r>
              <w:rPr>
                <w:rFonts w:ascii="Carlito" w:hAnsi="Carlito" w:eastAsia="Carlito"/>
                <w:b/>
                <w:color w:val="183A5A"/>
                <w:sz w:val="24"/>
              </w:rPr>
              <w:t>8. Quality Before Quantity.</w:t>
            </w:r>
          </w:p>
          <w:p>
            <w:pPr>
              <w:spacing w:after="0"/>
            </w:pPr>
            <w:r>
              <w:rPr>
                <w:rFonts w:ascii="Carlito" w:hAnsi="Carlito" w:eastAsia="Carlito"/>
                <w:color w:val="24323D"/>
                <w:sz w:val="20"/>
              </w:rPr>
              <w:t>Growth is measured by the quality of learning, instruction, partnerships, and student outcomes—not by participation numbers alone. Expansion never comes at the expense of educational integrity.</w:t>
            </w:r>
          </w:p>
        </w:tc>
      </w:tr>
    </w:tbl>
    <w:p>
      <w:pPr>
        <w:spacing w:after="20"/>
      </w:pPr>
    </w:p>
    <w:tbl>
      <w:tblPr>
        <w:tblW w:type="auto" w:w="0"/>
        <w:jc w:val="center"/>
        <w:tblLayout w:type="fixed"/>
        <w:tblLook w:firstColumn="1" w:firstRow="1" w:lastColumn="0" w:lastRow="0" w:noHBand="0" w:noVBand="1" w:val="04A0"/>
      </w:tblPr>
      <w:tblGrid>
        <w:gridCol w:w="230"/>
        <w:gridCol w:w="9864"/>
      </w:tblGrid>
      <w:tr>
        <w:trPr>
          <w:cantSplit/>
        </w:trPr>
        <w:tc>
          <w:tcPr>
            <w:tcW w:type="dxa" w:w="5040"/>
            <w:shd w:fill="2E7D7A"/>
            <w:tcMar>
              <w:top w:w="0" w:type="dxa"/>
              <w:start w:w="0" w:type="dxa"/>
              <w:bottom w:w="0" w:type="dxa"/>
              <w:end w:w="0" w:type="dxa"/>
            </w:tcMar>
            <w:tcBorders>
              <w:top w:val="single" w:sz="3" w:color="B8C5CC"/>
              <w:left w:val="single" w:sz="3" w:color="B8C5CC"/>
              <w:bottom w:val="single" w:sz="3" w:color="B8C5CC"/>
              <w:right w:val="single" w:sz="3" w:color="B8C5CC"/>
            </w:tcBorders>
          </w:tcPr>
          <w:p/>
        </w:tc>
        <w:tc>
          <w:tcPr>
            <w:tcW w:type="dxa" w:w="5040"/>
            <w:shd w:fill="F5F8F9"/>
            <w:tcMar>
              <w:top w:w="90" w:type="dxa"/>
              <w:start w:w="110" w:type="dxa"/>
              <w:bottom w:w="90" w:type="dxa"/>
              <w:end w:w="110" w:type="dxa"/>
            </w:tcMar>
            <w:tcBorders>
              <w:top w:val="single" w:sz="3" w:color="B8C5CC"/>
              <w:left w:val="single" w:sz="3" w:color="B8C5CC"/>
              <w:bottom w:val="single" w:sz="3" w:color="B8C5CC"/>
              <w:right w:val="single" w:sz="3" w:color="B8C5CC"/>
            </w:tcBorders>
          </w:tcPr>
          <w:p>
            <w:pPr>
              <w:spacing w:after="60"/>
            </w:pPr>
            <w:r>
              <w:rPr>
                <w:rFonts w:ascii="Carlito" w:hAnsi="Carlito" w:eastAsia="Carlito"/>
                <w:b/>
                <w:color w:val="183A5A"/>
                <w:sz w:val="24"/>
              </w:rPr>
              <w:t>9. Build Leaders, Not Just Cooks.</w:t>
            </w:r>
          </w:p>
          <w:p>
            <w:pPr>
              <w:spacing w:after="0"/>
            </w:pPr>
            <w:r>
              <w:rPr>
                <w:rFonts w:ascii="Carlito" w:hAnsi="Carlito" w:eastAsia="Carlito"/>
                <w:color w:val="24323D"/>
                <w:sz w:val="20"/>
              </w:rPr>
              <w:t>Technical skill is only one component of professional success. The pathway intentionally develops communication, teamwork, leadership, professionalism, critical thinking, and ethical decision-making alongside culinary competence.</w:t>
            </w:r>
          </w:p>
        </w:tc>
      </w:tr>
    </w:tbl>
    <w:p>
      <w:pPr>
        <w:spacing w:after="20"/>
      </w:pPr>
    </w:p>
    <w:tbl>
      <w:tblPr>
        <w:tblW w:type="auto" w:w="0"/>
        <w:jc w:val="center"/>
        <w:tblLayout w:type="fixed"/>
        <w:tblLook w:firstColumn="1" w:firstRow="1" w:lastColumn="0" w:lastRow="0" w:noHBand="0" w:noVBand="1" w:val="04A0"/>
      </w:tblPr>
      <w:tblGrid>
        <w:gridCol w:w="230"/>
        <w:gridCol w:w="9864"/>
      </w:tblGrid>
      <w:tr>
        <w:trPr>
          <w:cantSplit/>
        </w:trPr>
        <w:tc>
          <w:tcPr>
            <w:tcW w:type="dxa" w:w="5040"/>
            <w:shd w:fill="2E7D7A"/>
            <w:tcMar>
              <w:top w:w="0" w:type="dxa"/>
              <w:start w:w="0" w:type="dxa"/>
              <w:bottom w:w="0" w:type="dxa"/>
              <w:end w:w="0" w:type="dxa"/>
            </w:tcMar>
            <w:tcBorders>
              <w:top w:val="single" w:sz="3" w:color="B8C5CC"/>
              <w:left w:val="single" w:sz="3" w:color="B8C5CC"/>
              <w:bottom w:val="single" w:sz="3" w:color="B8C5CC"/>
              <w:right w:val="single" w:sz="3" w:color="B8C5CC"/>
            </w:tcBorders>
          </w:tcPr>
          <w:p/>
        </w:tc>
        <w:tc>
          <w:tcPr>
            <w:tcW w:type="dxa" w:w="5040"/>
            <w:shd w:fill="F5F8F9"/>
            <w:tcMar>
              <w:top w:w="90" w:type="dxa"/>
              <w:start w:w="110" w:type="dxa"/>
              <w:bottom w:w="90" w:type="dxa"/>
              <w:end w:w="110" w:type="dxa"/>
            </w:tcMar>
            <w:tcBorders>
              <w:top w:val="single" w:sz="3" w:color="B8C5CC"/>
              <w:left w:val="single" w:sz="3" w:color="B8C5CC"/>
              <w:bottom w:val="single" w:sz="3" w:color="B8C5CC"/>
              <w:right w:val="single" w:sz="3" w:color="B8C5CC"/>
            </w:tcBorders>
          </w:tcPr>
          <w:p>
            <w:pPr>
              <w:spacing w:after="60"/>
            </w:pPr>
            <w:r>
              <w:rPr>
                <w:rFonts w:ascii="Carlito" w:hAnsi="Carlito" w:eastAsia="Carlito"/>
                <w:b/>
                <w:color w:val="183A5A"/>
                <w:sz w:val="24"/>
              </w:rPr>
              <w:t>10. Travel Rights Are Earned.</w:t>
            </w:r>
          </w:p>
          <w:p>
            <w:pPr>
              <w:spacing w:after="0"/>
            </w:pPr>
            <w:r>
              <w:rPr>
                <w:rFonts w:ascii="Carlito" w:hAnsi="Carlito" w:eastAsia="Carlito"/>
                <w:color w:val="24323D"/>
                <w:sz w:val="20"/>
              </w:rPr>
              <w:t>Representing the Culinary Pathway beyond the classroom is a privilege earned through demonstrated competency, professionalism, responsibility, and readiness. Students earn the opportunity to represent the program in authentic professional environments by consistently meeting pathway standards.</w:t>
            </w:r>
          </w:p>
        </w:tc>
      </w:tr>
    </w:tbl>
    <w:p>
      <w:pPr>
        <w:spacing w:after="20"/>
      </w:pPr>
    </w:p>
    <w:p>
      <w:pPr>
        <w:pStyle w:val="Heading1"/>
      </w:pPr>
      <w:r>
        <w:t>Closing Commitment</w:t>
      </w:r>
    </w:p>
    <w:p>
      <w:r>
        <w:t>The Culinary Pathway exists to prepare students for meaningful careers, lifelong learning, and responsible leadership through authentic experiences that progressively increase responsibility as competency is demonstrated.</w:t>
      </w:r>
    </w:p>
    <w:tbl>
      <w:tblPr>
        <w:tblW w:type="auto" w:w="0"/>
        <w:jc w:val="center"/>
        <w:tblLayout w:type="autofit"/>
        <w:tblLook w:firstColumn="1" w:firstRow="1" w:lastColumn="0" w:lastRow="0" w:noHBand="0" w:noVBand="1" w:val="04A0"/>
      </w:tblPr>
      <w:tblGrid>
        <w:gridCol w:w="10080"/>
      </w:tblGrid>
      <w:tr>
        <w:tc>
          <w:tcPr>
            <w:tcW w:type="dxa" w:w="10080"/>
            <w:shd w:fill="183A5A"/>
            <w:tcMar>
              <w:top w:w="80" w:type="dxa"/>
              <w:start w:w="100" w:type="dxa"/>
              <w:bottom w:w="80" w:type="dxa"/>
              <w:end w:w="100" w:type="dxa"/>
            </w:tcMar>
          </w:tcPr>
          <w:p>
            <w:pPr>
              <w:spacing w:after="0"/>
            </w:pPr>
            <w:r>
              <w:rPr>
                <w:rFonts w:ascii="Carlito" w:hAnsi="Carlito" w:eastAsia="Carlito"/>
                <w:b/>
                <w:color w:val="FFFFFF"/>
                <w:sz w:val="24"/>
              </w:rPr>
              <w:t>Prepare Students. Verify Competence. Increase Responsibility. Support the Transition to Professional Practice.</w:t>
            </w:r>
          </w:p>
        </w:tc>
      </w:tr>
    </w:tbl>
    <w:p>
      <w:pPr>
        <w:spacing w:after="20"/>
      </w:pPr>
    </w:p>
    <w:p>
      <w:pPr>
        <w:pStyle w:val="Heading1"/>
      </w:pPr>
      <w:r>
        <w:t>Relationship to the Program Documents</w:t>
      </w:r>
    </w:p>
    <w:tbl>
      <w:tblPr>
        <w:tblW w:type="auto" w:w="0"/>
        <w:jc w:val="center"/>
        <w:tblLayout w:type="fixed"/>
        <w:tblLook w:firstColumn="1" w:firstRow="1" w:lastColumn="0" w:lastRow="0" w:noHBand="0" w:noVBand="1" w:val="04A0"/>
      </w:tblPr>
      <w:tblGrid>
        <w:gridCol w:w="5040"/>
        <w:gridCol w:w="5040"/>
      </w:tblGrid>
      <w:tr>
        <w:tc>
          <w:tcPr>
            <w:tcW w:type="dxa" w:w="4536"/>
            <w:shd w:fill="183A5A"/>
            <w:tcMar>
              <w:top w:w="60" w:type="dxa"/>
              <w:start w:w="70" w:type="dxa"/>
              <w:bottom w:w="60" w:type="dxa"/>
              <w:end w:w="70" w:type="dxa"/>
            </w:tcMar>
          </w:tcPr>
          <w:p>
            <w:r>
              <w:rPr>
                <w:rFonts w:ascii="Carlito" w:hAnsi="Carlito" w:eastAsia="Carlito"/>
                <w:b/>
                <w:color w:val="FFFFFF"/>
                <w:sz w:val="18"/>
              </w:rPr>
              <w:t>Document</w:t>
            </w:r>
          </w:p>
        </w:tc>
        <w:tc>
          <w:tcPr>
            <w:tcW w:type="dxa" w:w="5832"/>
            <w:shd w:fill="183A5A"/>
            <w:tcMar>
              <w:top w:w="60" w:type="dxa"/>
              <w:start w:w="70" w:type="dxa"/>
              <w:bottom w:w="60" w:type="dxa"/>
              <w:end w:w="70" w:type="dxa"/>
            </w:tcMar>
          </w:tcPr>
          <w:p>
            <w:r>
              <w:rPr>
                <w:rFonts w:ascii="Carlito" w:hAnsi="Carlito" w:eastAsia="Carlito"/>
                <w:b/>
                <w:color w:val="FFFFFF"/>
                <w:sz w:val="18"/>
              </w:rPr>
              <w:t>Role</w:t>
            </w:r>
          </w:p>
        </w:tc>
      </w:tr>
      <w:tr>
        <w:trPr>
          <w:cantSplit/>
        </w:trPr>
        <w:tc>
          <w:tcPr>
            <w:tcW w:type="dxa" w:w="4536"/>
            <w:shd w:fill="FFFFFF"/>
            <w:tcMar>
              <w:top w:w="60" w:type="dxa"/>
              <w:start w:w="70" w:type="dxa"/>
              <w:bottom w:w="60" w:type="dxa"/>
              <w:end w:w="70" w:type="dxa"/>
            </w:tcMar>
            <w:tcBorders>
              <w:top w:val="single" w:sz="3" w:color="B8C5CC"/>
              <w:left w:val="single" w:sz="3" w:color="B8C5CC"/>
              <w:bottom w:val="single" w:sz="3" w:color="B8C5CC"/>
              <w:right w:val="single" w:sz="3" w:color="B8C5CC"/>
            </w:tcBorders>
          </w:tcPr>
          <w:p>
            <w:r>
              <w:rPr>
                <w:rFonts w:ascii="Carlito" w:hAnsi="Carlito" w:eastAsia="Carlito"/>
                <w:b/>
                <w:color w:val="183A5A"/>
                <w:sz w:val="18"/>
              </w:rPr>
              <w:t>Culinary Pathway Canon v3.0</w:t>
            </w:r>
          </w:p>
        </w:tc>
        <w:tc>
          <w:tcPr>
            <w:tcW w:type="dxa" w:w="5832"/>
            <w:shd w:fill="FFFFFF"/>
            <w:tcMar>
              <w:top w:w="60" w:type="dxa"/>
              <w:start w:w="70" w:type="dxa"/>
              <w:bottom w:w="60" w:type="dxa"/>
              <w:end w:w="70"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8"/>
              </w:rPr>
              <w:t>Defines the architecture.</w:t>
            </w:r>
          </w:p>
        </w:tc>
      </w:tr>
      <w:tr>
        <w:trPr>
          <w:cantSplit/>
        </w:trPr>
        <w:tc>
          <w:tcPr>
            <w:tcW w:type="dxa" w:w="4536"/>
            <w:shd w:fill="F5F8F9"/>
            <w:tcMar>
              <w:top w:w="60" w:type="dxa"/>
              <w:start w:w="70" w:type="dxa"/>
              <w:bottom w:w="60" w:type="dxa"/>
              <w:end w:w="70" w:type="dxa"/>
            </w:tcMar>
            <w:tcBorders>
              <w:top w:val="single" w:sz="3" w:color="B8C5CC"/>
              <w:left w:val="single" w:sz="3" w:color="B8C5CC"/>
              <w:bottom w:val="single" w:sz="3" w:color="B8C5CC"/>
              <w:right w:val="single" w:sz="3" w:color="B8C5CC"/>
            </w:tcBorders>
          </w:tcPr>
          <w:p>
            <w:r>
              <w:rPr>
                <w:rFonts w:ascii="Carlito" w:hAnsi="Carlito" w:eastAsia="Carlito"/>
                <w:b/>
                <w:color w:val="183A5A"/>
                <w:sz w:val="18"/>
              </w:rPr>
              <w:t>Culinary Pathway Operating Principles v1.0</w:t>
            </w:r>
          </w:p>
        </w:tc>
        <w:tc>
          <w:tcPr>
            <w:tcW w:type="dxa" w:w="5832"/>
            <w:shd w:fill="F5F8F9"/>
            <w:tcMar>
              <w:top w:w="60" w:type="dxa"/>
              <w:start w:w="70" w:type="dxa"/>
              <w:bottom w:w="60" w:type="dxa"/>
              <w:end w:w="70"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8"/>
              </w:rPr>
              <w:t>Defines the culture.</w:t>
            </w:r>
          </w:p>
        </w:tc>
      </w:tr>
      <w:tr>
        <w:trPr>
          <w:cantSplit/>
        </w:trPr>
        <w:tc>
          <w:tcPr>
            <w:tcW w:type="dxa" w:w="4536"/>
            <w:shd w:fill="FFFFFF"/>
            <w:tcMar>
              <w:top w:w="60" w:type="dxa"/>
              <w:start w:w="70" w:type="dxa"/>
              <w:bottom w:w="60" w:type="dxa"/>
              <w:end w:w="70" w:type="dxa"/>
            </w:tcMar>
            <w:tcBorders>
              <w:top w:val="single" w:sz="3" w:color="B8C5CC"/>
              <w:left w:val="single" w:sz="3" w:color="B8C5CC"/>
              <w:bottom w:val="single" w:sz="3" w:color="B8C5CC"/>
              <w:right w:val="single" w:sz="3" w:color="B8C5CC"/>
            </w:tcBorders>
          </w:tcPr>
          <w:p>
            <w:r>
              <w:rPr>
                <w:rFonts w:ascii="Carlito" w:hAnsi="Carlito" w:eastAsia="Carlito"/>
                <w:b/>
                <w:color w:val="183A5A"/>
                <w:sz w:val="18"/>
              </w:rPr>
              <w:t>Books One through Four</w:t>
            </w:r>
          </w:p>
        </w:tc>
        <w:tc>
          <w:tcPr>
            <w:tcW w:type="dxa" w:w="5832"/>
            <w:shd w:fill="FFFFFF"/>
            <w:tcMar>
              <w:top w:w="60" w:type="dxa"/>
              <w:start w:w="70" w:type="dxa"/>
              <w:bottom w:w="60" w:type="dxa"/>
              <w:end w:w="70"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8"/>
              </w:rPr>
              <w:t>Implement the architecture and culture.</w:t>
            </w:r>
          </w:p>
        </w:tc>
      </w:tr>
      <w:tr>
        <w:trPr>
          <w:cantSplit/>
        </w:trPr>
        <w:tc>
          <w:tcPr>
            <w:tcW w:type="dxa" w:w="4536"/>
            <w:shd w:fill="F5F8F9"/>
            <w:tcMar>
              <w:top w:w="60" w:type="dxa"/>
              <w:start w:w="70" w:type="dxa"/>
              <w:bottom w:w="60" w:type="dxa"/>
              <w:end w:w="70" w:type="dxa"/>
            </w:tcMar>
            <w:tcBorders>
              <w:top w:val="single" w:sz="3" w:color="B8C5CC"/>
              <w:left w:val="single" w:sz="3" w:color="B8C5CC"/>
              <w:bottom w:val="single" w:sz="3" w:color="B8C5CC"/>
              <w:right w:val="single" w:sz="3" w:color="B8C5CC"/>
            </w:tcBorders>
          </w:tcPr>
          <w:p>
            <w:r>
              <w:rPr>
                <w:rFonts w:ascii="Carlito" w:hAnsi="Carlito" w:eastAsia="Carlito"/>
                <w:b/>
                <w:color w:val="183A5A"/>
                <w:sz w:val="18"/>
              </w:rPr>
              <w:t>Website, forms, and future materials</w:t>
            </w:r>
          </w:p>
        </w:tc>
        <w:tc>
          <w:tcPr>
            <w:tcW w:type="dxa" w:w="5832"/>
            <w:shd w:fill="F5F8F9"/>
            <w:tcMar>
              <w:top w:w="60" w:type="dxa"/>
              <w:start w:w="70" w:type="dxa"/>
              <w:bottom w:w="60" w:type="dxa"/>
              <w:end w:w="70" w:type="dxa"/>
            </w:tcMar>
            <w:tcBorders>
              <w:top w:val="single" w:sz="3" w:color="B8C5CC"/>
              <w:left w:val="single" w:sz="3" w:color="B8C5CC"/>
              <w:bottom w:val="single" w:sz="3" w:color="B8C5CC"/>
              <w:right w:val="single" w:sz="3" w:color="B8C5CC"/>
            </w:tcBorders>
          </w:tcPr>
          <w:p>
            <w:r>
              <w:rPr>
                <w:rFonts w:ascii="Carlito" w:hAnsi="Carlito" w:eastAsia="Carlito"/>
                <w:b w:val="0"/>
                <w:color w:val="24323D"/>
                <w:sz w:val="18"/>
              </w:rPr>
              <w:t>Translate the system for specific audiences and tasks.</w:t>
            </w:r>
          </w:p>
        </w:tc>
      </w:tr>
    </w:tbl>
    <w:sectPr w:rsidR="00FC693F" w:rsidRPr="0006063C" w:rsidSect="00034616">
      <w:headerReference w:type="default" r:id="rId9"/>
      <w:footerReference w:type="default" r:id="rId10"/>
      <w:pgSz w:w="12240" w:h="15840"/>
      <w:pgMar w:top="1080" w:right="1080" w:bottom="1008" w:left="108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928" w:val="left"/>
      </w:tabs>
      <w:jc w:val="right"/>
    </w:pPr>
    <w:r>
      <w:rPr>
        <w:rFonts w:ascii="Carlito" w:hAnsi="Carlito" w:eastAsia="Carlito"/>
        <w:color w:val="5B6770"/>
        <w:sz w:val="15"/>
      </w:rPr>
      <w:t>Planning document; not adopted district policy  |  July 2026</w:t>
    </w:r>
    <w:r>
      <w:tab/>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rlito" w:hAnsi="Carlito" w:eastAsia="Carlito"/>
        <w:b/>
        <w:color w:val="183A5A"/>
        <w:sz w:val="16"/>
      </w:rPr>
      <w:t>GCSD CULINARY PATHWAY  |  OPERATING PRINCIPLES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rlito" w:hAnsi="Carlito" w:eastAsia="Carlito"/>
      <w:color w:val="2432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rlito" w:hAnsi="Carlito" w:eastAsia="Carlito"/>
      <w:b/>
      <w:bCs/>
      <w:color w:val="183A5A"/>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rlito" w:hAnsi="Carlito" w:eastAsia="Carlito"/>
      <w:b/>
      <w:bCs/>
      <w:color w:val="2E7D7A"/>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rlito" w:hAnsi="Carlito" w:eastAsia="Carlito"/>
      <w:b/>
      <w:bCs/>
      <w:color w:val="183A5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rlito" w:hAnsi="Carlito" w:eastAsia="Carlito"/>
      <w:b/>
      <w:color w:val="183A5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rlito" w:hAnsi="Carlito" w:eastAsia="Carlito"/>
      <w:b/>
      <w:i/>
      <w:iCs/>
      <w:color w:val="2E7D7A"/>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Carlito" w:hAnsi="Carlito" w:eastAsia="Carlito"/>
      <w:color w:val="5B6770"/>
      <w:sz w:val="17"/>
    </w:rPr>
  </w:style>
  <w:style w:type="paragraph" w:customStyle="1" w:styleId="Commitment">
    <w:name w:val="Commitment"/>
    <w:pPr>
      <w:keepLines/>
      <w:spacing w:before="160" w:after="160"/>
    </w:pPr>
    <w:rPr>
      <w:rFonts w:ascii="Carlito" w:hAnsi="Carlito" w:eastAsia="Carlito"/>
      <w:b/>
      <w:color w:val="183A5A"/>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