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Employer Feedback</w:t>
      </w:r>
    </w:p>
    <w:p>
      <w:pPr>
        <w:pStyle w:val="Subtitle"/>
      </w:pPr>
      <w:r>
        <w:t>Intended user: A future workplace mentor and WBL coordinator</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Provide structured midpoint or final feedback on performance within approved duties while preserving the coordinator's responsibility for course decisions.</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Complete only through a future approved restricted workflow. Feedback informs student growth and evaluation but does not independently determine readiness, course completion, or Gateway status.</w:t>
            </w:r>
          </w:p>
        </w:tc>
      </w:tr>
    </w:tbl>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Student - restricted</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Training station</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Mentor name/title</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Review period/date</w:t>
            </w:r>
          </w:p>
          <w:p>
            <w:pPr>
              <w:spacing w:after="120"/>
            </w:pPr>
            <w:r>
              <w:t xml:space="preserve"> </w:t>
            </w:r>
          </w:p>
        </w:tc>
      </w:tr>
    </w:tbl>
    <w:p>
      <w:pPr>
        <w:spacing w:after="40"/>
      </w:pPr>
    </w:p>
    <w:p>
      <w:pPr>
        <w:pStyle w:val="Heading1"/>
      </w:pPr>
      <w:r>
        <w:t>Rating guide</w:t>
      </w:r>
    </w:p>
    <w:p>
      <w:r>
        <w:t>Use the district-approved rating model when authorized. Until then, this review copy uses placeholders: 4 = consistently exceeds the approved expectation; 3 = meets; 2 = developing/inconsistent; 1 = not yet meeting; N/O = not observed.</w:t>
      </w:r>
    </w:p>
    <w:p>
      <w:pPr>
        <w:pStyle w:val="Heading1"/>
      </w:pPr>
      <w:r>
        <w:t>Performance feedback</w:t>
      </w:r>
    </w:p>
    <w:tbl>
      <w:tblPr>
        <w:tblStyle w:val="TableGrid"/>
        <w:tblW w:type="dxa" w:w="12960"/>
        <w:tblLayout w:type="fixed"/>
        <w:tblLook w:firstColumn="1" w:firstRow="1" w:lastColumn="0" w:lastRow="0" w:noHBand="0" w:noVBand="1" w:val="04A0"/>
        <w:jc w:val="left"/>
        <w:tblInd w:w="120" w:type="dxa"/>
      </w:tblPr>
      <w:tblGrid>
        <w:gridCol w:w="3200"/>
        <w:gridCol w:w="1300"/>
        <w:gridCol w:w="4360"/>
        <w:gridCol w:w="4100"/>
      </w:tblGrid>
      <w:tr>
        <w:trPr>
          <w:cantSplit/>
          <w:tblHeader w:val="true"/>
        </w:trPr>
        <w:tc>
          <w:tcPr>
            <w:tcW w:type="dxa" w:w="3200"/>
            <w:vAlign w:val="center"/>
            <w:tcMar>
              <w:top w:w="80" w:type="dxa"/>
              <w:start w:w="120" w:type="dxa"/>
              <w:bottom w:w="80" w:type="dxa"/>
              <w:end w:w="120" w:type="dxa"/>
            </w:tcMar>
            <w:shd w:fill="E8F0EB"/>
          </w:tcPr>
          <w:p>
            <w:pPr>
              <w:jc w:val="center"/>
            </w:pPr>
            <w:r>
              <w:rPr>
                <w:rFonts w:ascii="Calibri" w:hAnsi="Calibri"/>
                <w:b/>
                <w:color w:val="18392B"/>
                <w:sz w:val="19"/>
              </w:rPr>
              <w:t>Performance area</w:t>
            </w:r>
          </w:p>
        </w:tc>
        <w:tc>
          <w:tcPr>
            <w:tcW w:type="dxa" w:w="1300"/>
            <w:vAlign w:val="center"/>
            <w:tcMar>
              <w:top w:w="80" w:type="dxa"/>
              <w:start w:w="120" w:type="dxa"/>
              <w:bottom w:w="80" w:type="dxa"/>
              <w:end w:w="120" w:type="dxa"/>
            </w:tcMar>
            <w:shd w:fill="E8F0EB"/>
          </w:tcPr>
          <w:p>
            <w:pPr>
              <w:jc w:val="center"/>
            </w:pPr>
            <w:r>
              <w:rPr>
                <w:rFonts w:ascii="Calibri" w:hAnsi="Calibri"/>
                <w:b/>
                <w:color w:val="18392B"/>
                <w:sz w:val="19"/>
              </w:rPr>
              <w:t>Rating</w:t>
            </w:r>
          </w:p>
        </w:tc>
        <w:tc>
          <w:tcPr>
            <w:tcW w:type="dxa" w:w="4360"/>
            <w:vAlign w:val="center"/>
            <w:tcMar>
              <w:top w:w="80" w:type="dxa"/>
              <w:start w:w="120" w:type="dxa"/>
              <w:bottom w:w="80" w:type="dxa"/>
              <w:end w:w="120" w:type="dxa"/>
            </w:tcMar>
            <w:shd w:fill="E8F0EB"/>
          </w:tcPr>
          <w:p>
            <w:pPr>
              <w:jc w:val="center"/>
            </w:pPr>
            <w:r>
              <w:rPr>
                <w:rFonts w:ascii="Calibri" w:hAnsi="Calibri"/>
                <w:b/>
                <w:color w:val="18392B"/>
                <w:sz w:val="19"/>
              </w:rPr>
              <w:t>Specific evidence observed</w:t>
            </w:r>
          </w:p>
        </w:tc>
        <w:tc>
          <w:tcPr>
            <w:tcW w:type="dxa" w:w="4100"/>
            <w:vAlign w:val="center"/>
            <w:tcMar>
              <w:top w:w="80" w:type="dxa"/>
              <w:start w:w="120" w:type="dxa"/>
              <w:bottom w:w="80" w:type="dxa"/>
              <w:end w:w="120" w:type="dxa"/>
            </w:tcMar>
            <w:shd w:fill="E8F0EB"/>
          </w:tcPr>
          <w:p>
            <w:pPr>
              <w:jc w:val="center"/>
            </w:pPr>
            <w:r>
              <w:rPr>
                <w:rFonts w:ascii="Calibri" w:hAnsi="Calibri"/>
                <w:b/>
                <w:color w:val="18392B"/>
                <w:sz w:val="19"/>
              </w:rPr>
              <w:t>Next support or goal</w:t>
            </w:r>
          </w:p>
        </w:tc>
      </w:tr>
      <w:tr>
        <w:trPr>
          <w:cantSplit/>
        </w:trPr>
        <w:tc>
          <w:tcPr>
            <w:tcW w:type="dxa" w:w="3200"/>
            <w:vAlign w:val="center"/>
            <w:tcMar>
              <w:top w:w="80" w:type="dxa"/>
              <w:start w:w="120" w:type="dxa"/>
              <w:bottom w:w="80" w:type="dxa"/>
              <w:end w:w="120" w:type="dxa"/>
            </w:tcMar>
          </w:tcPr>
          <w:p>
            <w:pPr>
              <w:spacing w:after="60"/>
            </w:pPr>
            <w:r>
              <w:rPr>
                <w:rFonts w:ascii="Calibri" w:hAnsi="Calibri"/>
                <w:color w:val="1E2722"/>
                <w:sz w:val="19"/>
              </w:rPr>
              <w:t>Safety and sanitation</w:t>
            </w:r>
          </w:p>
        </w:tc>
        <w:tc>
          <w:tcPr>
            <w:tcW w:type="dxa" w:w="13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3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1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200"/>
            <w:vAlign w:val="center"/>
            <w:tcMar>
              <w:top w:w="80" w:type="dxa"/>
              <w:start w:w="120" w:type="dxa"/>
              <w:bottom w:w="80" w:type="dxa"/>
              <w:end w:w="120" w:type="dxa"/>
            </w:tcMar>
          </w:tcPr>
          <w:p>
            <w:pPr>
              <w:spacing w:after="60"/>
            </w:pPr>
            <w:r>
              <w:rPr>
                <w:rFonts w:ascii="Calibri" w:hAnsi="Calibri"/>
                <w:color w:val="1E2722"/>
                <w:sz w:val="19"/>
              </w:rPr>
              <w:t>Technical/task performance within approved duties</w:t>
            </w:r>
          </w:p>
        </w:tc>
        <w:tc>
          <w:tcPr>
            <w:tcW w:type="dxa" w:w="13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3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1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200"/>
            <w:vAlign w:val="center"/>
            <w:tcMar>
              <w:top w:w="80" w:type="dxa"/>
              <w:start w:w="120" w:type="dxa"/>
              <w:bottom w:w="80" w:type="dxa"/>
              <w:end w:w="120" w:type="dxa"/>
            </w:tcMar>
          </w:tcPr>
          <w:p>
            <w:pPr>
              <w:spacing w:after="60"/>
            </w:pPr>
            <w:r>
              <w:rPr>
                <w:rFonts w:ascii="Calibri" w:hAnsi="Calibri"/>
                <w:color w:val="1E2722"/>
                <w:sz w:val="19"/>
              </w:rPr>
              <w:t>Professional conduct</w:t>
            </w:r>
          </w:p>
        </w:tc>
        <w:tc>
          <w:tcPr>
            <w:tcW w:type="dxa" w:w="13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3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1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200"/>
            <w:vAlign w:val="center"/>
            <w:tcMar>
              <w:top w:w="80" w:type="dxa"/>
              <w:start w:w="120" w:type="dxa"/>
              <w:bottom w:w="80" w:type="dxa"/>
              <w:end w:w="120" w:type="dxa"/>
            </w:tcMar>
          </w:tcPr>
          <w:p>
            <w:pPr>
              <w:spacing w:after="60"/>
            </w:pPr>
            <w:r>
              <w:rPr>
                <w:rFonts w:ascii="Calibri" w:hAnsi="Calibri"/>
                <w:color w:val="1E2722"/>
                <w:sz w:val="19"/>
              </w:rPr>
              <w:t>Communication and teamwork</w:t>
            </w:r>
          </w:p>
        </w:tc>
        <w:tc>
          <w:tcPr>
            <w:tcW w:type="dxa" w:w="13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3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1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200"/>
            <w:vAlign w:val="center"/>
            <w:tcMar>
              <w:top w:w="80" w:type="dxa"/>
              <w:start w:w="120" w:type="dxa"/>
              <w:bottom w:w="80" w:type="dxa"/>
              <w:end w:w="120" w:type="dxa"/>
            </w:tcMar>
          </w:tcPr>
          <w:p>
            <w:pPr>
              <w:spacing w:after="60"/>
            </w:pPr>
            <w:r>
              <w:rPr>
                <w:rFonts w:ascii="Calibri" w:hAnsi="Calibri"/>
                <w:color w:val="1E2722"/>
                <w:sz w:val="19"/>
              </w:rPr>
              <w:t>Reliability and attendance</w:t>
            </w:r>
          </w:p>
        </w:tc>
        <w:tc>
          <w:tcPr>
            <w:tcW w:type="dxa" w:w="13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3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1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200"/>
            <w:vAlign w:val="center"/>
            <w:tcMar>
              <w:top w:w="80" w:type="dxa"/>
              <w:start w:w="120" w:type="dxa"/>
              <w:bottom w:w="80" w:type="dxa"/>
              <w:end w:w="120" w:type="dxa"/>
            </w:tcMar>
          </w:tcPr>
          <w:p>
            <w:pPr>
              <w:spacing w:after="60"/>
            </w:pPr>
            <w:r>
              <w:rPr>
                <w:rFonts w:ascii="Calibri" w:hAnsi="Calibri"/>
                <w:color w:val="1E2722"/>
                <w:sz w:val="19"/>
              </w:rPr>
              <w:t>Problem-solving within approved scope</w:t>
            </w:r>
          </w:p>
        </w:tc>
        <w:tc>
          <w:tcPr>
            <w:tcW w:type="dxa" w:w="13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3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1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200"/>
            <w:vAlign w:val="center"/>
            <w:tcMar>
              <w:top w:w="80" w:type="dxa"/>
              <w:start w:w="120" w:type="dxa"/>
              <w:bottom w:w="80" w:type="dxa"/>
              <w:end w:w="120" w:type="dxa"/>
            </w:tcMar>
          </w:tcPr>
          <w:p>
            <w:pPr>
              <w:spacing w:after="60"/>
            </w:pPr>
            <w:r>
              <w:rPr>
                <w:rFonts w:ascii="Calibri" w:hAnsi="Calibri"/>
                <w:color w:val="1E2722"/>
                <w:sz w:val="19"/>
              </w:rPr>
              <w:t>Response to feedback and growth</w:t>
            </w:r>
          </w:p>
        </w:tc>
        <w:tc>
          <w:tcPr>
            <w:tcW w:type="dxa" w:w="13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3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4100"/>
            <w:vAlign w:val="center"/>
            <w:tcMar>
              <w:top w:w="80" w:type="dxa"/>
              <w:start w:w="120" w:type="dxa"/>
              <w:bottom w:w="80" w:type="dxa"/>
              <w:end w:w="120" w:type="dxa"/>
            </w:tcMar>
          </w:tcPr>
          <w:p>
            <w:pPr>
              <w:spacing w:after="60"/>
            </w:pPr>
            <w:r>
              <w:rPr>
                <w:rFonts w:ascii="Calibri" w:hAnsi="Calibri"/>
                <w:color w:val="1E2722"/>
                <w:sz w:val="19"/>
              </w:rPr>
            </w:r>
            <w:r>
              <w:br/>
            </w:r>
          </w:p>
        </w:tc>
      </w:tr>
    </w:tbl>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tcPr>
          <w:p>
            <w:pPr>
              <w:spacing w:after="60"/>
            </w:pPr>
            <w:r/>
            <w:r>
              <w:rPr>
                <w:rFonts w:ascii="Calibri" w:hAnsi="Calibri"/>
                <w:b/>
                <w:color w:val="18392B"/>
                <w:sz w:val="22"/>
              </w:rPr>
              <w:t>Progress toward individualized training-plan objectives</w:t>
            </w:r>
          </w:p>
          <w:p>
            <w:pPr>
              <w:spacing w:after="100"/>
            </w:pPr>
            <w:r>
              <w:rPr>
                <w:rFonts w:ascii="Calibri" w:hAnsi="Calibri"/>
                <w:i/>
                <w:color w:val="5F6B64"/>
                <w:sz w:val="18"/>
              </w:rPr>
              <w:t>Connect comments to approved objectives, duties, and observed evidence.</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tcPr>
          <w:p>
            <w:pPr>
              <w:spacing w:after="60"/>
            </w:pPr>
            <w:r/>
            <w:r>
              <w:rPr>
                <w:rFonts w:ascii="Calibri" w:hAnsi="Calibri"/>
                <w:b/>
                <w:color w:val="18392B"/>
                <w:sz w:val="22"/>
              </w:rPr>
              <w:t>Recommended support or adjustment</w:t>
            </w:r>
          </w:p>
          <w:p>
            <w:pPr>
              <w:spacing w:after="100"/>
            </w:pPr>
            <w:r>
              <w:rPr>
                <w:rFonts w:ascii="Calibri" w:hAnsi="Calibri"/>
                <w:i/>
                <w:color w:val="5F6B64"/>
                <w:sz w:val="18"/>
              </w:rPr>
              <w:t>A duty, schedule, mentor, supervision, or location change would require the approved coordinator process before implementation.</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tcPr>
          <w:p>
            <w:pPr>
              <w:spacing w:after="60"/>
            </w:pPr>
            <w:r/>
            <w:r>
              <w:rPr>
                <w:rFonts w:ascii="Calibri" w:hAnsi="Calibri"/>
                <w:b/>
                <w:color w:val="18392B"/>
                <w:sz w:val="22"/>
              </w:rPr>
              <w:t>Increasing responsibility or next learning opportunity</w:t>
            </w:r>
          </w:p>
          <w:p>
            <w:pPr>
              <w:spacing w:after="100"/>
            </w:pPr>
            <w:r>
              <w:rPr>
                <w:rFonts w:ascii="Calibri" w:hAnsi="Calibri"/>
                <w:i/>
                <w:color w:val="5F6B64"/>
                <w:sz w:val="18"/>
              </w:rPr>
              <w:t>Recommend only responsibilities that remain within the approved plan and demonstrated readiness.</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Concern check</w:t>
      </w:r>
    </w:p>
    <w:p>
      <w:pPr>
        <w:pStyle w:val="ListBullet"/>
      </w:pPr>
      <w:r>
        <w:t xml:space="preserve">[ ] </w:t>
      </w:r>
      <w:r>
        <w:t>No unresolved safety, conduct, supervision, duty, schedule, or integrity concern</w:t>
      </w:r>
    </w:p>
    <w:p>
      <w:pPr>
        <w:pStyle w:val="ListBullet"/>
      </w:pPr>
      <w:r>
        <w:t xml:space="preserve">[ ] </w:t>
      </w:r>
      <w:r>
        <w:t>Concern identified and already reported through the approved coordinator/emergency route</w:t>
      </w:r>
    </w:p>
    <w:p>
      <w:pPr>
        <w:pStyle w:val="ListBullet"/>
      </w:pPr>
      <w:r>
        <w:t xml:space="preserve">[ ] </w:t>
      </w:r>
      <w:r>
        <w:t>Formal follow-up record required</w:t>
      </w: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Mentor signature/date - future approved use</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Coordinator receipt/review date</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Student feedback conference date</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Restricted record location</w:t>
            </w:r>
          </w:p>
          <w:p>
            <w:pPr>
              <w:spacing w:after="120"/>
            </w:pPr>
            <w:r>
              <w:t xml:space="preserve"> </w:t>
            </w:r>
          </w:p>
        </w:tc>
      </w:tr>
    </w:tbl>
    <w:sectPr w:rsidR="00FC693F" w:rsidRPr="0006063C" w:rsidSect="00034616">
      <w:headerReference w:type="default" r:id="rId9"/>
      <w:footerReference w:type="default" r:id="rId10"/>
      <w:pgSz w:w="15840" w:h="12240" w:orient="landscape"/>
      <w:pgMar w:top="1224"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13000"/>
      <w:jc w:val="left"/>
      <w:tblLayout w:type="fixed"/>
      <w:tblLook w:firstColumn="1" w:firstRow="1" w:lastColumn="0" w:lastRow="0" w:noHBand="0" w:noVBand="1" w:val="04A0"/>
      <w:tblInd w:w="120" w:type="dxa"/>
    </w:tblPr>
    <w:tblGrid>
      <w:gridCol w:w="10640"/>
      <w:gridCol w:w="2360"/>
    </w:tblGrid>
    <w:tr>
      <w:trPr>
        <w:cantSplit/>
      </w:trPr>
      <w:tc>
        <w:tcPr>
          <w:tcW w:type="dxa" w:w="1064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Employer Feedback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