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color w:val="A64F25"/>
          <w:sz w:val="18"/>
        </w:rPr>
        <w:t>PROPOSED SENIOR WBL RESOURCE - NOT YET ACTIVE</w:t>
      </w:r>
    </w:p>
    <w:p>
      <w:pPr>
        <w:pStyle w:val="Title"/>
      </w:pPr>
      <w:r>
        <w:t>Proposed Senior WBL Readiness Review</w:t>
      </w:r>
    </w:p>
    <w:p>
      <w:pPr>
        <w:pStyle w:val="Subtitle"/>
      </w:pPr>
      <w:r>
        <w:t>Intended user: Students, Culinary Arts teachers, counselors, and a future WBL coordinator</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Purpose</w:t>
            </w:r>
          </w:p>
        </w:tc>
        <w:tc>
          <w:tcPr>
            <w:tcW w:type="dxa" w:w="7560"/>
            <w:vAlign w:val="center"/>
            <w:tcMar>
              <w:top w:w="80" w:type="dxa"/>
              <w:start w:w="120" w:type="dxa"/>
              <w:bottom w:w="80" w:type="dxa"/>
              <w:end w:w="120" w:type="dxa"/>
            </w:tcMar>
          </w:tcPr>
          <w:p>
            <w:r>
              <w:rPr>
                <w:rFonts w:ascii="Calibri" w:hAnsi="Calibri"/>
                <w:color w:val="1E2722"/>
                <w:sz w:val="19"/>
              </w:rPr>
              <w:t>Organize evidence that a student has completed relevant coursework and demonstrated the technical, professional, career, and logistical preparation needed before any placement decision.</w:t>
            </w:r>
          </w:p>
        </w:tc>
      </w:tr>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When to use</w:t>
            </w:r>
          </w:p>
        </w:tc>
        <w:tc>
          <w:tcPr>
            <w:tcW w:type="dxa" w:w="7560"/>
            <w:vAlign w:val="center"/>
            <w:tcMar>
              <w:top w:w="80" w:type="dxa"/>
              <w:start w:w="120" w:type="dxa"/>
              <w:bottom w:w="80" w:type="dxa"/>
              <w:end w:w="120" w:type="dxa"/>
            </w:tcMar>
          </w:tcPr>
          <w:p>
            <w:r>
              <w:rPr>
                <w:rFonts w:ascii="Calibri" w:hAnsi="Calibri"/>
                <w:color w:val="1E2722"/>
                <w:sz w:val="19"/>
              </w:rPr>
              <w:t>Use for review and gap planning only. Completion would support, but never guarantee, future course or placement eligibility.</w:t>
            </w:r>
          </w:p>
        </w:tc>
      </w:tr>
    </w:tbl>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1E6"/>
          </w:tcPr>
          <w:p>
            <w:r/>
            <w:r>
              <w:rPr>
                <w:rFonts w:ascii="Calibri" w:hAnsi="Calibri"/>
                <w:b/>
                <w:color w:val="A64F25"/>
                <w:sz w:val="21"/>
              </w:rPr>
              <w:t>Proposed senior WBL resource - not yet active</w:t>
            </w:r>
          </w:p>
          <w:p>
            <w:r>
              <w:rPr>
                <w:rFonts w:ascii="Calibri" w:hAnsi="Calibri"/>
                <w:color w:val="1E2722"/>
                <w:sz w:val="20"/>
              </w:rPr>
              <w:t>This proposed senior work-based learning resource is not yet active and is not an application for a current placement. No placement is promised. Do not complete or submit this record through the public website. Final use requires district authorization, an approved records system, and confirmed legal, insurance, working-paper, transportation, staffing, supervision, safety, accessibility, and records procedures.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Student name</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Expected graduation year</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Current/recent course</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Review date</w:t>
            </w:r>
          </w:p>
          <w:p>
            <w:pPr>
              <w:spacing w:after="120"/>
            </w:pPr>
            <w:r>
              <w:t xml:space="preserve"> </w:t>
            </w:r>
          </w:p>
        </w:tc>
      </w:tr>
    </w:tbl>
    <w:p>
      <w:pPr>
        <w:spacing w:after="40"/>
      </w:pPr>
    </w:p>
    <w:p>
      <w:pPr>
        <w:pStyle w:val="Heading1"/>
      </w:pPr>
      <w:r>
        <w:t>Evidence review</w:t>
      </w:r>
    </w:p>
    <w:tbl>
      <w:tblPr>
        <w:tblStyle w:val="TableGrid"/>
        <w:tblW w:type="dxa" w:w="9360"/>
        <w:tblLayout w:type="fixed"/>
        <w:tblLook w:firstColumn="1" w:firstRow="1" w:lastColumn="0" w:lastRow="0" w:noHBand="0" w:noVBand="1" w:val="04A0"/>
        <w:jc w:val="left"/>
        <w:tblInd w:w="120" w:type="dxa"/>
      </w:tblPr>
      <w:tblGrid>
        <w:gridCol w:w="2600"/>
        <w:gridCol w:w="1400"/>
        <w:gridCol w:w="2860"/>
        <w:gridCol w:w="2500"/>
      </w:tblGrid>
      <w:tr>
        <w:trPr>
          <w:cantSplit/>
          <w:tblHeader w:val="true"/>
        </w:trPr>
        <w:tc>
          <w:tcPr>
            <w:tcW w:type="dxa" w:w="2600"/>
            <w:vAlign w:val="center"/>
            <w:tcMar>
              <w:top w:w="80" w:type="dxa"/>
              <w:start w:w="120" w:type="dxa"/>
              <w:bottom w:w="80" w:type="dxa"/>
              <w:end w:w="120" w:type="dxa"/>
            </w:tcMar>
            <w:shd w:fill="E8F0EB"/>
          </w:tcPr>
          <w:p>
            <w:pPr>
              <w:jc w:val="center"/>
            </w:pPr>
            <w:r>
              <w:rPr>
                <w:rFonts w:ascii="Calibri" w:hAnsi="Calibri"/>
                <w:b/>
                <w:color w:val="18392B"/>
                <w:sz w:val="19"/>
              </w:rPr>
              <w:t>Readiness area</w:t>
            </w:r>
          </w:p>
        </w:tc>
        <w:tc>
          <w:tcPr>
            <w:tcW w:type="dxa" w:w="1400"/>
            <w:vAlign w:val="center"/>
            <w:tcMar>
              <w:top w:w="80" w:type="dxa"/>
              <w:start w:w="120" w:type="dxa"/>
              <w:bottom w:w="80" w:type="dxa"/>
              <w:end w:w="120" w:type="dxa"/>
            </w:tcMar>
            <w:shd w:fill="E8F0EB"/>
          </w:tcPr>
          <w:p>
            <w:pPr>
              <w:jc w:val="center"/>
            </w:pPr>
            <w:r>
              <w:rPr>
                <w:rFonts w:ascii="Calibri" w:hAnsi="Calibri"/>
                <w:b/>
                <w:color w:val="18392B"/>
                <w:sz w:val="19"/>
              </w:rPr>
              <w:t>Status</w:t>
            </w:r>
          </w:p>
        </w:tc>
        <w:tc>
          <w:tcPr>
            <w:tcW w:type="dxa" w:w="2860"/>
            <w:vAlign w:val="center"/>
            <w:tcMar>
              <w:top w:w="80" w:type="dxa"/>
              <w:start w:w="120" w:type="dxa"/>
              <w:bottom w:w="80" w:type="dxa"/>
              <w:end w:w="120" w:type="dxa"/>
            </w:tcMar>
            <w:shd w:fill="E8F0EB"/>
          </w:tcPr>
          <w:p>
            <w:pPr>
              <w:jc w:val="center"/>
            </w:pPr>
            <w:r>
              <w:rPr>
                <w:rFonts w:ascii="Calibri" w:hAnsi="Calibri"/>
                <w:b/>
                <w:color w:val="18392B"/>
                <w:sz w:val="19"/>
              </w:rPr>
              <w:t>Evidence reviewed</w:t>
            </w:r>
          </w:p>
        </w:tc>
        <w:tc>
          <w:tcPr>
            <w:tcW w:type="dxa" w:w="2500"/>
            <w:vAlign w:val="center"/>
            <w:tcMar>
              <w:top w:w="80" w:type="dxa"/>
              <w:start w:w="120" w:type="dxa"/>
              <w:bottom w:w="80" w:type="dxa"/>
              <w:end w:w="120" w:type="dxa"/>
            </w:tcMar>
            <w:shd w:fill="E8F0EB"/>
          </w:tcPr>
          <w:p>
            <w:pPr>
              <w:jc w:val="center"/>
            </w:pPr>
            <w:r>
              <w:rPr>
                <w:rFonts w:ascii="Calibri" w:hAnsi="Calibri"/>
                <w:b/>
                <w:color w:val="18392B"/>
                <w:sz w:val="19"/>
              </w:rPr>
              <w:t>Gap or next action</w:t>
            </w:r>
          </w:p>
        </w:tc>
      </w:tr>
      <w:tr>
        <w:trPr>
          <w:cantSplit/>
        </w:trPr>
        <w:tc>
          <w:tcPr>
            <w:tcW w:type="dxa" w:w="2600"/>
            <w:vAlign w:val="center"/>
            <w:tcMar>
              <w:top w:w="80" w:type="dxa"/>
              <w:start w:w="120" w:type="dxa"/>
              <w:bottom w:w="80" w:type="dxa"/>
              <w:end w:w="120" w:type="dxa"/>
            </w:tcMar>
          </w:tcPr>
          <w:p>
            <w:pPr>
              <w:spacing w:after="60"/>
            </w:pPr>
            <w:r>
              <w:rPr>
                <w:rFonts w:ascii="Calibri" w:hAnsi="Calibri"/>
                <w:color w:val="1E2722"/>
                <w:sz w:val="19"/>
              </w:rPr>
              <w:t>Relevant course completion</w:t>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8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2600"/>
            <w:vAlign w:val="center"/>
            <w:tcMar>
              <w:top w:w="80" w:type="dxa"/>
              <w:start w:w="120" w:type="dxa"/>
              <w:bottom w:w="80" w:type="dxa"/>
              <w:end w:w="120" w:type="dxa"/>
            </w:tcMar>
          </w:tcPr>
          <w:p>
            <w:pPr>
              <w:spacing w:after="60"/>
            </w:pPr>
            <w:r>
              <w:rPr>
                <w:rFonts w:ascii="Calibri" w:hAnsi="Calibri"/>
                <w:color w:val="1E2722"/>
                <w:sz w:val="19"/>
              </w:rPr>
              <w:t>Safety and sanitation</w:t>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8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2600"/>
            <w:vAlign w:val="center"/>
            <w:tcMar>
              <w:top w:w="80" w:type="dxa"/>
              <w:start w:w="120" w:type="dxa"/>
              <w:bottom w:w="80" w:type="dxa"/>
              <w:end w:w="120" w:type="dxa"/>
            </w:tcMar>
          </w:tcPr>
          <w:p>
            <w:pPr>
              <w:spacing w:after="60"/>
            </w:pPr>
            <w:r>
              <w:rPr>
                <w:rFonts w:ascii="Calibri" w:hAnsi="Calibri"/>
                <w:color w:val="1E2722"/>
                <w:sz w:val="19"/>
              </w:rPr>
              <w:t>Technical performance and quality</w:t>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8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2600"/>
            <w:vAlign w:val="center"/>
            <w:tcMar>
              <w:top w:w="80" w:type="dxa"/>
              <w:start w:w="120" w:type="dxa"/>
              <w:bottom w:w="80" w:type="dxa"/>
              <w:end w:w="120" w:type="dxa"/>
            </w:tcMar>
          </w:tcPr>
          <w:p>
            <w:pPr>
              <w:spacing w:after="60"/>
            </w:pPr>
            <w:r>
              <w:rPr>
                <w:rFonts w:ascii="Calibri" w:hAnsi="Calibri"/>
                <w:color w:val="1E2722"/>
                <w:sz w:val="19"/>
              </w:rPr>
              <w:t>Attendance, reliability, and preparation</w:t>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8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2600"/>
            <w:vAlign w:val="center"/>
            <w:tcMar>
              <w:top w:w="80" w:type="dxa"/>
              <w:start w:w="120" w:type="dxa"/>
              <w:bottom w:w="80" w:type="dxa"/>
              <w:end w:w="120" w:type="dxa"/>
            </w:tcMar>
          </w:tcPr>
          <w:p>
            <w:pPr>
              <w:spacing w:after="60"/>
            </w:pPr>
            <w:r>
              <w:rPr>
                <w:rFonts w:ascii="Calibri" w:hAnsi="Calibri"/>
                <w:color w:val="1E2722"/>
                <w:sz w:val="19"/>
              </w:rPr>
              <w:t>Communication and teamwork</w:t>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8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2600"/>
            <w:vAlign w:val="center"/>
            <w:tcMar>
              <w:top w:w="80" w:type="dxa"/>
              <w:start w:w="120" w:type="dxa"/>
              <w:bottom w:w="80" w:type="dxa"/>
              <w:end w:w="120" w:type="dxa"/>
            </w:tcMar>
          </w:tcPr>
          <w:p>
            <w:pPr>
              <w:spacing w:after="60"/>
            </w:pPr>
            <w:r>
              <w:rPr>
                <w:rFonts w:ascii="Calibri" w:hAnsi="Calibri"/>
                <w:color w:val="1E2722"/>
                <w:sz w:val="19"/>
              </w:rPr>
              <w:t>Problem-solving and response to feedback</w:t>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8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2600"/>
            <w:vAlign w:val="center"/>
            <w:tcMar>
              <w:top w:w="80" w:type="dxa"/>
              <w:start w:w="120" w:type="dxa"/>
              <w:bottom w:w="80" w:type="dxa"/>
              <w:end w:w="120" w:type="dxa"/>
            </w:tcMar>
          </w:tcPr>
          <w:p>
            <w:pPr>
              <w:spacing w:after="60"/>
            </w:pPr>
            <w:r>
              <w:rPr>
                <w:rFonts w:ascii="Calibri" w:hAnsi="Calibri"/>
                <w:color w:val="1E2722"/>
                <w:sz w:val="19"/>
              </w:rPr>
              <w:t>Client-centered or authentic performance</w:t>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8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2600"/>
            <w:vAlign w:val="center"/>
            <w:tcMar>
              <w:top w:w="80" w:type="dxa"/>
              <w:start w:w="120" w:type="dxa"/>
              <w:bottom w:w="80" w:type="dxa"/>
              <w:end w:w="120" w:type="dxa"/>
            </w:tcMar>
          </w:tcPr>
          <w:p>
            <w:pPr>
              <w:spacing w:after="60"/>
            </w:pPr>
            <w:r>
              <w:rPr>
                <w:rFonts w:ascii="Calibri" w:hAnsi="Calibri"/>
                <w:color w:val="1E2722"/>
                <w:sz w:val="19"/>
              </w:rPr>
              <w:t>Leadership within approved scope</w:t>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8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2600"/>
            <w:vAlign w:val="center"/>
            <w:tcMar>
              <w:top w:w="80" w:type="dxa"/>
              <w:start w:w="120" w:type="dxa"/>
              <w:bottom w:w="80" w:type="dxa"/>
              <w:end w:w="120" w:type="dxa"/>
            </w:tcMar>
          </w:tcPr>
          <w:p>
            <w:pPr>
              <w:spacing w:after="60"/>
            </w:pPr>
            <w:r>
              <w:rPr>
                <w:rFonts w:ascii="Calibri" w:hAnsi="Calibri"/>
                <w:color w:val="1E2722"/>
                <w:sz w:val="19"/>
              </w:rPr>
              <w:t>Resume, portfolio, and interview preparation</w:t>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8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0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2600"/>
            <w:vAlign w:val="center"/>
            <w:tcMar>
              <w:top w:w="80" w:type="dxa"/>
              <w:start w:w="120" w:type="dxa"/>
              <w:bottom w:w="80" w:type="dxa"/>
              <w:end w:w="120" w:type="dxa"/>
            </w:tcMar>
          </w:tcPr>
          <w:p>
            <w:pPr>
              <w:spacing w:after="60"/>
            </w:pPr>
            <w:r>
              <w:rPr>
                <w:rFonts w:ascii="Calibri" w:hAnsi="Calibri"/>
                <w:color w:val="1E2722"/>
                <w:sz w:val="19"/>
              </w:rPr>
              <w:t>Career goal and workplace research</w:t>
            </w:r>
          </w:p>
        </w:tc>
        <w:tc>
          <w:tcPr>
            <w:tcW w:type="dxa" w:w="14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86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500"/>
            <w:vAlign w:val="center"/>
            <w:tcMar>
              <w:top w:w="80" w:type="dxa"/>
              <w:start w:w="120" w:type="dxa"/>
              <w:bottom w:w="80" w:type="dxa"/>
              <w:end w:w="120" w:type="dxa"/>
            </w:tcMar>
          </w:tcPr>
          <w:p>
            <w:pPr>
              <w:spacing w:after="60"/>
            </w:pPr>
            <w:r>
              <w:rPr>
                <w:rFonts w:ascii="Calibri" w:hAnsi="Calibri"/>
                <w:color w:val="1E2722"/>
                <w:sz w:val="19"/>
              </w:rPr>
            </w:r>
            <w:r>
              <w:br/>
            </w:r>
          </w:p>
        </w:tc>
      </w:tr>
    </w:tbl>
    <w:p/>
    <w:p>
      <w:pPr>
        <w:pStyle w:val="Heading1"/>
      </w:pPr>
      <w:r>
        <w:t>Logistics and governing conditions</w:t>
      </w:r>
    </w:p>
    <w:p>
      <w:pPr>
        <w:pStyle w:val="ListBullet"/>
      </w:pPr>
      <w:r>
        <w:t xml:space="preserve">[ ] </w:t>
      </w:r>
      <w:r>
        <w:t>Possible schedule has been reviewed against academic, family, activity, and employment responsibilities.</w:t>
      </w:r>
    </w:p>
    <w:p>
      <w:pPr>
        <w:pStyle w:val="ListBullet"/>
      </w:pPr>
      <w:r>
        <w:t xml:space="preserve">[ ] </w:t>
      </w:r>
      <w:r>
        <w:t>Transportation remains unresolved until an approved student-specific plan is documented.</w:t>
      </w:r>
    </w:p>
    <w:p>
      <w:pPr>
        <w:pStyle w:val="ListBullet"/>
      </w:pPr>
      <w:r>
        <w:t xml:space="preserve">[ ] </w:t>
      </w:r>
      <w:r>
        <w:t>Accessibility, accommodation, language, medical, and other support needs would use approved school processes.</w:t>
      </w:r>
    </w:p>
    <w:p>
      <w:pPr>
        <w:pStyle w:val="ListBullet"/>
      </w:pPr>
      <w:r>
        <w:t xml:space="preserve">[ ] </w:t>
      </w:r>
      <w:r>
        <w:t>Working papers, permitted hours, duties, equipment, wage status, and other legal conditions would be verified from current official sources.</w:t>
      </w:r>
    </w:p>
    <w:p>
      <w:pPr>
        <w:pStyle w:val="ListBullet"/>
      </w:pPr>
      <w:r>
        <w:t xml:space="preserve">[ ] </w:t>
      </w:r>
      <w:r>
        <w:t>A training station, mentor, duties, supervision plan, agreement, and records workflow would all require approval before launch.</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Specific support or additional evidence needed</w:t>
            </w:r>
          </w:p>
          <w:p>
            <w:pPr>
              <w:spacing w:after="100"/>
            </w:pPr>
            <w:r>
              <w:rPr>
                <w:rFonts w:ascii="Calibri" w:hAnsi="Calibri"/>
                <w:i/>
                <w:color w:val="5F6B64"/>
                <w:sz w:val="18"/>
              </w:rPr>
              <w:t>Identify the gap, responsible support person, target date, and evidence that would show the gap is addressed.</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p>
      <w:pPr>
        <w:pStyle w:val="Heading1"/>
      </w:pPr>
      <w:r>
        <w:t>Review recommendation - not a placement decision</w:t>
      </w:r>
    </w:p>
    <w:p>
      <w:pPr>
        <w:pStyle w:val="ListBullet"/>
      </w:pPr>
      <w:r>
        <w:t xml:space="preserve">[ ] </w:t>
      </w:r>
      <w:r>
        <w:t>Continue preparation; substantial gaps remain</w:t>
      </w:r>
    </w:p>
    <w:p>
      <w:pPr>
        <w:pStyle w:val="ListBullet"/>
      </w:pPr>
      <w:r>
        <w:t xml:space="preserve">[ ] </w:t>
      </w:r>
      <w:r>
        <w:t>Re-review after identified evidence or supports are completed</w:t>
      </w:r>
    </w:p>
    <w:p>
      <w:pPr>
        <w:pStyle w:val="ListBullet"/>
      </w:pPr>
      <w:r>
        <w:t xml:space="preserve">[ ] </w:t>
      </w:r>
      <w:r>
        <w:t>Educational readiness evidence appears complete; logistics and authorization review still required</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Teacher/reviewer</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Date</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Next review date</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Restricted record location - future use</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1E6"/>
          </w:tcPr>
          <w:p>
            <w:r/>
            <w:r>
              <w:rPr>
                <w:rFonts w:ascii="Calibri" w:hAnsi="Calibri"/>
                <w:b/>
                <w:color w:val="A64F25"/>
                <w:sz w:val="21"/>
              </w:rPr>
              <w:t>No guarantee</w:t>
            </w:r>
          </w:p>
          <w:p>
            <w:r>
              <w:rPr>
                <w:rFonts w:ascii="Calibri" w:hAnsi="Calibri"/>
                <w:color w:val="1E2722"/>
                <w:sz w:val="20"/>
              </w:rPr>
              <w:t>A readiness review is one input to a future decision. It does not create a course seat, training station, schedule, transportation plan, or placement.</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dxa" w:w="9360"/>
      <w:jc w:val="left"/>
      <w:tblLayout w:type="fixed"/>
      <w:tblLook w:firstColumn="1" w:firstRow="1" w:lastColumn="0" w:lastRow="0" w:noHBand="0" w:noVBand="1" w:val="04A0"/>
      <w:tblInd w:w="120" w:type="dxa"/>
    </w:tblPr>
    <w:tblGrid>
      <w:gridCol w:w="7000"/>
      <w:gridCol w:w="2360"/>
    </w:tblGrid>
    <w:tr>
      <w:trPr>
        <w:cantSplit/>
      </w:trPr>
      <w:tc>
        <w:tcPr>
          <w:tcW w:type="dxa" w:w="7000"/>
          <w:vAlign w:val="center"/>
          <w:tcMar>
            <w:top w:w="80" w:type="dxa"/>
            <w:start w:w="120" w:type="dxa"/>
            <w:bottom w:w="80" w:type="dxa"/>
            <w:end w:w="120" w:type="dxa"/>
          </w:tcMar>
          <w:tcBorders>
            <w:top w:val="nil"/>
            <w:left w:val="nil"/>
            <w:bottom w:val="nil"/>
            <w:right w:val="nil"/>
            <w:insideH w:val="nil"/>
            <w:insideV w:val="nil"/>
          </w:tcBorders>
        </w:tcPr>
        <w:p>
          <w:r>
            <w:rPr>
              <w:rFonts w:ascii="Calibri" w:hAnsi="Calibri"/>
              <w:color w:val="5F6B64"/>
              <w:sz w:val="16"/>
            </w:rPr>
            <w:t>Proposed Senior WBL Readiness Review | Version 1.0 | July 2026</w:t>
          </w:r>
        </w:p>
        <w:p>
          <w:pPr>
            <w:spacing w:before="0" w:after="0" w:line="240" w:lineRule="auto"/>
          </w:pPr>
          <w:r>
            <w:rPr>
              <w:rFonts w:ascii="Calibri" w:hAnsi="Calibri"/>
              <w:i/>
              <w:color w:val="5F6B64"/>
              <w:sz w:val="14"/>
            </w:rPr>
            <w:t>Public blank resource. Store completed work only in approved school systems.</w:t>
          </w:r>
        </w:p>
      </w:tc>
      <w:tc>
        <w:tcPr>
          <w:tcW w:type="dxa" w:w="2360"/>
          <w:vAlign w:val="center"/>
          <w:tcMar>
            <w:top w:w="80" w:type="dxa"/>
            <w:start w:w="120" w:type="dxa"/>
            <w:bottom w:w="80" w:type="dxa"/>
            <w:end w:w="120" w:type="dxa"/>
          </w:tcMar>
          <w:tcBorders>
            <w:top w:val="nil"/>
            <w:left w:val="nil"/>
            <w:bottom w:val="nil"/>
            <w:right w:val="nil"/>
            <w:insideH w:val="nil"/>
            <w:insideV w:val="nil"/>
          </w:tcBorders>
        </w:tcPr>
        <w:p>
          <w:pPr>
            <w:jc w:val="right"/>
          </w:pPr>
          <w:r>
            <w:rPr>
              <w:rFonts w:ascii="Calibri" w:hAnsi="Calibri"/>
              <w:color w:val="5F6B64"/>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64"/>
        <w:sz w:val="17"/>
      </w:rPr>
      <w:t>GCSD Culinary Pathway |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7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8392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392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9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9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